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14664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A33E3" w:rsidRPr="00AD346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AD3460" w:rsidRDefault="005A33E3" w:rsidP="005A33E3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25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8"/>
      </w:tblGrid>
      <w:tr w:rsidR="005A33E3" w:rsidRPr="005A33E3" w:rsidTr="005A33E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33E3" w:rsidRPr="005A33E3" w:rsidRDefault="005A33E3" w:rsidP="001F5275">
            <w:pPr>
              <w:spacing w:after="0" w:line="240" w:lineRule="auto"/>
              <w:ind w:lef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3E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Pr="005A33E3">
              <w:rPr>
                <w:rFonts w:ascii="Times New Roman" w:hAnsi="Times New Roman" w:cs="Times New Roman"/>
                <w:sz w:val="28"/>
                <w:szCs w:val="28"/>
              </w:rPr>
              <w:br/>
              <w:t>в приложение к постановлению администрации города от 17.09.2014 №2013 (в редакции постановления от 31.03.2021 №465)</w:t>
            </w:r>
          </w:p>
        </w:tc>
      </w:tr>
    </w:tbl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решением Барнаульской городской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30.11.2021 №792 «О бюджете города 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2022 год и на плановый период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и 2024 годов», постановлением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 Барнаула постановляет: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 Внести в приложение к пост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ановлению администрации города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17.09.2014 №2013 «Об утверждении муниципальной программы «Барнаул – комфортный город» на 2015-2030 годы» (в редакции постановления от 31.03.2021 №465) следующие изменения: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1.1. Строку «Объемы финансирования Программы» раздела «ПАСПОРТ муниципальной программы «Барна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ул – комфортный город» 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 изложить в следующей редакции: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«Общий объем финансирования Программы за счет всех источников       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>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9855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678,3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319064,7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297287,1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308650,8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404586,0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578238,6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262858,6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495837,2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694459,9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1165109,4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1126222,5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787544,8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2027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725320,9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591815,5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591815,5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федерального бюджета – 342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528,2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58478,7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39519,8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38673,3 тыс. рублей,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37525,9 тыс. рублей,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краевого бюджета – 180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189,3 тыс. рублей, в том числе 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164033,3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рублей,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бюджета города – 9274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869,6 тыс. рублей, в том числе 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259272,3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239989,5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253400,6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350767,1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373505,6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242199,8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482298,4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654940,1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1126436,1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1088696,6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787544,8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725320,9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591815,5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591815,5 тыс. рублей,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58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091,2 тыс. рублей, в том числе 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0,00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34169,0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2019 год – 1687,5 тыс. рублей.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Программы является расходным обязательством городского округа - г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орода Барнаула Алтайского края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части финансирования из средств бюджета города.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бюджетов, средства собственников»;</w:t>
      </w:r>
    </w:p>
    <w:p w:rsidR="005A33E3" w:rsidRPr="005A33E3" w:rsidRDefault="00687F5E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1.1.1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Строку «Ожидаемые результаты реализации Программы»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«Обеспечение устойчивого сокращения доли аварийного и ветхого жилья в общей площади жилищного фонда до уровня менее 1,0%;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доли благоустроенн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ого жилья от общего количества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 76,8% до 90,0%;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доли граждан, улучшивших жили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щные условия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года, в общем количестве граждан, нуждающихся в улучшении жилищных условий, состоящих на учете в качестве нуждающихся в жилых помещениях среди малоимущих граждан, до 2,1%;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доли граждан, категории которых установлены федеральным законодательство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м, улучшивших жилищные условия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года, в общем количестве граждан, категории которых установлены федеральным законодательством, в том числе ветеранов Великой Отечественной войны, ветера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 боевых действий, инвалидов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семей, имеющих детей-инвалидов, в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ставших на учет до 01.01.2005,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до 56,0%»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2. Подраздел 2.3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«2.3. Конечные результаты реализации Программы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Основными ожидаемыми результатами реализации Программы являются: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устойчивого сокращения доли аварийного и ветхого жилья в общей площади жилищного фонда до уровня менее 1,0%;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доли благоустроенн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ого жилья от общего количества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 76,8% до 90,0%;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доли гражда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н, улучшивших жилищные условия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года, в общем количестве граждан, нуждающихся в улучшении жилищных условий, состоящих на учете в качестве нуждающихся в жилых помещениях среди малоимущих граждан, до 2,1%;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доли граждан, категории которых установлены федеральным законодательство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м, улучшивших жилищные условия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течение года, в общем количестве граждан, категории которых установлены федеральным законодательством, в том числе ветеранов Великой Отечественной войны, ветеранов боевых действий, инвалидов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и семей, имеющих детей-инвалидов, в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ставших на учет до 01.01.2005,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 56,0%.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 об индикаторах Прог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раммы и их значениях приведены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приложении 4 к Программе.»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3. Раздел 3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«3. Обобщенная характеристика мероприятий Программы 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мероприя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тий Программы определен исходя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 необходимости достижения ее цели и основных задач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сгруппирован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задач, реализуемых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подпрограммах: «Обеспечение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населения города Барнаула комфортным жильем на 2015-2030 годы», «Создание условий для обеспечения населения города Барнаула качественными услугами ж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илищно-коммунального хозяйства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2015-2030 годы», «Благоустройство территории жилой застройки города Барнаула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2015-2030 годы» и отдельных мероприятий: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обеспечение доступности для горожан услуг общих отделений бань; 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деятельности комитета жилищно-коммунального хозяйства города Барнаула;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доставка умерших (погибших) в КГБУЗ «Алтайское краевое бюро судебно-медицинской экспертизы».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мероприятий Пр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ограммы отражен в приложении 5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к настоящей Программе.»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4. Раздел 4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необходимых для реализации Программы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финансирования Программы за счет всех источников        в 2015 – 2030 годах составляет 9855678,3 тыс. ру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319064,7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297287,1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308650,8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404586,0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578238,6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262858,6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495837,2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694459,9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1165109,4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1126222,5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787544,8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725320,9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591815,5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591815,5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федерального бюджета – 342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528,2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2015 год – 58478,7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39519,8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38673,3 тыс. рублей,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37525,9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краевого бюджета – 180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189,3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164033,3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бюджета города – 9274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869,6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259272,3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239989,5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253400,6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350767,1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373505,6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242199,8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482298,4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654940,1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1126436,1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1088696,6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787544,8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753433,4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725320,9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591815,5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591815,5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58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091,2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0,00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34169,0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1687,5 тыс. рублей.</w:t>
      </w:r>
    </w:p>
    <w:p w:rsidR="005A33E3" w:rsidRPr="005A33E3" w:rsidRDefault="005A33E3" w:rsidP="00FA1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Программы является расходным об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язательством городского округа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орода Барнаула Алтайского края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части финансирования из средств бюджета города.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Дополнительно к средствам, выделяемым из бюджета города, могут быть привлечены средства федерального и краевого бю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джетов, средства собственников.»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В приложении 1 к муниципальной программе «Барнаул – комфортный город» на 2015 - 2030 годы: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.1. Строку «Объемы финансирования Подпрограммы» раздела «ПАСПОРТ подпрограммы «Обеспечение населения города Барнаула комфортным жильем на 2015 - 2030 годы»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«Общий объем финансирования Подпрограммы за счет всех источников в 2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6177258,8 тыс. рублей, в том числе 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145247,0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151026,7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145000,2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234510,2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362325,8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97154,7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285788,0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419781,2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890654,7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853881,9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431981,4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федерального бюджета – 342528,2 тыс. рублей, в том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58478,7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39519,8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38673,3 тыс. рублей,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37525,9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краевого бюджета – 176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892,8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160736,8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средства бюджета города – 5601060,3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86768,3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93729,1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89750,0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180691,3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160889,3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76495,9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272249,2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380261,4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851981,4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816356,0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431981,4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56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777,5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34169,0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1687,5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юджетов, средства собственников»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2. Строку «Ожидаемые результаты реализации Подпрограммы» изложить в следующей редакции: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«Выполнение обязательс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 по переселению 6211 граждан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из аварийного жилищного фонда или помещений, признанных непригодными для проживания;</w:t>
      </w:r>
    </w:p>
    <w:p w:rsidR="005A33E3" w:rsidRPr="005A33E3" w:rsidRDefault="005A33E3" w:rsidP="00373C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улучшение жилищных условий 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60 граждан, состоящих на учете 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улучшению жилищных условий среди малоимущих; 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улучшение жилищных условий 330 участников Великой Отечественной войны, ветеранов боевых действий, инвалидов и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семей, имеющих детей-инвалидов»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1.2.3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Подраздел 2.3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«2.3. Конечные результаты реализации Подпрограммы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Основными ожидаемыми результатами реализации Подпрограммы являются: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выполнение обязательс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 по переселению 6211 граждан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из аварийного жилищного фонда или помещений, признанных непригодными для проживания;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улучшение жилищных условий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60 граждан, состоящих на учете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улучшению жилищных условий среди малоимущих;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улучшение жилищных условий 330 участников Великой Отечественной войны, ветеранов боевых действий, инвалидов и семей, имеющих детей-инвалидов.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 об индикаторах Подпрог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раммы и их значениях приведены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приложении 4 к Программе.»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2.4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4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необходимых для реализации Подпрограммы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Общий объем финансирования Подпрограммы 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за счет всех источников 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6177258,8 тыс. рублей, в том числе 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145247,0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151026,7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145000,2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234510,2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362325,8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97154,7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285788,0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419781,2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890654,7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853881,9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431981,4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федерального бюджета – 342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528,2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58478,7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39519,8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2023 год – 38673,3 тыс. рублей,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37525,9 тыс. рублей,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краевого бюджета – 176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892,8 тыс. рублей, в том числе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160736,8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рублей,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бюджета города – 5601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060,3 тыс. рублей, в том числе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86768,3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93729,1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89750,0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180691,3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160889,3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76495,9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272249,2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380261,4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851981,4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816356,0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431981,4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431981,4 тыс. рублей,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56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777,5 тыс. рублей, в том числе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34169,0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1687,5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джетов, средства собственников.»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В приложении 2 к муниципальной программе «Барнаул - комфортный город» на 2015 - 2030 годы: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.1. Строку «Объемы финансирования Подпрограммы» раздела «ПАСПОРТ подпрограммы «Создание условий для обеспечения населения города Барнаула качественными услугами жилищно-к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оммунального хозяйства на 2015 -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 изложить в следующей редакции: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«Объем финансирования Подпрограммы за счет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средств бюджета города 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2359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298,6 тыс. рублей, в том числе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132841,3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111946,0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126801,4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129903,9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172830,8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105510,1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133148,9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164009,2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163517,8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163051,1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246273,9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212162,5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212162,5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184050,0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50544,6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50544,6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юджетов, средства собственников»</w:t>
      </w:r>
      <w:bookmarkStart w:id="0" w:name="_GoBack"/>
      <w:bookmarkEnd w:id="0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3.2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Строку «Ожидаемые результаты реализации Подпрограммы»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«Увеличение площади капитально отремонтированных многоквартирных домов до 508,4 </w:t>
      </w:r>
      <w:proofErr w:type="spellStart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тыс.кв.м</w:t>
      </w:r>
      <w:proofErr w:type="spellEnd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площади капитально отремонтированных муниципальных общежитий и жилых домов, исключенных из Перечня объектов, относящихся к специа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лизированному жилищному фонду,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7,4 </w:t>
      </w:r>
      <w:proofErr w:type="spellStart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тыс.кв.м</w:t>
      </w:r>
      <w:proofErr w:type="spellEnd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площади капита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льно отремонтированных квартир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жилых домов, находящихся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муниципальной собственности,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25,0 </w:t>
      </w:r>
      <w:proofErr w:type="spellStart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тыс.кв.м</w:t>
      </w:r>
      <w:proofErr w:type="spellEnd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»;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3.3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Подраздел 2.3 раздела 2 «Приоритеты муниципальной политики в сфере реализации Подпрограммы, цель и задачи, описание основных ожидаемых конечных ре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зультатов Подпрограммы, сроков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этапов 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ее реализации»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«2.3. Конечные результаты реализации Подпрограммы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Основными ожидаемыми результатами реализации Подпрограммы являются: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увеличение площади капитально отремонтированных многоквартирных домов до 508,4 </w:t>
      </w:r>
      <w:proofErr w:type="spellStart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тыс.кв.м</w:t>
      </w:r>
      <w:proofErr w:type="spellEnd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площади капитально отремонтированных муниципальных общежитий и жилых домов, исключенных из Перечня объектов, относящихся к специа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лизированному жилищному фонду,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7,4 </w:t>
      </w:r>
      <w:proofErr w:type="spellStart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тыс.кв.м</w:t>
      </w:r>
      <w:proofErr w:type="spellEnd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увеличение площади капита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льно отремонтированных квартир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жилых домов, находящихся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муниципальной собственности,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25,0 </w:t>
      </w:r>
      <w:proofErr w:type="spellStart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тыс.кв.м</w:t>
      </w:r>
      <w:proofErr w:type="spellEnd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 об индикаторах Подпрог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раммы и их значениях приведены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приложении 4 к Программе.»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3.4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Абзац 1 раздела 3 «Обобщенная характеристика мероприятий Подпрограммы» изложить в следующей редакции: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«Мероприятие «Капитальный ремонт жилищного фонда, аварийно-восстановительный ремонт жилищного фонда города Барнаула» направлено на проведение капитального ремонта многоквартирных жилых домов города во исполнение судебных актов об </w:t>
      </w:r>
      <w:proofErr w:type="spellStart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обязании</w:t>
      </w:r>
      <w:proofErr w:type="spellEnd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города Барнаула и (или) комитета произвести работы по капитальному ремонту конкретных многоквартирных домов за счет средств бюджета города Барнаула, в также на аварийно-восстановительный ремонт многоквартирных домов, в случае ухудш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ения их технического состояния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возникновения угрозы жизни и здоровью граждан. Перечень жилых домов, подлежащих капитальному ре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монту, приведен в приложении 1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Подпрограмме.»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3.5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4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необходимых для реализации Подпрограммы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финансирования Подпрограммы за счет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средств бюджета города 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2359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298,6 тыс. рублей, в том числе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132841,3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111946,0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126801,4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129903,9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172830,8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105510,1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133148,9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164009,2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163517,8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163051,1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246273,9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212162,5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212162,5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2028 год – 184050,0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50544,6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50544,6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джетов, средства собственников.»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373CA2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1.4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Приложения 1, 3 к подпрогр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амме «Создание условий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обеспечения населения города Барнаула качественными услугами жилищно-коммунального хозяйства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2015 - 2030 годы» изложить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новой редакции (приложения 1, 2);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1.5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В приложении 3 к муниципальной программе «Барнаул - комфо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ртный город на 2015 - 2030 годы»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A33E3" w:rsidRPr="005A33E3" w:rsidRDefault="00373CA2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1.5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.1. Строку «Объемы финансирования Подпрограммы» раздела «ПАСПОРТ подпрограммы «Благоустройство территории жилой застройки города Барнаула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2015 -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 изложить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следующей редакции: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«Объем финансирования Подпрограммы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счет всех источников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2015 - 2030 годах составляет 633236,1 тыс. рублей, в том числе 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8922,7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7676,6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61536,0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61803,4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60156,0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бюджета города – 631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922,4 тыс. рублей, в том числе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7609,0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2018 год – 7676,6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61536,0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61803,4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60156,0 тыс. рублей.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1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313,7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 подлежат ежегодному ут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очнению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едерального и краевого бюджетов»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1.5.2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3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«3. Обобщенная характеристика мероприятий Подпрограммы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«Благоуст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ройство контейнерных площадок,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за исключением установленных законодательством случаев, когда такая обязанность лежит на других лицах» включает в себя комплекс рабо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созданию и содержанию благоустроенных мест по сбору отходов потребления ТКО, за исключением установленных законодательством случаев, когда такая обязанность лежит на других лицах. План реализации данного мероприятия, а также адреса установки монолитных контейнерных площадок и устройс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тва асфальтобетонных оснований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 в разрезе районов города Барнаула приведены в приложениях 1, 2 к Подпрограмме.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«Предоставление гран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тов главы администрации города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содержанию многоквартирных домов и благоустройству придомовых территорий» предусматривает проведение конкурса на соискание грантов главы администрации города по со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держанию многоквартирных домов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благоустройству придомов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ых территорий, предоставляемых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безвозмездной и безвозвратной конку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рсной основе юридическим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физическим лицам с целью финансирования проектов общегородского значения в указанной сфере. Направления проектов – «Благоустроенный дом» и «Уютный двор».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Мероприятие «Организация проведения конкурса на лучшую новогоднюю дворовую территорию жилищного фонда города Барнаула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«Зимний двор» предусматривает проведение конкурса на лучшую новогоднюю дворовую территорию жилищного фонда города «Зимний двор».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«Разработка генеральной схемы санитарной очистки территории города Барнаула» направлено на создание генеральной схемы очистки территорий города, которая должна обеспечивать организацию рациональной системы сбора, хранен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ия, регулярного вывоза отходов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уборки территорий и удовлетворять требованиям «Санитарных правил содержания территорий населенных мест» (СанПиН 42-128-4690-88).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«Приобретение специализированной техники для транспортирования и утилизации твердых коммунальных отходов, содержания кладбищ» направлено на организацию своевременного вывоза твердых коммунальных отходов с территорий жилищного фонда, а также для содержания и уборки кладбищ.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«Осуществление контроля качества и проверка проектно-сметной документации по благоустройству дворовых территорий многоквартирных домов» включает в себя проверку и корректировку проектно-сметной документации по благоустройству дворовых территорий многоквартирных домов.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«Организаци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 ритуальных услуг, содержание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благоустройство кладбищ» направлено на содержание и благоустройство фактически обслуживаемых территорий кладбищ.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указанных мероприятий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направлена на выполнение цели 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и задач Подпрограммы.»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>5.3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4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необходимых для реализации Подпрограммы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финансирования Подпро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граммы за счет всех источников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2015 - 2030 годах составляет 633236,1 тыс. рублей, в том числе 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8922,7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7676,6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61536,0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61803,4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60156,0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Источники финансирования: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бюджета города – 631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922,4 тыс. рублей, в том числе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7609,0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7676,6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 – 61536,0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61803,4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2024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2026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2027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2028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2029 год – 60156,0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60156,0 тыс. рублей.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внебюджетные источники – 1313,7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дерального и краевого бюджетов.»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0B27F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1.6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Приложения 1, 2 к подпрограмме «Благоустройство территории жилой зас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тройки города Барнаула на 2015 -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 изложить в новой редакции (приложения 3, 4);</w:t>
      </w:r>
    </w:p>
    <w:p w:rsidR="005A33E3" w:rsidRPr="005A33E3" w:rsidRDefault="000B27F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1.7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Приложения 4-6 к муниципальной программе «Барна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ул – комфортный город» на 2015 -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 изложить в новой редакции (приложения 5-7).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2. Постановление вступает в силу со дня официального опубликования и распространяет свое действие на правоотношения, возникшие с 01.01.2022.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3. Комитету информационной политики (Андреева Е.С.) обеспечить опубликование постановлен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ия в газете «Вечерний Барнаул»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официальном сетевом издании «Правовой портал администрации г.Барнаула».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4. Контроль за испол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нением постановления возложить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заместителя главы администрации города по городскому хозяйству.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4FB1" w:rsidRDefault="005A33E3" w:rsidP="00FA14CA">
      <w:pPr>
        <w:autoSpaceDE w:val="0"/>
        <w:autoSpaceDN w:val="0"/>
        <w:adjustRightInd w:val="0"/>
        <w:spacing w:after="0" w:line="240" w:lineRule="auto"/>
        <w:jc w:val="both"/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                 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В.Г. Франк</w:t>
      </w:r>
    </w:p>
    <w:sectPr w:rsidR="00244FB1" w:rsidSect="00FA14CA">
      <w:headerReference w:type="default" r:id="rId6"/>
      <w:headerReference w:type="first" r:id="rId7"/>
      <w:pgSz w:w="11909" w:h="16834"/>
      <w:pgMar w:top="96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D4294">
      <w:pPr>
        <w:spacing w:after="0" w:line="240" w:lineRule="auto"/>
      </w:pPr>
      <w:r>
        <w:separator/>
      </w:r>
    </w:p>
  </w:endnote>
  <w:endnote w:type="continuationSeparator" w:id="0">
    <w:p w:rsidR="00000000" w:rsidRDefault="00ED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D4294">
      <w:pPr>
        <w:spacing w:after="0" w:line="240" w:lineRule="auto"/>
      </w:pPr>
      <w:r>
        <w:separator/>
      </w:r>
    </w:p>
  </w:footnote>
  <w:footnote w:type="continuationSeparator" w:id="0">
    <w:p w:rsidR="00000000" w:rsidRDefault="00ED4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0B27F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4294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ED42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0B27F6" w:rsidP="008C654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B27F6"/>
    <w:rsid w:val="00244FB1"/>
    <w:rsid w:val="00317170"/>
    <w:rsid w:val="00373CA2"/>
    <w:rsid w:val="0045734D"/>
    <w:rsid w:val="005A33E3"/>
    <w:rsid w:val="00687F5E"/>
    <w:rsid w:val="00983DF7"/>
    <w:rsid w:val="00A07085"/>
    <w:rsid w:val="00A65ACF"/>
    <w:rsid w:val="00D20B9F"/>
    <w:rsid w:val="00ED4294"/>
    <w:rsid w:val="00F14892"/>
    <w:rsid w:val="00FA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496A6-56C1-4014-8963-F1E20D3B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4201</Words>
  <Characters>23952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Ибатулина</dc:creator>
  <cp:keywords/>
  <dc:description/>
  <cp:lastModifiedBy>Оксана А. Ибатулина</cp:lastModifiedBy>
  <cp:revision>8</cp:revision>
  <cp:lastPrinted>2022-03-02T05:56:00Z</cp:lastPrinted>
  <dcterms:created xsi:type="dcterms:W3CDTF">2022-03-02T03:15:00Z</dcterms:created>
  <dcterms:modified xsi:type="dcterms:W3CDTF">2022-03-02T05:56:00Z</dcterms:modified>
</cp:coreProperties>
</file>