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FB8140" w14:textId="77777777" w:rsidR="006304A1" w:rsidRDefault="00BA3EFC">
      <w:pPr>
        <w:pStyle w:val="af5"/>
        <w:spacing w:after="0" w:line="240" w:lineRule="auto"/>
        <w:ind w:left="0" w:firstLine="709"/>
        <w:jc w:val="center"/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</w:pPr>
      <w:r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 xml:space="preserve">Информация </w:t>
      </w:r>
    </w:p>
    <w:p w14:paraId="4A9A1CDC" w14:textId="77777777" w:rsidR="006304A1" w:rsidRDefault="00BA3EFC">
      <w:pPr>
        <w:pStyle w:val="af5"/>
        <w:spacing w:after="0" w:line="240" w:lineRule="auto"/>
        <w:ind w:left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 xml:space="preserve">по итогам работы отдела по развитию туризма администрации города Барнаула </w:t>
      </w:r>
      <w:r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br/>
        <w:t xml:space="preserve">за </w:t>
      </w:r>
      <w:r>
        <w:rPr>
          <w:rFonts w:ascii="PT Astra Serif" w:eastAsiaTheme="minorHAnsi" w:hAnsi="PT Astra Serif"/>
          <w:color w:val="000000" w:themeColor="text1"/>
          <w:sz w:val="28"/>
          <w:szCs w:val="28"/>
          <w:lang w:val="en-US" w:eastAsia="en-US"/>
        </w:rPr>
        <w:t>II</w:t>
      </w:r>
      <w:r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 xml:space="preserve"> квартал 2025 года и задачам на I</w:t>
      </w:r>
      <w:r>
        <w:rPr>
          <w:rFonts w:ascii="PT Astra Serif" w:eastAsiaTheme="minorHAnsi" w:hAnsi="PT Astra Serif"/>
          <w:color w:val="000000" w:themeColor="text1"/>
          <w:sz w:val="28"/>
          <w:szCs w:val="28"/>
          <w:lang w:val="en-US" w:eastAsia="en-US"/>
        </w:rPr>
        <w:t>I</w:t>
      </w:r>
      <w:r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>I квартал 2025 года</w:t>
      </w:r>
    </w:p>
    <w:p w14:paraId="15520EFF" w14:textId="77777777" w:rsidR="006304A1" w:rsidRDefault="006304A1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14:paraId="081615C5" w14:textId="77777777" w:rsidR="006304A1" w:rsidRDefault="00BA3EFC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 xml:space="preserve">Во </w:t>
      </w:r>
      <w:r>
        <w:rPr>
          <w:rFonts w:ascii="PT Astra Serif" w:eastAsia="Calibri" w:hAnsi="PT Astra Serif" w:cs="Times New Roman"/>
          <w:sz w:val="28"/>
          <w:szCs w:val="28"/>
          <w:lang w:val="en-US"/>
        </w:rPr>
        <w:t>II</w:t>
      </w:r>
      <w:r>
        <w:rPr>
          <w:rFonts w:ascii="PT Astra Serif" w:eastAsia="Calibri" w:hAnsi="PT Astra Serif" w:cs="Times New Roman"/>
          <w:sz w:val="28"/>
          <w:szCs w:val="28"/>
        </w:rPr>
        <w:t xml:space="preserve"> квартале 2025 года</w:t>
      </w:r>
      <w:r>
        <w:rPr>
          <w:rFonts w:ascii="PT Astra Serif" w:eastAsia="Calibri" w:hAnsi="PT Astra Serif" w:cs="Times New Roman"/>
          <w:sz w:val="28"/>
          <w:szCs w:val="28"/>
        </w:rPr>
        <w:t xml:space="preserve"> продолжилась работа по развитию сферы туризма </w:t>
      </w:r>
      <w:r>
        <w:rPr>
          <w:rFonts w:ascii="PT Astra Serif" w:eastAsia="Calibri" w:hAnsi="PT Astra Serif" w:cs="Times New Roman"/>
          <w:sz w:val="28"/>
          <w:szCs w:val="28"/>
        </w:rPr>
        <w:br/>
        <w:t>в городе Барнауле.</w:t>
      </w:r>
    </w:p>
    <w:p w14:paraId="524DE4D5" w14:textId="77777777" w:rsidR="006304A1" w:rsidRDefault="00BA3EFC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18.04.2025</w:t>
      </w:r>
      <w:r>
        <w:rPr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заключено соглашение о предоставлении субсидии на реализацию проекта туристского кода. Средства будут направлены на мероприятия, утвержденные краевой конкурсной комиссией: изгото</w:t>
      </w:r>
      <w:r>
        <w:rPr>
          <w:rFonts w:ascii="PT Astra Serif" w:hAnsi="PT Astra Serif"/>
          <w:sz w:val="28"/>
          <w:szCs w:val="28"/>
        </w:rPr>
        <w:t>вление и установка информационных стел и стенда, лавочек, урн, арт-объектов, скамеек с настилом, площадки с арт-объектами, фотозоны, интерактивных стендов, панно, указателей в историческом стиле, обустройство светового потолка.</w:t>
      </w:r>
    </w:p>
    <w:p w14:paraId="1150970C" w14:textId="77777777" w:rsidR="006304A1" w:rsidRDefault="00BA3EFC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настоящее время по основны</w:t>
      </w:r>
      <w:r>
        <w:rPr>
          <w:rFonts w:ascii="PT Astra Serif" w:hAnsi="PT Astra Serif"/>
          <w:sz w:val="28"/>
          <w:szCs w:val="28"/>
        </w:rPr>
        <w:t>м мероприятиям проекта заключен муниципальный контракт, началась реализация мероприятий. На устройство светового потолка конкурсная документация размещена в единой информационной системе в сфере закупок. Подведение итогов закупки состоялось 30.07.2025.</w:t>
      </w:r>
    </w:p>
    <w:p w14:paraId="5BBF6EC4" w14:textId="77777777" w:rsidR="006304A1" w:rsidRDefault="00BA3EFC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Кро</w:t>
      </w:r>
      <w:r>
        <w:rPr>
          <w:rFonts w:ascii="PT Astra Serif" w:hAnsi="PT Astra Serif"/>
          <w:sz w:val="28"/>
          <w:szCs w:val="28"/>
        </w:rPr>
        <w:t>ме того, в ходе реализации проекта сложилась экономия бюджетных средств по результатам конкурсных процедур, использование которой согласовано с управлением Алтайского края по развитию туризма и курортной деятельности.</w:t>
      </w:r>
    </w:p>
    <w:p w14:paraId="5A093303" w14:textId="77777777" w:rsidR="006304A1" w:rsidRDefault="00BA3EF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Указанная экономия будет направлена на</w:t>
      </w:r>
      <w:r>
        <w:rPr>
          <w:rFonts w:ascii="PT Astra Serif" w:hAnsi="PT Astra Serif"/>
          <w:sz w:val="28"/>
          <w:szCs w:val="28"/>
        </w:rPr>
        <w:t xml:space="preserve"> реализацию дополнительных мероприятий проекта туристского кода центра города </w:t>
      </w:r>
      <w:r>
        <w:rPr>
          <w:rFonts w:ascii="Times New Roman" w:hAnsi="Times New Roman" w:cs="Times New Roman"/>
          <w:sz w:val="28"/>
          <w:szCs w:val="28"/>
        </w:rPr>
        <w:t>‒</w:t>
      </w:r>
      <w:r>
        <w:rPr>
          <w:rFonts w:ascii="PT Astra Serif" w:hAnsi="PT Astra Serif"/>
          <w:sz w:val="28"/>
          <w:szCs w:val="28"/>
        </w:rPr>
        <w:t xml:space="preserve"> установка скамеек</w:t>
      </w:r>
      <w:r>
        <w:rPr>
          <w:rFonts w:ascii="PT Astra Serif" w:hAnsi="PT Astra Serif"/>
          <w:sz w:val="28"/>
          <w:szCs w:val="28"/>
        </w:rPr>
        <w:br/>
        <w:t xml:space="preserve">с настилом на </w:t>
      </w:r>
      <w:proofErr w:type="spellStart"/>
      <w:r>
        <w:rPr>
          <w:rFonts w:ascii="PT Astra Serif" w:hAnsi="PT Astra Serif"/>
          <w:sz w:val="28"/>
          <w:szCs w:val="28"/>
        </w:rPr>
        <w:t>ул.Льва</w:t>
      </w:r>
      <w:proofErr w:type="spellEnd"/>
      <w:r>
        <w:rPr>
          <w:rFonts w:ascii="PT Astra Serif" w:hAnsi="PT Astra Serif"/>
          <w:sz w:val="28"/>
          <w:szCs w:val="28"/>
        </w:rPr>
        <w:t xml:space="preserve"> Толстого со стороны </w:t>
      </w:r>
      <w:proofErr w:type="spellStart"/>
      <w:r>
        <w:rPr>
          <w:rFonts w:ascii="PT Astra Serif" w:hAnsi="PT Astra Serif"/>
          <w:sz w:val="28"/>
          <w:szCs w:val="28"/>
        </w:rPr>
        <w:t>пр-кта</w:t>
      </w:r>
      <w:proofErr w:type="spellEnd"/>
      <w:r>
        <w:rPr>
          <w:rFonts w:ascii="PT Astra Serif" w:hAnsi="PT Astra Serif"/>
          <w:sz w:val="28"/>
          <w:szCs w:val="28"/>
        </w:rPr>
        <w:t xml:space="preserve"> Социалистического, пергол</w:t>
      </w:r>
      <w:r>
        <w:rPr>
          <w:rFonts w:ascii="PT Astra Serif" w:hAnsi="PT Astra Serif"/>
          <w:sz w:val="28"/>
          <w:szCs w:val="28"/>
        </w:rPr>
        <w:br/>
        <w:t>с качелями на набережной реки Оби. Советующие изменения 18.07.2025 внесены в соглаш</w:t>
      </w:r>
      <w:r>
        <w:rPr>
          <w:rFonts w:ascii="PT Astra Serif" w:hAnsi="PT Astra Serif"/>
          <w:sz w:val="28"/>
          <w:szCs w:val="28"/>
        </w:rPr>
        <w:t>ение о предоставлении субсидии.</w:t>
      </w:r>
    </w:p>
    <w:p w14:paraId="2DF6E3D1" w14:textId="77777777" w:rsidR="006304A1" w:rsidRDefault="00BA3EFC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Работы по проекту туристического кода должны быть завершены до конца 2025 года. </w:t>
      </w:r>
    </w:p>
    <w:p w14:paraId="738E87B6" w14:textId="77777777" w:rsidR="006304A1" w:rsidRDefault="00BA3EF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Отделом продолжается мониторинг работ по восстановлению объектов культурного наследия: «Аптека Крюгера» (</w:t>
      </w:r>
      <w:proofErr w:type="spellStart"/>
      <w:r>
        <w:rPr>
          <w:rFonts w:ascii="PT Astra Serif" w:eastAsia="Calibri" w:hAnsi="PT Astra Serif" w:cs="Times New Roman"/>
          <w:sz w:val="28"/>
          <w:szCs w:val="28"/>
        </w:rPr>
        <w:t>ул.Пушкина</w:t>
      </w:r>
      <w:proofErr w:type="spellEnd"/>
      <w:r>
        <w:rPr>
          <w:rFonts w:ascii="PT Astra Serif" w:eastAsia="Calibri" w:hAnsi="PT Astra Serif" w:cs="Times New Roman"/>
          <w:sz w:val="28"/>
          <w:szCs w:val="28"/>
        </w:rPr>
        <w:t>, 64), «Жилой дом купца Сухо</w:t>
      </w:r>
      <w:r>
        <w:rPr>
          <w:rFonts w:ascii="PT Astra Serif" w:eastAsia="Calibri" w:hAnsi="PT Astra Serif" w:cs="Times New Roman"/>
          <w:sz w:val="28"/>
          <w:szCs w:val="28"/>
        </w:rPr>
        <w:t>ва» (</w:t>
      </w:r>
      <w:proofErr w:type="spellStart"/>
      <w:r>
        <w:rPr>
          <w:rFonts w:ascii="PT Astra Serif" w:eastAsia="Calibri" w:hAnsi="PT Astra Serif" w:cs="Times New Roman"/>
          <w:sz w:val="28"/>
          <w:szCs w:val="28"/>
        </w:rPr>
        <w:t>ул.Льва</w:t>
      </w:r>
      <w:proofErr w:type="spellEnd"/>
      <w:r>
        <w:rPr>
          <w:rFonts w:ascii="PT Astra Serif" w:eastAsia="Calibri" w:hAnsi="PT Astra Serif" w:cs="Times New Roman"/>
          <w:sz w:val="28"/>
          <w:szCs w:val="28"/>
        </w:rPr>
        <w:t xml:space="preserve"> Толстого, 33), «Магазин  Сухова» (</w:t>
      </w:r>
      <w:proofErr w:type="spellStart"/>
      <w:r>
        <w:rPr>
          <w:rFonts w:ascii="PT Astra Serif" w:eastAsia="Calibri" w:hAnsi="PT Astra Serif" w:cs="Times New Roman"/>
          <w:sz w:val="28"/>
          <w:szCs w:val="28"/>
        </w:rPr>
        <w:t>ул.Льва</w:t>
      </w:r>
      <w:proofErr w:type="spellEnd"/>
      <w:r>
        <w:rPr>
          <w:rFonts w:ascii="PT Astra Serif" w:eastAsia="Calibri" w:hAnsi="PT Astra Serif" w:cs="Times New Roman"/>
          <w:sz w:val="28"/>
          <w:szCs w:val="28"/>
        </w:rPr>
        <w:t xml:space="preserve"> Толстого, 31), «Универмаг торгового дома «Сухов с сыновьями» (</w:t>
      </w:r>
      <w:proofErr w:type="spellStart"/>
      <w:r>
        <w:rPr>
          <w:rFonts w:ascii="PT Astra Serif" w:eastAsia="Calibri" w:hAnsi="PT Astra Serif" w:cs="Times New Roman"/>
          <w:sz w:val="28"/>
          <w:szCs w:val="28"/>
        </w:rPr>
        <w:t>ул.Мало</w:t>
      </w:r>
      <w:proofErr w:type="spellEnd"/>
      <w:r>
        <w:rPr>
          <w:rFonts w:ascii="PT Astra Serif" w:eastAsia="Calibri" w:hAnsi="PT Astra Serif" w:cs="Times New Roman"/>
          <w:sz w:val="28"/>
          <w:szCs w:val="28"/>
        </w:rPr>
        <w:t>-Тобольская, 36), «Контора купца Морозова» (</w:t>
      </w:r>
      <w:proofErr w:type="spellStart"/>
      <w:r>
        <w:rPr>
          <w:rFonts w:ascii="PT Astra Serif" w:eastAsia="Calibri" w:hAnsi="PT Astra Serif" w:cs="Times New Roman"/>
          <w:sz w:val="28"/>
          <w:szCs w:val="28"/>
        </w:rPr>
        <w:t>ул.Ползунова</w:t>
      </w:r>
      <w:proofErr w:type="spellEnd"/>
      <w:r>
        <w:rPr>
          <w:rFonts w:ascii="PT Astra Serif" w:eastAsia="Calibri" w:hAnsi="PT Astra Serif" w:cs="Times New Roman"/>
          <w:sz w:val="28"/>
          <w:szCs w:val="28"/>
        </w:rPr>
        <w:t>, 31).</w:t>
      </w:r>
      <w:r>
        <w:rPr>
          <w:rFonts w:ascii="PT Astra Serif" w:hAnsi="PT Astra Serif" w:cs="Times New Roman"/>
          <w:sz w:val="28"/>
          <w:szCs w:val="28"/>
        </w:rPr>
        <w:t xml:space="preserve"> </w:t>
      </w:r>
    </w:p>
    <w:p w14:paraId="3DF95990" w14:textId="77777777" w:rsidR="006304A1" w:rsidRDefault="00BA3EFC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 xml:space="preserve">В целях продвижения туристических ресурсов города </w:t>
      </w:r>
      <w:r>
        <w:rPr>
          <w:rFonts w:ascii="PT Astra Serif" w:hAnsi="PT Astra Serif" w:cs="Times New Roman"/>
          <w:sz w:val="28"/>
          <w:szCs w:val="28"/>
        </w:rPr>
        <w:t xml:space="preserve">отделом </w:t>
      </w:r>
      <w:r>
        <w:rPr>
          <w:rFonts w:ascii="PT Astra Serif" w:hAnsi="PT Astra Serif" w:cs="Times New Roman"/>
          <w:sz w:val="28"/>
          <w:szCs w:val="28"/>
        </w:rPr>
        <w:br/>
      </w:r>
      <w:r>
        <w:rPr>
          <w:rFonts w:ascii="PT Astra Serif" w:eastAsia="Calibri" w:hAnsi="PT Astra Serif" w:cs="Times New Roman"/>
          <w:sz w:val="28"/>
          <w:szCs w:val="28"/>
        </w:rPr>
        <w:t>продолжае</w:t>
      </w:r>
      <w:r>
        <w:rPr>
          <w:rFonts w:ascii="PT Astra Serif" w:eastAsia="Calibri" w:hAnsi="PT Astra Serif" w:cs="Times New Roman"/>
          <w:sz w:val="28"/>
          <w:szCs w:val="28"/>
        </w:rPr>
        <w:t>тся работа по размещению материалов в средствах массовой информации и сети Интернет.</w:t>
      </w:r>
    </w:p>
    <w:p w14:paraId="21EDBA50" w14:textId="77777777" w:rsidR="006304A1" w:rsidRDefault="00BA3EFC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 xml:space="preserve">С начала года в аккаунтах «Барнаул Туризм» и средствах массовой информации опубликовано более </w:t>
      </w:r>
      <w:r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150 информационных сообщений. Совокупное количество подписчиков по социальным сетям составляет более 3000,0 человек. Наиболее популярные информационные посты наби</w:t>
      </w:r>
      <w:r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рают более 2500 </w:t>
      </w:r>
      <w:r>
        <w:rPr>
          <w:rFonts w:ascii="PT Astra Serif" w:eastAsia="Calibri" w:hAnsi="PT Astra Serif" w:cs="Times New Roman"/>
          <w:sz w:val="28"/>
          <w:szCs w:val="28"/>
        </w:rPr>
        <w:t>просмотров.</w:t>
      </w:r>
    </w:p>
    <w:p w14:paraId="3811501A" w14:textId="77777777" w:rsidR="006304A1" w:rsidRDefault="00BA3EFC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lastRenderedPageBreak/>
        <w:t>Еженедельно на туристическом портале города Барнаула актуализируются мероприятия города в разделе «Календарь событий». Возобновлена работа по актуализации информации о коллективных средствах размещения и объектах общественного п</w:t>
      </w:r>
      <w:r>
        <w:rPr>
          <w:rFonts w:ascii="PT Astra Serif" w:eastAsia="Calibri" w:hAnsi="PT Astra Serif" w:cs="Times New Roman"/>
          <w:sz w:val="28"/>
          <w:szCs w:val="28"/>
        </w:rPr>
        <w:t>итания на туристическом портале.</w:t>
      </w:r>
    </w:p>
    <w:p w14:paraId="0B3AC266" w14:textId="77777777" w:rsidR="006304A1" w:rsidRDefault="00BA3EFC">
      <w:pPr>
        <w:tabs>
          <w:tab w:val="left" w:pos="993"/>
          <w:tab w:val="left" w:pos="3544"/>
          <w:tab w:val="left" w:pos="3686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Вместе с этим, в целях дальнейшего функционирования туристического портала города Барнаула заключен муниципальный контракт на приобретение исключительных прав на продление использования программ для ЭВМ «1С-Битрикс: Управле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ние сайтом – Стандарт».</w:t>
      </w:r>
    </w:p>
    <w:p w14:paraId="68408B6F" w14:textId="77777777" w:rsidR="006304A1" w:rsidRDefault="00BA3EFC">
      <w:pPr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  <w:lang w:eastAsia="ru-RU"/>
        </w:rPr>
        <w:t xml:space="preserve">Особое внимание во </w:t>
      </w:r>
      <w:r>
        <w:rPr>
          <w:rFonts w:ascii="PT Astra Serif" w:eastAsia="PT Astra Serif" w:hAnsi="PT Astra Serif" w:cs="PT Astra Serif"/>
          <w:sz w:val="28"/>
          <w:szCs w:val="28"/>
          <w:lang w:val="en-US"/>
        </w:rPr>
        <w:t>II</w:t>
      </w:r>
      <w:r>
        <w:rPr>
          <w:rFonts w:ascii="PT Astra Serif" w:eastAsia="PT Astra Serif" w:hAnsi="PT Astra Serif" w:cs="PT Astra Serif"/>
          <w:color w:val="000000"/>
          <w:sz w:val="28"/>
          <w:szCs w:val="28"/>
          <w:lang w:eastAsia="ru-RU"/>
        </w:rPr>
        <w:t xml:space="preserve"> квартале было направлено на взаимодействие с коллективными средствами размещения (далее – КСР) в части выполнения требований законодательства по обязательной классификации, исчислению туристического налога, ант</w:t>
      </w:r>
      <w:r>
        <w:rPr>
          <w:rFonts w:ascii="PT Astra Serif" w:eastAsia="PT Astra Serif" w:hAnsi="PT Astra Serif" w:cs="PT Astra Serif"/>
          <w:color w:val="000000"/>
          <w:sz w:val="28"/>
          <w:szCs w:val="28"/>
          <w:lang w:eastAsia="ru-RU"/>
        </w:rPr>
        <w:t>итеррористической защищенности.</w:t>
      </w:r>
    </w:p>
    <w:p w14:paraId="0F320D00" w14:textId="77777777" w:rsidR="006304A1" w:rsidRDefault="00BA3E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57" w:line="283" w:lineRule="atLeast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С 2025 года классификация стала обязательной для всех объектов, предоставляющих услуги временного размещения туристов.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Согласно Федеральному закону №132-ФЗ «Об основах туристской деятельности в Российской Федерации»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в срок до 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01.09.2025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все коллективные ср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едства размещения 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должны оценить свои объекты на соответствие требованиям к типу средства размещения и загрузить информацию в цифровую систему ФГИС </w:t>
      </w:r>
      <w:proofErr w:type="spellStart"/>
      <w:r>
        <w:rPr>
          <w:rFonts w:ascii="PT Astra Serif" w:eastAsia="PT Astra Serif" w:hAnsi="PT Astra Serif" w:cs="PT Astra Serif"/>
          <w:color w:val="000000"/>
          <w:sz w:val="28"/>
          <w:szCs w:val="28"/>
        </w:rPr>
        <w:t>Росаккредитации</w:t>
      </w:r>
      <w:proofErr w:type="spellEnd"/>
      <w:r>
        <w:rPr>
          <w:rFonts w:ascii="PT Astra Serif" w:eastAsia="PT Astra Serif" w:hAnsi="PT Astra Serif" w:cs="PT Astra Serif"/>
          <w:color w:val="000000"/>
          <w:sz w:val="28"/>
          <w:szCs w:val="28"/>
        </w:rPr>
        <w:t>.</w:t>
      </w:r>
    </w:p>
    <w:p w14:paraId="0E296D27" w14:textId="77777777" w:rsidR="006304A1" w:rsidRDefault="00BA3E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57" w:line="283" w:lineRule="atLeast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Прохождению классификации подлежат 86 объектов, из них - 41 прошли процедуру самооценки. От</w:t>
      </w:r>
      <w:r>
        <w:rPr>
          <w:rFonts w:ascii="PT Astra Serif" w:eastAsia="PT Astra Serif" w:hAnsi="PT Astra Serif" w:cs="PT Astra Serif"/>
          <w:sz w:val="28"/>
          <w:szCs w:val="28"/>
        </w:rPr>
        <w:t>делом ведется ежедневная работа с собственниками средств размещения по прохождению самооценки. Средства размещения, не включенные в реестр, с 01.09.2025 не смогут оказывать услуги по размещению граждан, а также размещать информацию о себе в системах бронир</w:t>
      </w:r>
      <w:r>
        <w:rPr>
          <w:rFonts w:ascii="PT Astra Serif" w:eastAsia="PT Astra Serif" w:hAnsi="PT Astra Serif" w:cs="PT Astra Serif"/>
          <w:sz w:val="28"/>
          <w:szCs w:val="28"/>
        </w:rPr>
        <w:t>ования и других информационных источниках.</w:t>
      </w:r>
    </w:p>
    <w:p w14:paraId="664D34D4" w14:textId="77777777" w:rsidR="006304A1" w:rsidRDefault="00BA3EFC">
      <w:pPr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  <w:shd w:val="clear" w:color="auto" w:fill="FFFFFF"/>
          <w:lang w:eastAsia="ru-RU"/>
        </w:rPr>
        <w:t>Отделом совместно с управлением Алтайского края по развитию туризма и курортной дея</w:t>
      </w:r>
      <w:r>
        <w:rPr>
          <w:rFonts w:ascii="PT Astra Serif" w:eastAsia="PT Astra Serif" w:hAnsi="PT Astra Serif" w:cs="PT Astra Serif"/>
          <w:color w:val="000000"/>
          <w:sz w:val="28"/>
          <w:szCs w:val="28"/>
          <w:lang w:eastAsia="ru-RU"/>
        </w:rPr>
        <w:t xml:space="preserve">тельности (далее – управление) продолжается работа по проведению анализа деятельности действующих объектов размещения, сведения о которых отсутствуют в реестре классифицированных средств размещения </w:t>
      </w:r>
      <w:r>
        <w:rPr>
          <w:rFonts w:ascii="PT Astra Serif" w:eastAsia="PT Astra Serif" w:hAnsi="PT Astra Serif" w:cs="PT Astra Serif"/>
          <w:color w:val="000000"/>
          <w:sz w:val="28"/>
          <w:szCs w:val="28"/>
          <w:shd w:val="clear" w:color="auto" w:fill="FFFFFF"/>
          <w:lang w:eastAsia="ru-RU"/>
        </w:rPr>
        <w:t>(Федеральный закон № 176-ФЗ от 12.07.2024).</w:t>
      </w:r>
    </w:p>
    <w:p w14:paraId="3AF083AE" w14:textId="4D1350A0" w:rsidR="006304A1" w:rsidRDefault="00BA3EFC">
      <w:pPr>
        <w:spacing w:after="0" w:line="57" w:lineRule="atLeast"/>
        <w:ind w:firstLine="708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  <w:lang w:eastAsia="ru-RU"/>
        </w:rPr>
        <w:t>В соответствии</w:t>
      </w:r>
      <w:r>
        <w:rPr>
          <w:rFonts w:ascii="PT Astra Serif" w:eastAsia="PT Astra Serif" w:hAnsi="PT Astra Serif" w:cs="PT Astra Serif"/>
          <w:color w:val="000000"/>
          <w:sz w:val="28"/>
          <w:szCs w:val="28"/>
          <w:lang w:eastAsia="ru-RU"/>
        </w:rPr>
        <w:t xml:space="preserve"> со статьей 418.3 Налогового кодекса Российской Федерации для целей исчисления туристического налога </w:t>
      </w:r>
      <w:r w:rsidR="0084054C">
        <w:rPr>
          <w:rFonts w:ascii="PT Astra Serif" w:eastAsia="PT Astra Serif" w:hAnsi="PT Astra Serif" w:cs="PT Astra Serif"/>
          <w:color w:val="000000"/>
          <w:sz w:val="28"/>
          <w:szCs w:val="28"/>
          <w:lang w:eastAsia="ru-RU"/>
        </w:rPr>
        <w:t>30.06.2025 размещены</w:t>
      </w:r>
      <w:r>
        <w:rPr>
          <w:rFonts w:ascii="PT Astra Serif" w:eastAsia="PT Astra Serif" w:hAnsi="PT Astra Serif" w:cs="PT Astra Serif"/>
          <w:color w:val="000000"/>
          <w:sz w:val="28"/>
          <w:szCs w:val="28"/>
          <w:lang w:eastAsia="ru-RU"/>
        </w:rPr>
        <w:t xml:space="preserve"> сведения</w:t>
      </w:r>
      <w:r>
        <w:rPr>
          <w:rFonts w:ascii="PT Astra Serif" w:eastAsia="PT Astra Serif" w:hAnsi="PT Astra Serif" w:cs="PT Astra Serif"/>
          <w:color w:val="000000"/>
          <w:sz w:val="28"/>
          <w:szCs w:val="28"/>
          <w:lang w:eastAsia="ru-RU"/>
        </w:rPr>
        <w:br/>
        <w:t xml:space="preserve">о четырех КСР (28.02.2025 - 19 КСР) на официальном Интернет-сайте города Барнаула в разделе «Туризм». </w:t>
      </w:r>
    </w:p>
    <w:p w14:paraId="37F87BCF" w14:textId="77777777" w:rsidR="006304A1" w:rsidRDefault="00BA3EFC">
      <w:pPr>
        <w:spacing w:after="0" w:line="62" w:lineRule="atLeast"/>
        <w:ind w:firstLine="709"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  <w:lang w:eastAsia="ru-RU"/>
        </w:rPr>
        <w:t>К прохождению антитер</w:t>
      </w:r>
      <w:r>
        <w:rPr>
          <w:rFonts w:ascii="PT Astra Serif" w:eastAsia="PT Astra Serif" w:hAnsi="PT Astra Serif" w:cs="PT Astra Serif"/>
          <w:color w:val="000000"/>
          <w:sz w:val="28"/>
          <w:szCs w:val="28"/>
          <w:lang w:eastAsia="ru-RU"/>
        </w:rPr>
        <w:t>рористической защищенности подлежат 90 объектов, расположенных на территории города. В отдел предоставлена информация</w:t>
      </w:r>
      <w:r>
        <w:rPr>
          <w:rFonts w:ascii="PT Astra Serif" w:eastAsia="PT Astra Serif" w:hAnsi="PT Astra Serif" w:cs="PT Astra Serif"/>
          <w:color w:val="000000"/>
          <w:sz w:val="28"/>
          <w:szCs w:val="28"/>
          <w:lang w:eastAsia="ru-RU"/>
        </w:rPr>
        <w:br/>
        <w:t xml:space="preserve">о прохождении обследования, категорирования, наличии паспортов и актов безопасности всеми объектами. </w:t>
      </w: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>Управлением при очередной актуализаци</w:t>
      </w: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и перечня КСР, подлежащих антитеррористической защищенности будут исключены </w:t>
      </w: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br/>
      </w: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lastRenderedPageBreak/>
        <w:t>2 объекта («Лалетин, «Корсар») в связи с прекращением деятельности по предоставлению гостиничных услуг.</w:t>
      </w:r>
    </w:p>
    <w:p w14:paraId="52B2869F" w14:textId="06B92D9B" w:rsidR="006304A1" w:rsidRDefault="00BA3EFC">
      <w:pPr>
        <w:spacing w:after="0" w:line="62" w:lineRule="atLeast"/>
        <w:ind w:firstLine="709"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>Кроме того, Алтайский край вошел в перечень территорий, где организован экс</w:t>
      </w: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>перимент по легализации гостевых домов. С 01.09.2025 будет принят Закон Алтайского края, который будет регламентировать действие данного режима на территории края и до 01.01.2026 собственники гостевых домов должны пройти все необходимые процедуры и включит</w:t>
      </w: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ься в реестр классифицированных средств размещения. Деятельность гостевых домов без этой записи с </w:t>
      </w:r>
      <w:r w:rsidR="0084054C">
        <w:rPr>
          <w:rFonts w:ascii="PT Astra Serif" w:eastAsia="PT Astra Serif" w:hAnsi="PT Astra Serif" w:cs="PT Astra Serif"/>
          <w:sz w:val="28"/>
          <w:szCs w:val="28"/>
          <w:lang w:eastAsia="ru-RU"/>
        </w:rPr>
        <w:t>01.01.2026 будет</w:t>
      </w: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 невозможна. </w:t>
      </w:r>
    </w:p>
    <w:p w14:paraId="25E3541C" w14:textId="77777777" w:rsidR="006304A1" w:rsidRDefault="00BA3EFC">
      <w:pPr>
        <w:spacing w:after="0" w:line="62" w:lineRule="atLeast"/>
        <w:ind w:firstLine="709"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>В прошедшем квартале организована работа по проведению закупочных процедур.</w:t>
      </w:r>
    </w:p>
    <w:p w14:paraId="1D1E818D" w14:textId="77777777" w:rsidR="006304A1" w:rsidRDefault="00BA3EF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Определены подрядные организации на оказание услуг 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по организации и проведению выставки «Барнаул-туристский», Арт-фестиваля в рамках празднования Дня города, Дня туризма.</w:t>
      </w:r>
    </w:p>
    <w:p w14:paraId="365CCDB9" w14:textId="77777777" w:rsidR="006304A1" w:rsidRDefault="00BA3EF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ar-SA"/>
        </w:rPr>
        <w:t>Состоялся электронный аукцион на выполнение работ по созданию видеоролика о городе. Муниципальный контракт заключен 22.07.2025. Срок исп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ar-SA"/>
        </w:rPr>
        <w:t>олнения работ 01.12.2025.</w:t>
      </w:r>
    </w:p>
    <w:p w14:paraId="214D0155" w14:textId="704A6242" w:rsidR="006304A1" w:rsidRDefault="00BA3EFC">
      <w:pPr>
        <w:spacing w:after="0" w:line="62" w:lineRule="atLeast"/>
        <w:ind w:firstLine="709"/>
        <w:jc w:val="both"/>
        <w:rPr>
          <w:rFonts w:ascii="PT Astra Serif" w:eastAsia="PT Astra Serif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eastAsia="PT Astra Serif" w:hAnsi="PT Astra Serif" w:cs="PT Astra Serif"/>
          <w:color w:val="000000" w:themeColor="text1"/>
          <w:sz w:val="28"/>
          <w:szCs w:val="28"/>
          <w:lang w:eastAsia="ru-RU"/>
        </w:rPr>
        <w:t xml:space="preserve">Заключен муниципальный контракт на изготовление сувенирной </w:t>
      </w:r>
      <w:r w:rsidR="0084054C">
        <w:rPr>
          <w:rFonts w:ascii="PT Astra Serif" w:eastAsia="PT Astra Serif" w:hAnsi="PT Astra Serif" w:cs="PT Astra Serif"/>
          <w:color w:val="000000" w:themeColor="text1"/>
          <w:sz w:val="28"/>
          <w:szCs w:val="28"/>
          <w:lang w:eastAsia="ru-RU"/>
        </w:rPr>
        <w:t>продукции о</w:t>
      </w:r>
      <w:r>
        <w:rPr>
          <w:rFonts w:ascii="PT Astra Serif" w:eastAsia="PT Astra Serif" w:hAnsi="PT Astra Serif" w:cs="PT Astra Serif"/>
          <w:color w:val="000000" w:themeColor="text1"/>
          <w:sz w:val="28"/>
          <w:szCs w:val="28"/>
          <w:lang w:eastAsia="ru-RU"/>
        </w:rPr>
        <w:t xml:space="preserve"> городе. Срок исполнения контракта 08.08.2025.</w:t>
      </w:r>
    </w:p>
    <w:p w14:paraId="2238EC87" w14:textId="77777777" w:rsidR="006304A1" w:rsidRDefault="00BA3EF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За отчетный период отделом организовано 10 </w:t>
      </w: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>экскурсий по городу Барнаулу в рамках встреч делегаций, в том числе экскурсии для членов Совета Федерации РФ, представителей Луганской Народной Республики, представителей Республики Казахстан, участников делегации Баян-</w:t>
      </w:r>
      <w:proofErr w:type="spellStart"/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>Ульгийского</w:t>
      </w:r>
      <w:proofErr w:type="spellEnd"/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 аймака Монголии.</w:t>
      </w:r>
    </w:p>
    <w:p w14:paraId="7CD6B7ED" w14:textId="77777777" w:rsidR="006304A1" w:rsidRDefault="00BA3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Отделом </w:t>
      </w: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принято участие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краевом этапе Всероссийского конкурса «Лучшая муниципальная практика» в номинации «Муниципальная экономическая политика и управление муниципальными финансами» по теме: «Создание развитой и комфортной среды для туристов». Город Барнаул зан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ял 1 место на региональном уровне.</w:t>
      </w:r>
    </w:p>
    <w:p w14:paraId="545B0AD7" w14:textId="77777777" w:rsidR="006304A1" w:rsidRDefault="00BA3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26.06.2025 отдел по развитию туризма принял участие в совещании по вопросу обеспечения своевременного завершения работ по классификации средств размещения, расположенных на территории Алтайского края в формате видеоконфер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енции под председательством начальника Управления Алтайского края по развитию туризма и курортной деятельности.</w:t>
      </w:r>
    </w:p>
    <w:p w14:paraId="43BBAACE" w14:textId="77777777" w:rsidR="006304A1" w:rsidRDefault="00BA3EFC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sz w:val="28"/>
          <w:szCs w:val="28"/>
        </w:rPr>
        <w:t xml:space="preserve">По итогам </w:t>
      </w:r>
      <w:r>
        <w:rPr>
          <w:rFonts w:ascii="PT Astra Serif" w:eastAsia="Calibri" w:hAnsi="PT Astra Serif" w:cs="Times New Roman"/>
          <w:sz w:val="28"/>
          <w:szCs w:val="28"/>
          <w:lang w:val="en-US"/>
        </w:rPr>
        <w:t>II</w:t>
      </w:r>
      <w:r>
        <w:rPr>
          <w:rFonts w:ascii="PT Astra Serif" w:eastAsia="Calibri" w:hAnsi="PT Astra Serif" w:cs="Times New Roman"/>
          <w:sz w:val="28"/>
          <w:szCs w:val="28"/>
        </w:rPr>
        <w:t xml:space="preserve"> квартала 2025 года достигнуты следующие показатели развития 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t>туризма:</w:t>
      </w:r>
    </w:p>
    <w:p w14:paraId="11946C5E" w14:textId="77777777" w:rsidR="006304A1" w:rsidRDefault="00BA3EFC">
      <w:pPr>
        <w:pStyle w:val="af5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туристский поток – </w:t>
      </w:r>
      <w:r>
        <w:rPr>
          <w:rFonts w:ascii="PT Astra Serif" w:eastAsia="Calibri" w:hAnsi="PT Astra Serif"/>
          <w:color w:val="000000" w:themeColor="text1"/>
          <w:sz w:val="28"/>
          <w:szCs w:val="28"/>
        </w:rPr>
        <w:t>176 410 человек (план – 172 950 человек);</w:t>
      </w:r>
    </w:p>
    <w:p w14:paraId="060E0939" w14:textId="77777777" w:rsidR="006304A1" w:rsidRDefault="00BA3EFC">
      <w:pPr>
        <w:pStyle w:val="af5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численность размещенных лиц в коллективных средствах размещения – 135 749 человека (план – 133 400 человек);</w:t>
      </w:r>
    </w:p>
    <w:p w14:paraId="63849696" w14:textId="77777777" w:rsidR="006304A1" w:rsidRDefault="00BA3EFC">
      <w:pPr>
        <w:pStyle w:val="af5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количество участников экскурсий по городу Барнаулу – 40 661 человек (план – 39 550 человек);</w:t>
      </w:r>
    </w:p>
    <w:p w14:paraId="7091F23F" w14:textId="77777777" w:rsidR="006304A1" w:rsidRDefault="00BA3EFC">
      <w:pPr>
        <w:pStyle w:val="af5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количество информаций в средствах массовой информации </w:t>
      </w:r>
      <w:r>
        <w:rPr>
          <w:rFonts w:ascii="PT Astra Serif" w:eastAsia="Calibri" w:hAnsi="PT Astra Serif"/>
          <w:sz w:val="28"/>
          <w:szCs w:val="28"/>
        </w:rPr>
        <w:br/>
        <w:t>о деятельности туристской отрасли в городе Барнауле – 10 ед. (план – 10 ед.).</w:t>
      </w:r>
    </w:p>
    <w:p w14:paraId="2A076176" w14:textId="77777777" w:rsidR="006304A1" w:rsidRDefault="00BA3EFC">
      <w:pPr>
        <w:tabs>
          <w:tab w:val="left" w:pos="993"/>
          <w:tab w:val="left" w:pos="3544"/>
          <w:tab w:val="left" w:pos="3686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Calibri" w:hAnsi="PT Astra Serif"/>
          <w:sz w:val="28"/>
          <w:szCs w:val="28"/>
        </w:rPr>
        <w:lastRenderedPageBreak/>
        <w:t>Основными задачами отдела на I</w:t>
      </w:r>
      <w:r>
        <w:rPr>
          <w:rFonts w:ascii="PT Astra Serif" w:eastAsia="Calibri" w:hAnsi="PT Astra Serif"/>
          <w:sz w:val="28"/>
          <w:szCs w:val="28"/>
          <w:lang w:val="en-US"/>
        </w:rPr>
        <w:t>II</w:t>
      </w:r>
      <w:r>
        <w:rPr>
          <w:rFonts w:ascii="PT Astra Serif" w:eastAsia="Calibri" w:hAnsi="PT Astra Serif"/>
          <w:sz w:val="28"/>
          <w:szCs w:val="28"/>
        </w:rPr>
        <w:t xml:space="preserve"> квартал 2025 года являются: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br/>
        <w:t xml:space="preserve">          - 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реализация мероприятий проекта по развитию территории в соответствии с туристским кодом центра города Барнаула;</w:t>
      </w:r>
    </w:p>
    <w:p w14:paraId="7832A808" w14:textId="77777777" w:rsidR="006304A1" w:rsidRDefault="00BA3EFC">
      <w:pPr>
        <w:pStyle w:val="af5"/>
        <w:spacing w:after="0" w:line="240" w:lineRule="auto"/>
        <w:ind w:left="709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- проведение Дня города в рамках празднования 295-й годовщины образования города Барнаула;</w:t>
      </w:r>
    </w:p>
    <w:p w14:paraId="4A6535A3" w14:textId="77777777" w:rsidR="006304A1" w:rsidRDefault="00BA3EFC">
      <w:pPr>
        <w:tabs>
          <w:tab w:val="left" w:pos="993"/>
          <w:tab w:val="left" w:pos="3544"/>
          <w:tab w:val="left" w:pos="3686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- организация закупочной деятельности на выполнение р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абот по техническому сопровождению и модернизации туристического портала, на оказание услуг по изготовлению и печати полиграфической продукции о городе;</w:t>
      </w:r>
    </w:p>
    <w:p w14:paraId="27C79C70" w14:textId="77777777" w:rsidR="006304A1" w:rsidRDefault="00BA3EFC">
      <w:pPr>
        <w:tabs>
          <w:tab w:val="left" w:pos="993"/>
          <w:tab w:val="left" w:pos="3544"/>
          <w:tab w:val="left" w:pos="3686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- проведение Совета по развитию туризма в городе Барнауле.</w:t>
      </w:r>
    </w:p>
    <w:p w14:paraId="2FC92F95" w14:textId="77777777" w:rsidR="006304A1" w:rsidRDefault="00BA3EFC">
      <w:pPr>
        <w:tabs>
          <w:tab w:val="left" w:pos="993"/>
          <w:tab w:val="left" w:pos="3544"/>
          <w:tab w:val="left" w:pos="3686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      </w:t>
      </w:r>
    </w:p>
    <w:p w14:paraId="54333820" w14:textId="77777777" w:rsidR="006304A1" w:rsidRDefault="006304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6304A1">
      <w:headerReference w:type="default" r:id="rId8"/>
      <w:headerReference w:type="first" r:id="rId9"/>
      <w:pgSz w:w="11906" w:h="16838"/>
      <w:pgMar w:top="567" w:right="567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206CBB" w14:textId="77777777" w:rsidR="00BA3EFC" w:rsidRDefault="00BA3EFC">
      <w:pPr>
        <w:spacing w:after="0" w:line="240" w:lineRule="auto"/>
      </w:pPr>
      <w:r>
        <w:separator/>
      </w:r>
    </w:p>
  </w:endnote>
  <w:endnote w:type="continuationSeparator" w:id="0">
    <w:p w14:paraId="30CFFDCE" w14:textId="77777777" w:rsidR="00BA3EFC" w:rsidRDefault="00BA3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PT Astra Serif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C49DC7" w14:textId="77777777" w:rsidR="00BA3EFC" w:rsidRDefault="00BA3EFC">
      <w:pPr>
        <w:spacing w:after="0" w:line="240" w:lineRule="auto"/>
      </w:pPr>
      <w:r>
        <w:separator/>
      </w:r>
    </w:p>
  </w:footnote>
  <w:footnote w:type="continuationSeparator" w:id="0">
    <w:p w14:paraId="1D06DAAD" w14:textId="77777777" w:rsidR="00BA3EFC" w:rsidRDefault="00BA3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54786431"/>
      <w:docPartObj>
        <w:docPartGallery w:val="Page Numbers (Top of Page)"/>
        <w:docPartUnique/>
      </w:docPartObj>
    </w:sdtPr>
    <w:sdtEndPr/>
    <w:sdtContent>
      <w:p w14:paraId="6F100DAB" w14:textId="77777777" w:rsidR="006304A1" w:rsidRDefault="00BA3EFC">
        <w:pPr>
          <w:pStyle w:val="af8"/>
          <w:jc w:val="right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</w:rPr>
          <w:t>3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  <w:p w14:paraId="55E951D4" w14:textId="77777777" w:rsidR="006304A1" w:rsidRDefault="00BA3EFC">
        <w:pPr>
          <w:pStyle w:val="af8"/>
          <w:rPr>
            <w:rFonts w:ascii="Times New Roman" w:hAnsi="Times New Roman"/>
            <w:sz w:val="24"/>
            <w:szCs w:val="24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6C78D9" w14:textId="77777777" w:rsidR="006304A1" w:rsidRDefault="00BA3EFC">
    <w:pPr>
      <w:pStyle w:val="af8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Приложение</w:t>
    </w:r>
  </w:p>
  <w:p w14:paraId="7964E7FB" w14:textId="77777777" w:rsidR="006304A1" w:rsidRDefault="006304A1">
    <w:pPr>
      <w:pStyle w:val="af8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C42FB"/>
    <w:multiLevelType w:val="hybridMultilevel"/>
    <w:tmpl w:val="8E66725C"/>
    <w:lvl w:ilvl="0" w:tplc="B192A6B8">
      <w:start w:val="1"/>
      <w:numFmt w:val="decimal"/>
      <w:lvlText w:val="%1."/>
      <w:lvlJc w:val="left"/>
      <w:pPr>
        <w:ind w:left="720" w:hanging="360"/>
      </w:pPr>
    </w:lvl>
    <w:lvl w:ilvl="1" w:tplc="928EB98E">
      <w:start w:val="1"/>
      <w:numFmt w:val="lowerLetter"/>
      <w:lvlText w:val="%2."/>
      <w:lvlJc w:val="left"/>
      <w:pPr>
        <w:ind w:left="1440" w:hanging="360"/>
      </w:pPr>
    </w:lvl>
    <w:lvl w:ilvl="2" w:tplc="0C4E47B6">
      <w:start w:val="1"/>
      <w:numFmt w:val="lowerRoman"/>
      <w:lvlText w:val="%3."/>
      <w:lvlJc w:val="right"/>
      <w:pPr>
        <w:ind w:left="2160" w:hanging="180"/>
      </w:pPr>
    </w:lvl>
    <w:lvl w:ilvl="3" w:tplc="7EFCEAB8">
      <w:start w:val="1"/>
      <w:numFmt w:val="decimal"/>
      <w:lvlText w:val="%4."/>
      <w:lvlJc w:val="left"/>
      <w:pPr>
        <w:ind w:left="2880" w:hanging="360"/>
      </w:pPr>
    </w:lvl>
    <w:lvl w:ilvl="4" w:tplc="339C5EB0">
      <w:start w:val="1"/>
      <w:numFmt w:val="lowerLetter"/>
      <w:lvlText w:val="%5."/>
      <w:lvlJc w:val="left"/>
      <w:pPr>
        <w:ind w:left="3600" w:hanging="360"/>
      </w:pPr>
    </w:lvl>
    <w:lvl w:ilvl="5" w:tplc="EB829690">
      <w:start w:val="1"/>
      <w:numFmt w:val="lowerRoman"/>
      <w:lvlText w:val="%6."/>
      <w:lvlJc w:val="right"/>
      <w:pPr>
        <w:ind w:left="4320" w:hanging="180"/>
      </w:pPr>
    </w:lvl>
    <w:lvl w:ilvl="6" w:tplc="C0E6C222">
      <w:start w:val="1"/>
      <w:numFmt w:val="decimal"/>
      <w:lvlText w:val="%7."/>
      <w:lvlJc w:val="left"/>
      <w:pPr>
        <w:ind w:left="5040" w:hanging="360"/>
      </w:pPr>
    </w:lvl>
    <w:lvl w:ilvl="7" w:tplc="21A65050">
      <w:start w:val="1"/>
      <w:numFmt w:val="lowerLetter"/>
      <w:lvlText w:val="%8."/>
      <w:lvlJc w:val="left"/>
      <w:pPr>
        <w:ind w:left="5760" w:hanging="360"/>
      </w:pPr>
    </w:lvl>
    <w:lvl w:ilvl="8" w:tplc="94087E4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7116C"/>
    <w:multiLevelType w:val="hybridMultilevel"/>
    <w:tmpl w:val="4190A5C6"/>
    <w:lvl w:ilvl="0" w:tplc="23B63EFA">
      <w:start w:val="1"/>
      <w:numFmt w:val="decimal"/>
      <w:lvlText w:val="%1."/>
      <w:lvlJc w:val="left"/>
      <w:pPr>
        <w:ind w:left="809" w:hanging="525"/>
      </w:pPr>
      <w:rPr>
        <w:rFonts w:hint="default"/>
      </w:rPr>
    </w:lvl>
    <w:lvl w:ilvl="1" w:tplc="75A47030">
      <w:start w:val="1"/>
      <w:numFmt w:val="lowerLetter"/>
      <w:lvlText w:val="%2."/>
      <w:lvlJc w:val="left"/>
      <w:pPr>
        <w:ind w:left="1364" w:hanging="360"/>
      </w:pPr>
    </w:lvl>
    <w:lvl w:ilvl="2" w:tplc="827A27F0">
      <w:start w:val="1"/>
      <w:numFmt w:val="lowerRoman"/>
      <w:lvlText w:val="%3."/>
      <w:lvlJc w:val="right"/>
      <w:pPr>
        <w:ind w:left="2084" w:hanging="180"/>
      </w:pPr>
    </w:lvl>
    <w:lvl w:ilvl="3" w:tplc="A93E53AE">
      <w:start w:val="1"/>
      <w:numFmt w:val="decimal"/>
      <w:lvlText w:val="%4."/>
      <w:lvlJc w:val="left"/>
      <w:pPr>
        <w:ind w:left="2804" w:hanging="360"/>
      </w:pPr>
    </w:lvl>
    <w:lvl w:ilvl="4" w:tplc="96908DF0">
      <w:start w:val="1"/>
      <w:numFmt w:val="lowerLetter"/>
      <w:lvlText w:val="%5."/>
      <w:lvlJc w:val="left"/>
      <w:pPr>
        <w:ind w:left="3524" w:hanging="360"/>
      </w:pPr>
    </w:lvl>
    <w:lvl w:ilvl="5" w:tplc="D594362C">
      <w:start w:val="1"/>
      <w:numFmt w:val="lowerRoman"/>
      <w:lvlText w:val="%6."/>
      <w:lvlJc w:val="right"/>
      <w:pPr>
        <w:ind w:left="4244" w:hanging="180"/>
      </w:pPr>
    </w:lvl>
    <w:lvl w:ilvl="6" w:tplc="B0089098">
      <w:start w:val="1"/>
      <w:numFmt w:val="decimal"/>
      <w:lvlText w:val="%7."/>
      <w:lvlJc w:val="left"/>
      <w:pPr>
        <w:ind w:left="4964" w:hanging="360"/>
      </w:pPr>
    </w:lvl>
    <w:lvl w:ilvl="7" w:tplc="7DBC13AA">
      <w:start w:val="1"/>
      <w:numFmt w:val="lowerLetter"/>
      <w:lvlText w:val="%8."/>
      <w:lvlJc w:val="left"/>
      <w:pPr>
        <w:ind w:left="5684" w:hanging="360"/>
      </w:pPr>
    </w:lvl>
    <w:lvl w:ilvl="8" w:tplc="E320CA76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5C2D88"/>
    <w:multiLevelType w:val="hybridMultilevel"/>
    <w:tmpl w:val="EF8E9E22"/>
    <w:lvl w:ilvl="0" w:tplc="0CBCFE7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F176D9B2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3E300482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6826D126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5F26B64C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12382BE4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162601DE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E580E72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ACEC5152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160C7B0A"/>
    <w:multiLevelType w:val="hybridMultilevel"/>
    <w:tmpl w:val="E4C62E82"/>
    <w:lvl w:ilvl="0" w:tplc="A34C18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94A39F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D4622F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126F48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F7ACC8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562CD6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1D0BA3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3DE6FE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1EE7DD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0465D8C"/>
    <w:multiLevelType w:val="hybridMultilevel"/>
    <w:tmpl w:val="25C44DA6"/>
    <w:lvl w:ilvl="0" w:tplc="2D58E7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948E45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6EEA56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D46FD9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4C26AB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FC8185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D8E990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068640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18C124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00B1F7B"/>
    <w:multiLevelType w:val="hybridMultilevel"/>
    <w:tmpl w:val="C3147B64"/>
    <w:lvl w:ilvl="0" w:tplc="34FE46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A4E461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5A6513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B0CC66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9EEA91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86AE0F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612728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45E7AF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B2E7B9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1F106AD"/>
    <w:multiLevelType w:val="hybridMultilevel"/>
    <w:tmpl w:val="9BFEE9B8"/>
    <w:lvl w:ilvl="0" w:tplc="B4EE9E5C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A4CEFD40">
      <w:start w:val="1"/>
      <w:numFmt w:val="lowerLetter"/>
      <w:lvlText w:val="%2."/>
      <w:lvlJc w:val="left"/>
      <w:pPr>
        <w:ind w:left="2073" w:hanging="360"/>
      </w:pPr>
    </w:lvl>
    <w:lvl w:ilvl="2" w:tplc="187A6D32">
      <w:start w:val="1"/>
      <w:numFmt w:val="lowerRoman"/>
      <w:lvlText w:val="%3."/>
      <w:lvlJc w:val="right"/>
      <w:pPr>
        <w:ind w:left="2793" w:hanging="180"/>
      </w:pPr>
    </w:lvl>
    <w:lvl w:ilvl="3" w:tplc="87240E56">
      <w:start w:val="1"/>
      <w:numFmt w:val="decimal"/>
      <w:lvlText w:val="%4."/>
      <w:lvlJc w:val="left"/>
      <w:pPr>
        <w:ind w:left="3513" w:hanging="360"/>
      </w:pPr>
    </w:lvl>
    <w:lvl w:ilvl="4" w:tplc="66B0FC20">
      <w:start w:val="1"/>
      <w:numFmt w:val="lowerLetter"/>
      <w:lvlText w:val="%5."/>
      <w:lvlJc w:val="left"/>
      <w:pPr>
        <w:ind w:left="4233" w:hanging="360"/>
      </w:pPr>
    </w:lvl>
    <w:lvl w:ilvl="5" w:tplc="DEB0BE04">
      <w:start w:val="1"/>
      <w:numFmt w:val="lowerRoman"/>
      <w:lvlText w:val="%6."/>
      <w:lvlJc w:val="right"/>
      <w:pPr>
        <w:ind w:left="4953" w:hanging="180"/>
      </w:pPr>
    </w:lvl>
    <w:lvl w:ilvl="6" w:tplc="3B34B848">
      <w:start w:val="1"/>
      <w:numFmt w:val="decimal"/>
      <w:lvlText w:val="%7."/>
      <w:lvlJc w:val="left"/>
      <w:pPr>
        <w:ind w:left="5673" w:hanging="360"/>
      </w:pPr>
    </w:lvl>
    <w:lvl w:ilvl="7" w:tplc="500E7E82">
      <w:start w:val="1"/>
      <w:numFmt w:val="lowerLetter"/>
      <w:lvlText w:val="%8."/>
      <w:lvlJc w:val="left"/>
      <w:pPr>
        <w:ind w:left="6393" w:hanging="360"/>
      </w:pPr>
    </w:lvl>
    <w:lvl w:ilvl="8" w:tplc="B08EEEF6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4D8E0B36"/>
    <w:multiLevelType w:val="hybridMultilevel"/>
    <w:tmpl w:val="9F0AE20A"/>
    <w:lvl w:ilvl="0" w:tplc="5ACCA3E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45E8F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2F8F7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5BA0C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33C006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1AEE70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1F2D3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3C4777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DF09F0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6850647"/>
    <w:multiLevelType w:val="hybridMultilevel"/>
    <w:tmpl w:val="2358475E"/>
    <w:lvl w:ilvl="0" w:tplc="324AC1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BDDC2BCE">
      <w:start w:val="1"/>
      <w:numFmt w:val="lowerLetter"/>
      <w:lvlText w:val="%2."/>
      <w:lvlJc w:val="left"/>
      <w:pPr>
        <w:ind w:left="1931" w:hanging="360"/>
      </w:pPr>
    </w:lvl>
    <w:lvl w:ilvl="2" w:tplc="E2D0CCC2">
      <w:start w:val="1"/>
      <w:numFmt w:val="lowerRoman"/>
      <w:lvlText w:val="%3."/>
      <w:lvlJc w:val="right"/>
      <w:pPr>
        <w:ind w:left="2651" w:hanging="180"/>
      </w:pPr>
    </w:lvl>
    <w:lvl w:ilvl="3" w:tplc="D32CC52A">
      <w:start w:val="1"/>
      <w:numFmt w:val="decimal"/>
      <w:lvlText w:val="%4."/>
      <w:lvlJc w:val="left"/>
      <w:pPr>
        <w:ind w:left="3371" w:hanging="360"/>
      </w:pPr>
    </w:lvl>
    <w:lvl w:ilvl="4" w:tplc="553C3DAA">
      <w:start w:val="1"/>
      <w:numFmt w:val="lowerLetter"/>
      <w:lvlText w:val="%5."/>
      <w:lvlJc w:val="left"/>
      <w:pPr>
        <w:ind w:left="4091" w:hanging="360"/>
      </w:pPr>
    </w:lvl>
    <w:lvl w:ilvl="5" w:tplc="33106CF2">
      <w:start w:val="1"/>
      <w:numFmt w:val="lowerRoman"/>
      <w:lvlText w:val="%6."/>
      <w:lvlJc w:val="right"/>
      <w:pPr>
        <w:ind w:left="4811" w:hanging="180"/>
      </w:pPr>
    </w:lvl>
    <w:lvl w:ilvl="6" w:tplc="1E0071CA">
      <w:start w:val="1"/>
      <w:numFmt w:val="decimal"/>
      <w:lvlText w:val="%7."/>
      <w:lvlJc w:val="left"/>
      <w:pPr>
        <w:ind w:left="5531" w:hanging="360"/>
      </w:pPr>
    </w:lvl>
    <w:lvl w:ilvl="7" w:tplc="E3967224">
      <w:start w:val="1"/>
      <w:numFmt w:val="lowerLetter"/>
      <w:lvlText w:val="%8."/>
      <w:lvlJc w:val="left"/>
      <w:pPr>
        <w:ind w:left="6251" w:hanging="360"/>
      </w:pPr>
    </w:lvl>
    <w:lvl w:ilvl="8" w:tplc="6D165108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79121E2"/>
    <w:multiLevelType w:val="hybridMultilevel"/>
    <w:tmpl w:val="48CC2860"/>
    <w:lvl w:ilvl="0" w:tplc="4A7830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EF4859E">
      <w:start w:val="1"/>
      <w:numFmt w:val="lowerLetter"/>
      <w:lvlText w:val="%2."/>
      <w:lvlJc w:val="left"/>
      <w:pPr>
        <w:ind w:left="1789" w:hanging="360"/>
      </w:pPr>
    </w:lvl>
    <w:lvl w:ilvl="2" w:tplc="68C020E6">
      <w:start w:val="1"/>
      <w:numFmt w:val="lowerRoman"/>
      <w:lvlText w:val="%3."/>
      <w:lvlJc w:val="right"/>
      <w:pPr>
        <w:ind w:left="2509" w:hanging="180"/>
      </w:pPr>
    </w:lvl>
    <w:lvl w:ilvl="3" w:tplc="78D885B8">
      <w:start w:val="1"/>
      <w:numFmt w:val="decimal"/>
      <w:lvlText w:val="%4."/>
      <w:lvlJc w:val="left"/>
      <w:pPr>
        <w:ind w:left="3229" w:hanging="360"/>
      </w:pPr>
    </w:lvl>
    <w:lvl w:ilvl="4" w:tplc="448AF410">
      <w:start w:val="1"/>
      <w:numFmt w:val="lowerLetter"/>
      <w:lvlText w:val="%5."/>
      <w:lvlJc w:val="left"/>
      <w:pPr>
        <w:ind w:left="3949" w:hanging="360"/>
      </w:pPr>
    </w:lvl>
    <w:lvl w:ilvl="5" w:tplc="ACE44B32">
      <w:start w:val="1"/>
      <w:numFmt w:val="lowerRoman"/>
      <w:lvlText w:val="%6."/>
      <w:lvlJc w:val="right"/>
      <w:pPr>
        <w:ind w:left="4669" w:hanging="180"/>
      </w:pPr>
    </w:lvl>
    <w:lvl w:ilvl="6" w:tplc="3DFC47C8">
      <w:start w:val="1"/>
      <w:numFmt w:val="decimal"/>
      <w:lvlText w:val="%7."/>
      <w:lvlJc w:val="left"/>
      <w:pPr>
        <w:ind w:left="5389" w:hanging="360"/>
      </w:pPr>
    </w:lvl>
    <w:lvl w:ilvl="7" w:tplc="585E83D4">
      <w:start w:val="1"/>
      <w:numFmt w:val="lowerLetter"/>
      <w:lvlText w:val="%8."/>
      <w:lvlJc w:val="left"/>
      <w:pPr>
        <w:ind w:left="6109" w:hanging="360"/>
      </w:pPr>
    </w:lvl>
    <w:lvl w:ilvl="8" w:tplc="DF28A92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D793CCF"/>
    <w:multiLevelType w:val="hybridMultilevel"/>
    <w:tmpl w:val="03784B38"/>
    <w:lvl w:ilvl="0" w:tplc="2C70178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5D863C40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C42A14CA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38418DE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40EE5AB8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CE66B098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6CC65844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C1C88A72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C908B468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71047208"/>
    <w:multiLevelType w:val="hybridMultilevel"/>
    <w:tmpl w:val="B6A8DFA2"/>
    <w:lvl w:ilvl="0" w:tplc="E77C47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AF58610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DD8B8F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E06D20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1E6FF9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AC086E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91E654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82EF0B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36058E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14771C9"/>
    <w:multiLevelType w:val="hybridMultilevel"/>
    <w:tmpl w:val="DB1430EE"/>
    <w:lvl w:ilvl="0" w:tplc="7C38DC26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4A449BEC">
      <w:start w:val="1"/>
      <w:numFmt w:val="lowerLetter"/>
      <w:lvlText w:val="%2."/>
      <w:lvlJc w:val="left"/>
      <w:pPr>
        <w:ind w:left="1789" w:hanging="360"/>
      </w:pPr>
    </w:lvl>
    <w:lvl w:ilvl="2" w:tplc="15CCAA96">
      <w:start w:val="1"/>
      <w:numFmt w:val="lowerRoman"/>
      <w:lvlText w:val="%3."/>
      <w:lvlJc w:val="right"/>
      <w:pPr>
        <w:ind w:left="2509" w:hanging="180"/>
      </w:pPr>
    </w:lvl>
    <w:lvl w:ilvl="3" w:tplc="DA22D90A">
      <w:start w:val="1"/>
      <w:numFmt w:val="decimal"/>
      <w:lvlText w:val="%4."/>
      <w:lvlJc w:val="left"/>
      <w:pPr>
        <w:ind w:left="3229" w:hanging="360"/>
      </w:pPr>
    </w:lvl>
    <w:lvl w:ilvl="4" w:tplc="07B62CE0">
      <w:start w:val="1"/>
      <w:numFmt w:val="lowerLetter"/>
      <w:lvlText w:val="%5."/>
      <w:lvlJc w:val="left"/>
      <w:pPr>
        <w:ind w:left="3949" w:hanging="360"/>
      </w:pPr>
    </w:lvl>
    <w:lvl w:ilvl="5" w:tplc="D81A0E66">
      <w:start w:val="1"/>
      <w:numFmt w:val="lowerRoman"/>
      <w:lvlText w:val="%6."/>
      <w:lvlJc w:val="right"/>
      <w:pPr>
        <w:ind w:left="4669" w:hanging="180"/>
      </w:pPr>
    </w:lvl>
    <w:lvl w:ilvl="6" w:tplc="C2EC4BC4">
      <w:start w:val="1"/>
      <w:numFmt w:val="decimal"/>
      <w:lvlText w:val="%7."/>
      <w:lvlJc w:val="left"/>
      <w:pPr>
        <w:ind w:left="5389" w:hanging="360"/>
      </w:pPr>
    </w:lvl>
    <w:lvl w:ilvl="7" w:tplc="EE502AA6">
      <w:start w:val="1"/>
      <w:numFmt w:val="lowerLetter"/>
      <w:lvlText w:val="%8."/>
      <w:lvlJc w:val="left"/>
      <w:pPr>
        <w:ind w:left="6109" w:hanging="360"/>
      </w:pPr>
    </w:lvl>
    <w:lvl w:ilvl="8" w:tplc="8752ED8C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E9F719E"/>
    <w:multiLevelType w:val="hybridMultilevel"/>
    <w:tmpl w:val="1A7A0DFC"/>
    <w:lvl w:ilvl="0" w:tplc="C85ACA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DBE5DD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E0633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56C9C7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D52550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BDCAF9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0D8156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066062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F18426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6"/>
  </w:num>
  <w:num w:numId="5">
    <w:abstractNumId w:val="1"/>
  </w:num>
  <w:num w:numId="6">
    <w:abstractNumId w:val="7"/>
  </w:num>
  <w:num w:numId="7">
    <w:abstractNumId w:val="2"/>
  </w:num>
  <w:num w:numId="8">
    <w:abstractNumId w:val="11"/>
  </w:num>
  <w:num w:numId="9">
    <w:abstractNumId w:val="5"/>
  </w:num>
  <w:num w:numId="10">
    <w:abstractNumId w:val="13"/>
  </w:num>
  <w:num w:numId="11">
    <w:abstractNumId w:val="10"/>
  </w:num>
  <w:num w:numId="12">
    <w:abstractNumId w:val="9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04A1"/>
    <w:rsid w:val="004C16DD"/>
    <w:rsid w:val="006304A1"/>
    <w:rsid w:val="0084054C"/>
    <w:rsid w:val="00BA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8D493"/>
  <w15:docId w15:val="{38E4B352-9F3A-4BFE-AE33-CF84E382E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pPr>
      <w:spacing w:after="199" w:line="336" w:lineRule="auto"/>
      <w:outlineLvl w:val="0"/>
    </w:pPr>
    <w:rPr>
      <w:rFonts w:ascii="Times New Roman" w:eastAsia="Times New Roman" w:hAnsi="Times New Roman" w:cs="Times New Roman"/>
      <w:color w:val="000000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List Paragraph"/>
    <w:basedOn w:val="a"/>
    <w:uiPriority w:val="99"/>
    <w:qFormat/>
    <w:pPr>
      <w:spacing w:after="200" w:line="276" w:lineRule="auto"/>
      <w:ind w:left="720"/>
    </w:pPr>
    <w:rPr>
      <w:rFonts w:ascii="Calibri" w:eastAsia="Times New Roman" w:hAnsi="Calibri" w:cs="Times New Roman"/>
      <w:lang w:eastAsia="ru-RU"/>
    </w:rPr>
  </w:style>
  <w:style w:type="paragraph" w:styleId="af6">
    <w:name w:val="Body Text"/>
    <w:basedOn w:val="a"/>
    <w:link w:val="af7"/>
    <w:uiPriority w:val="99"/>
    <w:semiHidden/>
    <w:pPr>
      <w:tabs>
        <w:tab w:val="left" w:pos="720"/>
        <w:tab w:val="left" w:pos="504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7">
    <w:name w:val="Основной текст Знак"/>
    <w:basedOn w:val="a0"/>
    <w:link w:val="af6"/>
    <w:uiPriority w:val="99"/>
    <w:semiHidden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color w:val="000000"/>
      <w:sz w:val="36"/>
      <w:szCs w:val="36"/>
      <w:lang w:eastAsia="ru-RU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9">
    <w:name w:val="Верхний колонтитул Знак"/>
    <w:basedOn w:val="a0"/>
    <w:link w:val="af8"/>
    <w:uiPriority w:val="99"/>
    <w:rPr>
      <w:rFonts w:ascii="Calibri" w:eastAsia="Calibri" w:hAnsi="Calibri" w:cs="Times New Roman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3">
    <w:name w:val="Абзац списка1"/>
    <w:basedOn w:val="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Hyperlink"/>
    <w:basedOn w:val="a0"/>
    <w:uiPriority w:val="99"/>
    <w:semiHidden/>
    <w:unhideWhenUsed/>
    <w:rPr>
      <w:color w:val="0000FF"/>
      <w:u w:val="single"/>
    </w:rPr>
  </w:style>
  <w:style w:type="paragraph" w:styleId="afd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foot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Базовый"/>
    <w:rPr>
      <w:rFonts w:ascii="Calibri" w:eastAsia="DejaVu Sans" w:hAnsi="Calibri" w:cs="Calibri"/>
    </w:rPr>
  </w:style>
  <w:style w:type="character" w:styleId="aff1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Pr>
      <w:sz w:val="20"/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E8E2D-9234-47A3-991D-8B469BBB6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1176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Ю. Квашнин</dc:creator>
  <cp:lastModifiedBy>Акимченко Лада</cp:lastModifiedBy>
  <cp:revision>40</cp:revision>
  <dcterms:created xsi:type="dcterms:W3CDTF">2023-04-07T07:23:00Z</dcterms:created>
  <dcterms:modified xsi:type="dcterms:W3CDTF">2025-09-02T09:17:00Z</dcterms:modified>
</cp:coreProperties>
</file>