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charts/chart14.xml" ContentType="application/vnd.openxmlformats-officedocument.drawingml.chart+xml"/>
  <Override PartName="/word/theme/themeOverride13.xml" ContentType="application/vnd.openxmlformats-officedocument.themeOverride+xml"/>
  <Override PartName="/word/charts/chart15.xml" ContentType="application/vnd.openxmlformats-officedocument.drawingml.chart+xml"/>
  <Override PartName="/word/charts/chart16.xml" ContentType="application/vnd.openxmlformats-officedocument.drawingml.chart+xml"/>
  <Override PartName="/word/theme/themeOverride14.xml" ContentType="application/vnd.openxmlformats-officedocument.themeOverride+xml"/>
  <Override PartName="/word/charts/chart17.xml" ContentType="application/vnd.openxmlformats-officedocument.drawingml.chart+xml"/>
  <Override PartName="/word/charts/chart18.xml" ContentType="application/vnd.openxmlformats-officedocument.drawingml.chart+xml"/>
  <Override PartName="/word/theme/themeOverride15.xml" ContentType="application/vnd.openxmlformats-officedocument.themeOverride+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theme/themeOverride16.xml" ContentType="application/vnd.openxmlformats-officedocument.themeOverride+xml"/>
  <Override PartName="/word/charts/chart22.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7.xml" ContentType="application/vnd.openxmlformats-officedocument.themeOverride+xml"/>
  <Override PartName="/word/charts/chart23.xml" ContentType="application/vnd.openxmlformats-officedocument.drawingml.chart+xml"/>
  <Override PartName="/word/charts/chart24.xml" ContentType="application/vnd.openxmlformats-officedocument.drawingml.chart+xml"/>
  <Override PartName="/word/theme/themeOverride18.xml" ContentType="application/vnd.openxmlformats-officedocument.themeOverride+xml"/>
  <Override PartName="/word/charts/chart25.xml" ContentType="application/vnd.openxmlformats-officedocument.drawingml.chart+xml"/>
  <Override PartName="/word/theme/themeOverride19.xml" ContentType="application/vnd.openxmlformats-officedocument.themeOverride+xml"/>
  <Override PartName="/word/charts/chart26.xml" ContentType="application/vnd.openxmlformats-officedocument.drawingml.chart+xml"/>
  <Override PartName="/word/theme/themeOverride20.xml" ContentType="application/vnd.openxmlformats-officedocument.themeOverride+xml"/>
  <Override PartName="/word/charts/chart27.xml" ContentType="application/vnd.openxmlformats-officedocument.drawingml.chart+xml"/>
  <Override PartName="/word/theme/themeOverride21.xml" ContentType="application/vnd.openxmlformats-officedocument.themeOverride+xml"/>
  <Override PartName="/word/charts/chart28.xml" ContentType="application/vnd.openxmlformats-officedocument.drawingml.chart+xml"/>
  <Override PartName="/word/theme/themeOverride22.xml" ContentType="application/vnd.openxmlformats-officedocument.themeOverride+xml"/>
  <Override PartName="/word/charts/chart29.xml" ContentType="application/vnd.openxmlformats-officedocument.drawingml.chart+xml"/>
  <Override PartName="/word/theme/themeOverride23.xml" ContentType="application/vnd.openxmlformats-officedocument.themeOverride+xml"/>
  <Override PartName="/word/charts/chart30.xml" ContentType="application/vnd.openxmlformats-officedocument.drawingml.chart+xml"/>
  <Override PartName="/word/theme/themeOverride24.xml" ContentType="application/vnd.openxmlformats-officedocument.themeOverride+xml"/>
  <Override PartName="/word/charts/chart31.xml" ContentType="application/vnd.openxmlformats-officedocument.drawingml.chart+xml"/>
  <Override PartName="/word/charts/chart32.xml" ContentType="application/vnd.openxmlformats-officedocument.drawingml.chart+xml"/>
  <Override PartName="/word/theme/themeOverride25.xml" ContentType="application/vnd.openxmlformats-officedocument.themeOverride+xml"/>
  <Override PartName="/word/charts/chart33.xml" ContentType="application/vnd.openxmlformats-officedocument.drawingml.chart+xml"/>
  <Override PartName="/word/theme/themeOverride26.xml" ContentType="application/vnd.openxmlformats-officedocument.themeOverride+xml"/>
  <Override PartName="/word/charts/chart34.xml" ContentType="application/vnd.openxmlformats-officedocument.drawingml.chart+xml"/>
  <Override PartName="/word/theme/themeOverride27.xml" ContentType="application/vnd.openxmlformats-officedocument.themeOverride+xml"/>
  <Override PartName="/word/charts/chart35.xml" ContentType="application/vnd.openxmlformats-officedocument.drawingml.chart+xml"/>
  <Override PartName="/word/theme/themeOverride28.xml" ContentType="application/vnd.openxmlformats-officedocument.themeOverride+xml"/>
  <Override PartName="/word/charts/chart36.xml" ContentType="application/vnd.openxmlformats-officedocument.drawingml.chart+xml"/>
  <Override PartName="/word/theme/themeOverride29.xml" ContentType="application/vnd.openxmlformats-officedocument.themeOverride+xml"/>
  <Override PartName="/word/charts/chart37.xml" ContentType="application/vnd.openxmlformats-officedocument.drawingml.chart+xml"/>
  <Override PartName="/word/theme/themeOverride30.xml" ContentType="application/vnd.openxmlformats-officedocument.themeOverride+xml"/>
  <Override PartName="/word/charts/chart38.xml" ContentType="application/vnd.openxmlformats-officedocument.drawingml.chart+xml"/>
  <Override PartName="/word/theme/themeOverride31.xml" ContentType="application/vnd.openxmlformats-officedocument.themeOverride+xml"/>
  <Override PartName="/word/charts/chart39.xml" ContentType="application/vnd.openxmlformats-officedocument.drawingml.chart+xml"/>
  <Override PartName="/word/theme/themeOverride32.xml" ContentType="application/vnd.openxmlformats-officedocument.themeOverride+xml"/>
  <Override PartName="/word/charts/chart40.xml" ContentType="application/vnd.openxmlformats-officedocument.drawingml.chart+xml"/>
  <Override PartName="/word/theme/themeOverride33.xml" ContentType="application/vnd.openxmlformats-officedocument.themeOverride+xml"/>
  <Override PartName="/word/charts/chart41.xml" ContentType="application/vnd.openxmlformats-officedocument.drawingml.chart+xml"/>
  <Override PartName="/word/theme/themeOverride34.xml" ContentType="application/vnd.openxmlformats-officedocument.themeOverride+xml"/>
  <Override PartName="/word/charts/chart42.xml" ContentType="application/vnd.openxmlformats-officedocument.drawingml.chart+xml"/>
  <Override PartName="/word/theme/themeOverride35.xml" ContentType="application/vnd.openxmlformats-officedocument.themeOverride+xml"/>
  <Override PartName="/word/charts/chart43.xml" ContentType="application/vnd.openxmlformats-officedocument.drawingml.chart+xml"/>
  <Override PartName="/word/theme/themeOverride36.xml" ContentType="application/vnd.openxmlformats-officedocument.themeOverride+xml"/>
  <Override PartName="/word/charts/chart44.xml" ContentType="application/vnd.openxmlformats-officedocument.drawingml.chart+xml"/>
  <Override PartName="/word/theme/themeOverride37.xml" ContentType="application/vnd.openxmlformats-officedocument.themeOverride+xml"/>
  <Override PartName="/word/charts/chart45.xml" ContentType="application/vnd.openxmlformats-officedocument.drawingml.chart+xml"/>
  <Override PartName="/word/theme/themeOverride38.xml" ContentType="application/vnd.openxmlformats-officedocument.themeOverride+xml"/>
  <Override PartName="/word/charts/chart46.xml" ContentType="application/vnd.openxmlformats-officedocument.drawingml.chart+xml"/>
  <Override PartName="/word/theme/themeOverride39.xml" ContentType="application/vnd.openxmlformats-officedocument.themeOverride+xml"/>
  <Override PartName="/word/charts/chart47.xml" ContentType="application/vnd.openxmlformats-officedocument.drawingml.chart+xml"/>
  <Override PartName="/word/charts/chart48.xml" ContentType="application/vnd.openxmlformats-officedocument.drawingml.chart+xml"/>
  <Override PartName="/word/theme/themeOverride40.xml" ContentType="application/vnd.openxmlformats-officedocument.themeOverride+xml"/>
  <Override PartName="/word/charts/chart49.xml" ContentType="application/vnd.openxmlformats-officedocument.drawingml.chart+xml"/>
  <Override PartName="/word/theme/themeOverride41.xml" ContentType="application/vnd.openxmlformats-officedocument.themeOverride+xml"/>
  <Override PartName="/word/charts/chart50.xml" ContentType="application/vnd.openxmlformats-officedocument.drawingml.chart+xml"/>
  <Override PartName="/word/theme/themeOverride42.xml" ContentType="application/vnd.openxmlformats-officedocument.themeOverride+xml"/>
  <Override PartName="/word/charts/chart51.xml" ContentType="application/vnd.openxmlformats-officedocument.drawingml.chart+xml"/>
  <Override PartName="/word/theme/themeOverride43.xml" ContentType="application/vnd.openxmlformats-officedocument.themeOverride+xml"/>
  <Override PartName="/word/charts/chart52.xml" ContentType="application/vnd.openxmlformats-officedocument.drawingml.chart+xml"/>
  <Override PartName="/word/theme/themeOverride44.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C4001" w:rsidRPr="00577593" w:rsidRDefault="006C4001" w:rsidP="00802C66">
      <w:pPr>
        <w:spacing w:after="0" w:line="240" w:lineRule="auto"/>
        <w:ind w:left="5812" w:right="-30"/>
        <w:rPr>
          <w:rFonts w:ascii="Times New Roman" w:hAnsi="Times New Roman"/>
          <w:sz w:val="28"/>
          <w:szCs w:val="28"/>
        </w:rPr>
      </w:pPr>
      <w:r w:rsidRPr="00577593">
        <w:rPr>
          <w:rFonts w:ascii="Times New Roman" w:hAnsi="Times New Roman"/>
          <w:sz w:val="28"/>
          <w:szCs w:val="28"/>
        </w:rPr>
        <w:t xml:space="preserve">Приложение </w:t>
      </w:r>
    </w:p>
    <w:p w:rsidR="004751E4" w:rsidRDefault="006C4001" w:rsidP="00802C66">
      <w:pPr>
        <w:spacing w:after="0" w:line="240" w:lineRule="auto"/>
        <w:ind w:left="5812" w:right="-30"/>
        <w:rPr>
          <w:rFonts w:ascii="Times New Roman" w:hAnsi="Times New Roman"/>
          <w:sz w:val="28"/>
          <w:szCs w:val="28"/>
        </w:rPr>
      </w:pPr>
      <w:r w:rsidRPr="00577593">
        <w:rPr>
          <w:rFonts w:ascii="Times New Roman" w:hAnsi="Times New Roman"/>
          <w:sz w:val="28"/>
          <w:szCs w:val="28"/>
        </w:rPr>
        <w:t xml:space="preserve">к решению городской Думы                                                                   </w:t>
      </w:r>
      <w:r w:rsidR="004751E4">
        <w:rPr>
          <w:rFonts w:ascii="Times New Roman" w:hAnsi="Times New Roman"/>
          <w:sz w:val="28"/>
          <w:szCs w:val="28"/>
        </w:rPr>
        <w:t xml:space="preserve">   </w:t>
      </w:r>
    </w:p>
    <w:p w:rsidR="006C4001" w:rsidRPr="00577593" w:rsidRDefault="006C4001" w:rsidP="00802C66">
      <w:pPr>
        <w:spacing w:after="0" w:line="240" w:lineRule="auto"/>
        <w:ind w:left="5812" w:right="-30"/>
        <w:rPr>
          <w:rFonts w:ascii="Times New Roman" w:hAnsi="Times New Roman"/>
          <w:sz w:val="28"/>
          <w:szCs w:val="28"/>
        </w:rPr>
      </w:pPr>
      <w:r w:rsidRPr="00577593">
        <w:rPr>
          <w:rFonts w:ascii="Times New Roman" w:hAnsi="Times New Roman"/>
          <w:sz w:val="28"/>
          <w:szCs w:val="28"/>
        </w:rPr>
        <w:t>от ___________№___</w:t>
      </w:r>
      <w:r w:rsidR="00D558A5">
        <w:rPr>
          <w:rFonts w:ascii="Times New Roman" w:hAnsi="Times New Roman"/>
          <w:sz w:val="28"/>
          <w:szCs w:val="28"/>
        </w:rPr>
        <w:t>_____</w:t>
      </w:r>
      <w:r w:rsidRPr="00577593">
        <w:rPr>
          <w:rFonts w:ascii="Times New Roman" w:hAnsi="Times New Roman"/>
          <w:sz w:val="28"/>
          <w:szCs w:val="28"/>
        </w:rPr>
        <w:t>_</w:t>
      </w:r>
    </w:p>
    <w:p w:rsidR="006C4001" w:rsidRPr="00577593" w:rsidRDefault="006C4001" w:rsidP="002000D4">
      <w:pPr>
        <w:spacing w:after="0" w:line="240" w:lineRule="auto"/>
        <w:jc w:val="center"/>
        <w:rPr>
          <w:rFonts w:ascii="Times New Roman" w:hAnsi="Times New Roman"/>
          <w:sz w:val="28"/>
          <w:szCs w:val="28"/>
        </w:rPr>
      </w:pPr>
    </w:p>
    <w:p w:rsidR="006C4001" w:rsidRPr="00577593" w:rsidRDefault="006C4001" w:rsidP="002000D4">
      <w:pPr>
        <w:spacing w:after="0" w:line="240" w:lineRule="auto"/>
        <w:jc w:val="center"/>
        <w:rPr>
          <w:rFonts w:ascii="Times New Roman" w:hAnsi="Times New Roman"/>
          <w:sz w:val="28"/>
          <w:szCs w:val="28"/>
        </w:rPr>
      </w:pPr>
    </w:p>
    <w:p w:rsidR="00080765" w:rsidRPr="00D558A5" w:rsidRDefault="00D558A5" w:rsidP="002000D4">
      <w:pPr>
        <w:spacing w:after="0" w:line="240" w:lineRule="auto"/>
        <w:jc w:val="center"/>
        <w:rPr>
          <w:rFonts w:ascii="Times New Roman" w:hAnsi="Times New Roman"/>
          <w:sz w:val="28"/>
          <w:szCs w:val="28"/>
        </w:rPr>
      </w:pPr>
      <w:r w:rsidRPr="00D558A5">
        <w:rPr>
          <w:rFonts w:ascii="Times New Roman" w:hAnsi="Times New Roman"/>
          <w:sz w:val="28"/>
          <w:szCs w:val="28"/>
        </w:rPr>
        <w:t>СТРАТЕГИЯ</w:t>
      </w:r>
    </w:p>
    <w:p w:rsidR="00FC41F4" w:rsidRPr="000F76C4" w:rsidRDefault="000F76C4" w:rsidP="002000D4">
      <w:pPr>
        <w:spacing w:after="0" w:line="240" w:lineRule="auto"/>
        <w:jc w:val="center"/>
        <w:rPr>
          <w:rFonts w:ascii="Times New Roman" w:hAnsi="Times New Roman"/>
          <w:b/>
          <w:sz w:val="28"/>
          <w:szCs w:val="28"/>
        </w:rPr>
      </w:pPr>
      <w:r w:rsidRPr="00D558A5">
        <w:rPr>
          <w:rFonts w:ascii="Times New Roman" w:hAnsi="Times New Roman"/>
          <w:sz w:val="28"/>
          <w:szCs w:val="28"/>
        </w:rPr>
        <w:t>социально-экономического развития городского округа – города Барнаула Алтайского края на период до 2036 года</w:t>
      </w:r>
      <w:r w:rsidRPr="00D558A5">
        <w:rPr>
          <w:rFonts w:ascii="Times New Roman" w:hAnsi="Times New Roman"/>
          <w:sz w:val="28"/>
          <w:szCs w:val="28"/>
        </w:rPr>
        <w:br/>
      </w:r>
    </w:p>
    <w:p w:rsidR="00960A10" w:rsidRPr="00960A10" w:rsidRDefault="00960A10" w:rsidP="008D738C">
      <w:pPr>
        <w:pStyle w:val="2"/>
        <w:spacing w:before="0" w:line="240" w:lineRule="auto"/>
        <w:ind w:firstLine="709"/>
        <w:jc w:val="both"/>
        <w:rPr>
          <w:rFonts w:ascii="Times New Roman" w:eastAsia="Times New Roman" w:hAnsi="Times New Roman"/>
          <w:color w:val="auto"/>
          <w:sz w:val="28"/>
          <w:szCs w:val="28"/>
        </w:rPr>
      </w:pPr>
      <w:bookmarkStart w:id="0" w:name="_Toc1611502182"/>
      <w:bookmarkStart w:id="1" w:name="_Toc212804258"/>
      <w:r w:rsidRPr="00577593">
        <w:rPr>
          <w:rFonts w:ascii="Times New Roman" w:eastAsia="Times New Roman" w:hAnsi="Times New Roman"/>
          <w:color w:val="auto"/>
          <w:sz w:val="28"/>
          <w:szCs w:val="28"/>
        </w:rPr>
        <w:t>1</w:t>
      </w:r>
      <w:r>
        <w:rPr>
          <w:rFonts w:ascii="Times New Roman" w:eastAsia="Times New Roman" w:hAnsi="Times New Roman"/>
          <w:color w:val="auto"/>
          <w:sz w:val="28"/>
          <w:szCs w:val="28"/>
        </w:rPr>
        <w:t>.</w:t>
      </w:r>
      <w:r w:rsidRPr="00577593">
        <w:rPr>
          <w:rFonts w:ascii="Times New Roman" w:eastAsia="Times New Roman" w:hAnsi="Times New Roman"/>
          <w:color w:val="auto"/>
          <w:sz w:val="28"/>
          <w:szCs w:val="28"/>
        </w:rPr>
        <w:t xml:space="preserve"> Общая информация о городе Барнауле</w:t>
      </w:r>
    </w:p>
    <w:p w:rsidR="00FC41F4" w:rsidRPr="00960A10" w:rsidRDefault="00960A10" w:rsidP="008D738C">
      <w:pPr>
        <w:keepNext/>
        <w:spacing w:after="0" w:line="240" w:lineRule="auto"/>
        <w:ind w:firstLine="709"/>
        <w:jc w:val="both"/>
      </w:pPr>
      <w:r w:rsidRPr="00577593">
        <w:rPr>
          <w:rFonts w:ascii="Times New Roman" w:hAnsi="Times New Roman"/>
          <w:sz w:val="28"/>
          <w:szCs w:val="28"/>
        </w:rPr>
        <w:t xml:space="preserve">Город Барнаул основан в 1730 году в связи со строительством медеплавильного завода Акинфия Демидова. На протяжении почти трехсот лет существования город исполнял административные функции, что позволило ему стать не только промышленным, но и культурным, научно-образовательным центром Западной Сибири. С 1937 года город Барнаул является столицей Алтайского края. </w:t>
      </w:r>
      <w:r>
        <w:rPr>
          <w:rFonts w:ascii="Times New Roman" w:hAnsi="Times New Roman"/>
          <w:sz w:val="28"/>
          <w:szCs w:val="28"/>
        </w:rPr>
        <w:t xml:space="preserve">Город </w:t>
      </w:r>
      <w:r w:rsidRPr="00577593">
        <w:rPr>
          <w:rFonts w:ascii="Times New Roman" w:hAnsi="Times New Roman"/>
          <w:sz w:val="28"/>
          <w:szCs w:val="28"/>
        </w:rPr>
        <w:t>Барнаул является опорным населенным пунктом Российской Федерации как ядро городской агломерации</w:t>
      </w:r>
      <w:bookmarkEnd w:id="0"/>
      <w:bookmarkEnd w:id="1"/>
      <w:r w:rsidR="008925FA" w:rsidRPr="00577593">
        <w:rPr>
          <w:rFonts w:ascii="Times New Roman" w:hAnsi="Times New Roman"/>
          <w:sz w:val="28"/>
          <w:szCs w:val="28"/>
        </w:rPr>
        <w:t xml:space="preserve">. </w:t>
      </w:r>
    </w:p>
    <w:p w:rsidR="00FC41F4" w:rsidRPr="00577593" w:rsidRDefault="008925FA" w:rsidP="008D738C">
      <w:pPr>
        <w:keepNext/>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Город расположен в восточной части Приобского плато, в зоне лесостепи, на левом берегу реки Оби в устье ее притока </w:t>
      </w:r>
      <w:r w:rsidR="00960A10">
        <w:rPr>
          <w:rFonts w:ascii="Times New Roman" w:hAnsi="Times New Roman"/>
          <w:sz w:val="28"/>
          <w:szCs w:val="28"/>
        </w:rPr>
        <w:t>–</w:t>
      </w:r>
      <w:r w:rsidRPr="00577593">
        <w:rPr>
          <w:rFonts w:ascii="Times New Roman" w:hAnsi="Times New Roman"/>
          <w:sz w:val="28"/>
          <w:szCs w:val="28"/>
        </w:rPr>
        <w:t xml:space="preserve"> Барнаулки. Географические координаты:</w:t>
      </w:r>
      <w:r w:rsidR="00210A29" w:rsidRPr="00577593">
        <w:rPr>
          <w:rFonts w:ascii="Times New Roman" w:hAnsi="Times New Roman"/>
          <w:sz w:val="28"/>
          <w:szCs w:val="28"/>
        </w:rPr>
        <w:t xml:space="preserve"> </w:t>
      </w:r>
      <w:r w:rsidRPr="00577593">
        <w:rPr>
          <w:rFonts w:ascii="Times New Roman" w:hAnsi="Times New Roman"/>
          <w:sz w:val="28"/>
          <w:szCs w:val="28"/>
        </w:rPr>
        <w:t xml:space="preserve">84° восточной долготы, 52°30 северной широты. Абсолютная высота над уровнем моря </w:t>
      </w:r>
      <w:r w:rsidR="00DF4809" w:rsidRPr="00577593">
        <w:rPr>
          <w:rFonts w:ascii="Times New Roman" w:hAnsi="Times New Roman"/>
          <w:sz w:val="28"/>
          <w:szCs w:val="28"/>
        </w:rPr>
        <w:t>–</w:t>
      </w:r>
      <w:r w:rsidRPr="00577593">
        <w:rPr>
          <w:rFonts w:ascii="Times New Roman" w:hAnsi="Times New Roman"/>
          <w:sz w:val="28"/>
          <w:szCs w:val="28"/>
        </w:rPr>
        <w:t xml:space="preserve"> 130</w:t>
      </w:r>
      <w:r w:rsidR="00DF4809" w:rsidRPr="00577593">
        <w:rPr>
          <w:rFonts w:ascii="Times New Roman" w:hAnsi="Times New Roman"/>
          <w:sz w:val="28"/>
          <w:szCs w:val="28"/>
        </w:rPr>
        <w:t>-</w:t>
      </w:r>
      <w:r w:rsidRPr="00577593">
        <w:rPr>
          <w:rFonts w:ascii="Times New Roman" w:hAnsi="Times New Roman"/>
          <w:sz w:val="28"/>
          <w:szCs w:val="28"/>
        </w:rPr>
        <w:t>250 м.</w:t>
      </w:r>
    </w:p>
    <w:p w:rsidR="00FC41F4" w:rsidRPr="00577593" w:rsidRDefault="008925FA" w:rsidP="008D738C">
      <w:pPr>
        <w:keepNext/>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Климат резко континентальный с умеренно суровой зимой и теплым летом. Средняя температура января -17,5°C, июля +19,8°C. </w:t>
      </w:r>
      <w:r w:rsidR="00CE1479" w:rsidRPr="00577593">
        <w:rPr>
          <w:rFonts w:ascii="Times New Roman" w:hAnsi="Times New Roman"/>
          <w:sz w:val="28"/>
          <w:szCs w:val="28"/>
        </w:rPr>
        <w:t xml:space="preserve">Годовое солнечное сияние в </w:t>
      </w:r>
      <w:r w:rsidR="00D558A5">
        <w:rPr>
          <w:rFonts w:ascii="Times New Roman" w:hAnsi="Times New Roman"/>
          <w:sz w:val="28"/>
          <w:szCs w:val="28"/>
        </w:rPr>
        <w:t xml:space="preserve">городе </w:t>
      </w:r>
      <w:r w:rsidR="00CE1479" w:rsidRPr="00577593">
        <w:rPr>
          <w:rFonts w:ascii="Times New Roman" w:hAnsi="Times New Roman"/>
          <w:sz w:val="28"/>
          <w:szCs w:val="28"/>
        </w:rPr>
        <w:t xml:space="preserve">Барнауле (2180 ч) превышает данный показатель Сочи. </w:t>
      </w:r>
      <w:r w:rsidRPr="00577593">
        <w:rPr>
          <w:rFonts w:ascii="Times New Roman" w:hAnsi="Times New Roman"/>
          <w:sz w:val="28"/>
          <w:szCs w:val="28"/>
        </w:rPr>
        <w:t>По количеству выпадающих атмосферных осадков город относится к зоне недостаточного увлажнения. Среднегодовое количеств</w:t>
      </w:r>
      <w:r w:rsidR="00960A10">
        <w:rPr>
          <w:rFonts w:ascii="Times New Roman" w:hAnsi="Times New Roman"/>
          <w:sz w:val="28"/>
          <w:szCs w:val="28"/>
        </w:rPr>
        <w:t>о осадков –</w:t>
      </w:r>
      <w:r w:rsidRPr="00577593">
        <w:rPr>
          <w:rFonts w:ascii="Times New Roman" w:hAnsi="Times New Roman"/>
          <w:sz w:val="28"/>
          <w:szCs w:val="28"/>
        </w:rPr>
        <w:t xml:space="preserve"> </w:t>
      </w:r>
      <w:r w:rsidR="00210A29" w:rsidRPr="00577593">
        <w:rPr>
          <w:rFonts w:ascii="Times New Roman" w:hAnsi="Times New Roman"/>
          <w:sz w:val="28"/>
          <w:szCs w:val="28"/>
        </w:rPr>
        <w:br/>
      </w:r>
      <w:r w:rsidRPr="00577593">
        <w:rPr>
          <w:rFonts w:ascii="Times New Roman" w:hAnsi="Times New Roman"/>
          <w:sz w:val="28"/>
          <w:szCs w:val="28"/>
        </w:rPr>
        <w:t xml:space="preserve">477 мм. Воздух сухой в течение всего года, а особенно весной и в начале лета, несмотря на близость обширных водных поверхностей реки Оби </w:t>
      </w:r>
      <w:r w:rsidR="00960A10">
        <w:rPr>
          <w:rFonts w:ascii="Times New Roman" w:hAnsi="Times New Roman"/>
          <w:sz w:val="28"/>
          <w:szCs w:val="28"/>
        </w:rPr>
        <w:t xml:space="preserve">          </w:t>
      </w:r>
      <w:r w:rsidRPr="00577593">
        <w:rPr>
          <w:rFonts w:ascii="Times New Roman" w:hAnsi="Times New Roman"/>
          <w:sz w:val="28"/>
          <w:szCs w:val="28"/>
        </w:rPr>
        <w:t xml:space="preserve">и ее поймы, ветровой режим характеризуется повышенными скоростями </w:t>
      </w:r>
      <w:r w:rsidR="00210A29" w:rsidRPr="00577593">
        <w:rPr>
          <w:rFonts w:ascii="Times New Roman" w:hAnsi="Times New Roman"/>
          <w:sz w:val="28"/>
          <w:szCs w:val="28"/>
        </w:rPr>
        <w:br/>
      </w:r>
      <w:r w:rsidRPr="00577593">
        <w:rPr>
          <w:rFonts w:ascii="Times New Roman" w:hAnsi="Times New Roman"/>
          <w:sz w:val="28"/>
          <w:szCs w:val="28"/>
        </w:rPr>
        <w:t xml:space="preserve">и преобладанием ветров юго-западного направления. </w:t>
      </w:r>
    </w:p>
    <w:p w:rsidR="00FC41F4" w:rsidRPr="00577593" w:rsidRDefault="008925FA" w:rsidP="008D738C">
      <w:pPr>
        <w:keepNext/>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Территория городского округа </w:t>
      </w:r>
      <w:r w:rsidR="00960A10">
        <w:rPr>
          <w:rFonts w:ascii="Times New Roman" w:hAnsi="Times New Roman"/>
          <w:sz w:val="28"/>
          <w:szCs w:val="28"/>
        </w:rPr>
        <w:t>–</w:t>
      </w:r>
      <w:r w:rsidRPr="00577593">
        <w:rPr>
          <w:rFonts w:ascii="Times New Roman" w:hAnsi="Times New Roman"/>
          <w:sz w:val="28"/>
          <w:szCs w:val="28"/>
        </w:rPr>
        <w:t xml:space="preserve"> города Барнаула Алтайского края </w:t>
      </w:r>
      <w:r w:rsidR="001F7F7A" w:rsidRPr="00577593">
        <w:rPr>
          <w:rFonts w:ascii="Times New Roman" w:hAnsi="Times New Roman"/>
          <w:sz w:val="28"/>
          <w:szCs w:val="28"/>
        </w:rPr>
        <w:t>–</w:t>
      </w:r>
      <w:r w:rsidRPr="00577593">
        <w:rPr>
          <w:rFonts w:ascii="Times New Roman" w:hAnsi="Times New Roman"/>
          <w:sz w:val="28"/>
          <w:szCs w:val="28"/>
        </w:rPr>
        <w:t xml:space="preserve"> 940 кв. км. Население на 01.01.2025 составляло 688818 </w:t>
      </w:r>
      <w:r w:rsidR="001F7F7A" w:rsidRPr="00577593">
        <w:rPr>
          <w:rFonts w:ascii="Times New Roman" w:hAnsi="Times New Roman"/>
          <w:sz w:val="28"/>
          <w:szCs w:val="28"/>
        </w:rPr>
        <w:t>человек, в том числе городское –</w:t>
      </w:r>
      <w:r w:rsidRPr="00577593">
        <w:rPr>
          <w:rFonts w:ascii="Times New Roman" w:hAnsi="Times New Roman"/>
          <w:sz w:val="28"/>
          <w:szCs w:val="28"/>
        </w:rPr>
        <w:t xml:space="preserve"> 639268 человек, сельское </w:t>
      </w:r>
      <w:r w:rsidR="001F7F7A" w:rsidRPr="00577593">
        <w:rPr>
          <w:rFonts w:ascii="Times New Roman" w:hAnsi="Times New Roman"/>
          <w:sz w:val="28"/>
          <w:szCs w:val="28"/>
        </w:rPr>
        <w:t xml:space="preserve">– </w:t>
      </w:r>
      <w:r w:rsidRPr="00577593">
        <w:rPr>
          <w:rFonts w:ascii="Times New Roman" w:hAnsi="Times New Roman"/>
          <w:sz w:val="28"/>
          <w:szCs w:val="28"/>
        </w:rPr>
        <w:t xml:space="preserve">49550 человек. Город занимает </w:t>
      </w:r>
      <w:r w:rsidR="00210A29" w:rsidRPr="00577593">
        <w:rPr>
          <w:rFonts w:ascii="Times New Roman" w:hAnsi="Times New Roman"/>
          <w:sz w:val="28"/>
          <w:szCs w:val="28"/>
        </w:rPr>
        <w:br/>
      </w:r>
      <w:r w:rsidRPr="00577593">
        <w:rPr>
          <w:rFonts w:ascii="Times New Roman" w:hAnsi="Times New Roman"/>
          <w:sz w:val="28"/>
          <w:szCs w:val="28"/>
        </w:rPr>
        <w:t>2</w:t>
      </w:r>
      <w:r w:rsidR="00217E3C" w:rsidRPr="00577593">
        <w:rPr>
          <w:rFonts w:ascii="Times New Roman" w:hAnsi="Times New Roman"/>
          <w:sz w:val="28"/>
          <w:szCs w:val="28"/>
        </w:rPr>
        <w:t>1</w:t>
      </w:r>
      <w:r w:rsidRPr="00577593">
        <w:rPr>
          <w:rFonts w:ascii="Times New Roman" w:hAnsi="Times New Roman"/>
          <w:sz w:val="28"/>
          <w:szCs w:val="28"/>
        </w:rPr>
        <w:t xml:space="preserve">-е место по численности населения в России (среди городских округов) </w:t>
      </w:r>
      <w:r w:rsidR="00210A29" w:rsidRPr="00577593">
        <w:rPr>
          <w:rFonts w:ascii="Times New Roman" w:hAnsi="Times New Roman"/>
          <w:sz w:val="28"/>
          <w:szCs w:val="28"/>
        </w:rPr>
        <w:br/>
      </w:r>
      <w:r w:rsidRPr="00577593">
        <w:rPr>
          <w:rFonts w:ascii="Times New Roman" w:hAnsi="Times New Roman"/>
          <w:sz w:val="28"/>
          <w:szCs w:val="28"/>
        </w:rPr>
        <w:t xml:space="preserve">и 4-е место в Сибирском федеральном округе (после городов-миллионников Новосибирска, Омска и Красноярска). </w:t>
      </w:r>
    </w:p>
    <w:p w:rsidR="00FC41F4" w:rsidRPr="00577593" w:rsidRDefault="008925FA" w:rsidP="008D738C">
      <w:pPr>
        <w:keepNext/>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Площадь жилищного фонда города Барнаула </w:t>
      </w:r>
      <w:r w:rsidR="0018339C" w:rsidRPr="00577593">
        <w:rPr>
          <w:rFonts w:ascii="Times New Roman" w:hAnsi="Times New Roman"/>
          <w:sz w:val="28"/>
          <w:szCs w:val="28"/>
        </w:rPr>
        <w:t>к</w:t>
      </w:r>
      <w:r w:rsidRPr="00577593">
        <w:rPr>
          <w:rFonts w:ascii="Times New Roman" w:hAnsi="Times New Roman"/>
          <w:sz w:val="28"/>
          <w:szCs w:val="28"/>
        </w:rPr>
        <w:t xml:space="preserve"> 202</w:t>
      </w:r>
      <w:r w:rsidR="0018339C" w:rsidRPr="00577593">
        <w:rPr>
          <w:rFonts w:ascii="Times New Roman" w:hAnsi="Times New Roman"/>
          <w:sz w:val="28"/>
          <w:szCs w:val="28"/>
        </w:rPr>
        <w:t>5</w:t>
      </w:r>
      <w:r w:rsidRPr="00577593">
        <w:rPr>
          <w:rFonts w:ascii="Times New Roman" w:hAnsi="Times New Roman"/>
          <w:sz w:val="28"/>
          <w:szCs w:val="28"/>
        </w:rPr>
        <w:t xml:space="preserve"> году достигла </w:t>
      </w:r>
      <w:r w:rsidR="005B5587" w:rsidRPr="00577593">
        <w:rPr>
          <w:rFonts w:ascii="Times New Roman" w:hAnsi="Times New Roman"/>
          <w:sz w:val="28"/>
          <w:szCs w:val="28"/>
        </w:rPr>
        <w:br/>
      </w:r>
      <w:r w:rsidRPr="00577593">
        <w:rPr>
          <w:rFonts w:ascii="Times New Roman" w:hAnsi="Times New Roman"/>
          <w:sz w:val="28"/>
          <w:szCs w:val="28"/>
        </w:rPr>
        <w:t xml:space="preserve">19,5 млн </w:t>
      </w:r>
      <w:r w:rsidR="000F76C4">
        <w:rPr>
          <w:rFonts w:ascii="Times New Roman" w:hAnsi="Times New Roman"/>
          <w:sz w:val="28"/>
          <w:szCs w:val="28"/>
        </w:rPr>
        <w:t>кв. м</w:t>
      </w:r>
      <w:r w:rsidRPr="00577593">
        <w:rPr>
          <w:rFonts w:ascii="Times New Roman" w:hAnsi="Times New Roman"/>
          <w:sz w:val="28"/>
          <w:szCs w:val="28"/>
        </w:rPr>
        <w:t>.</w:t>
      </w:r>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Городской округ </w:t>
      </w:r>
      <w:r w:rsidR="001F7F7A" w:rsidRPr="00577593">
        <w:rPr>
          <w:rFonts w:ascii="Times New Roman" w:hAnsi="Times New Roman"/>
          <w:sz w:val="28"/>
          <w:szCs w:val="28"/>
        </w:rPr>
        <w:t>–</w:t>
      </w:r>
      <w:r w:rsidRPr="00577593">
        <w:rPr>
          <w:rFonts w:ascii="Times New Roman" w:hAnsi="Times New Roman"/>
          <w:sz w:val="28"/>
          <w:szCs w:val="28"/>
        </w:rPr>
        <w:t xml:space="preserve"> город Барнаул Алтайского края наде</w:t>
      </w:r>
      <w:r w:rsidR="00153631">
        <w:rPr>
          <w:rFonts w:ascii="Times New Roman" w:hAnsi="Times New Roman"/>
          <w:sz w:val="28"/>
          <w:szCs w:val="28"/>
        </w:rPr>
        <w:t>лен статусом городского округа з</w:t>
      </w:r>
      <w:r w:rsidRPr="00577593">
        <w:rPr>
          <w:rFonts w:ascii="Times New Roman" w:hAnsi="Times New Roman"/>
          <w:sz w:val="28"/>
          <w:szCs w:val="28"/>
        </w:rPr>
        <w:t xml:space="preserve">аконом Алтайского края от 27.12.2008 № 144-ЗС </w:t>
      </w:r>
      <w:r w:rsidR="005B5587" w:rsidRPr="00577593">
        <w:rPr>
          <w:rFonts w:ascii="Times New Roman" w:hAnsi="Times New Roman"/>
          <w:sz w:val="28"/>
          <w:szCs w:val="28"/>
        </w:rPr>
        <w:br/>
      </w:r>
      <w:r w:rsidRPr="00577593">
        <w:rPr>
          <w:rFonts w:ascii="Times New Roman" w:hAnsi="Times New Roman"/>
          <w:sz w:val="28"/>
          <w:szCs w:val="28"/>
        </w:rPr>
        <w:t xml:space="preserve">«О статусе и границах муниципального и административно-территориального образования город Барнаул Алтайского края», на территории которого осуществляется местное самоуправление, является </w:t>
      </w:r>
      <w:r w:rsidRPr="00577593">
        <w:rPr>
          <w:rFonts w:ascii="Times New Roman" w:hAnsi="Times New Roman"/>
          <w:sz w:val="28"/>
          <w:szCs w:val="28"/>
        </w:rPr>
        <w:lastRenderedPageBreak/>
        <w:t xml:space="preserve">административным центром Алтайского края. В состав территории городского округа входят </w:t>
      </w:r>
      <w:r w:rsidR="00AC769A" w:rsidRPr="00577593">
        <w:rPr>
          <w:rFonts w:ascii="Times New Roman" w:hAnsi="Times New Roman"/>
          <w:sz w:val="28"/>
          <w:szCs w:val="28"/>
        </w:rPr>
        <w:t>населенные пункты</w:t>
      </w:r>
      <w:r w:rsidRPr="00577593">
        <w:rPr>
          <w:rFonts w:ascii="Times New Roman" w:hAnsi="Times New Roman"/>
          <w:sz w:val="28"/>
          <w:szCs w:val="28"/>
        </w:rPr>
        <w:t xml:space="preserve">: </w:t>
      </w:r>
    </w:p>
    <w:p w:rsidR="00FC41F4" w:rsidRPr="00577593" w:rsidRDefault="008925FA" w:rsidP="008D738C">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 xml:space="preserve">город Барнаул; </w:t>
      </w:r>
    </w:p>
    <w:p w:rsidR="00FC41F4" w:rsidRPr="00577593" w:rsidRDefault="008925FA" w:rsidP="008D738C">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 xml:space="preserve">рабочий поселок Южный; </w:t>
      </w:r>
    </w:p>
    <w:p w:rsidR="003621AA" w:rsidRDefault="008925FA" w:rsidP="008D738C">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 xml:space="preserve">села: Власиха, Гоньба, Лебяжье; </w:t>
      </w:r>
    </w:p>
    <w:p w:rsidR="00BB33BE" w:rsidRDefault="008925FA" w:rsidP="008D738C">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3621AA">
        <w:rPr>
          <w:rFonts w:ascii="Times New Roman" w:eastAsia="Times New Roman" w:hAnsi="Times New Roman"/>
          <w:sz w:val="28"/>
          <w:szCs w:val="28"/>
          <w:lang w:eastAsia="ru-RU"/>
        </w:rPr>
        <w:t xml:space="preserve">станции: Власиха, Железнодорожная Казарма 242 км, Железнодорожная Казарма 250 км, Железнодорожная Казарма 253 км, Ползуново; </w:t>
      </w:r>
    </w:p>
    <w:p w:rsidR="00FC41F4" w:rsidRPr="00577593" w:rsidRDefault="008925FA" w:rsidP="008D738C">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 xml:space="preserve">поселки: Бельмесево, Березовка, Борзовая Заимка, Землянуха, Казенная Заимка, Конюхи, Лесной, Мохнатушка, Научный Городок, Новомихайловка, Плодопитомник, Пригородный, Садоводов, Центральный, Черницк, Ягодное. </w:t>
      </w:r>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В октябре 2009 года главы городов Барнаула, Новоалтайска и глава Первомайского района подписали соглашение о создании Барнаульской агломерации. В 2019 году в состав агломерации вошел Павловский район, </w:t>
      </w:r>
      <w:r w:rsidR="003621AA">
        <w:rPr>
          <w:rFonts w:ascii="Times New Roman" w:hAnsi="Times New Roman"/>
          <w:sz w:val="28"/>
          <w:szCs w:val="28"/>
        </w:rPr>
        <w:t xml:space="preserve">   </w:t>
      </w:r>
      <w:r w:rsidRPr="00577593">
        <w:rPr>
          <w:rFonts w:ascii="Times New Roman" w:hAnsi="Times New Roman"/>
          <w:sz w:val="28"/>
          <w:szCs w:val="28"/>
        </w:rPr>
        <w:t xml:space="preserve">в перспективе территориальные границы агломерации могут расшириться за счет присоединения Калманского, Косихинского и Тальменского районов. </w:t>
      </w:r>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Понятия «городской округ </w:t>
      </w:r>
      <w:r w:rsidR="001F7F7A" w:rsidRPr="00577593">
        <w:rPr>
          <w:rFonts w:ascii="Times New Roman" w:hAnsi="Times New Roman"/>
          <w:sz w:val="28"/>
          <w:szCs w:val="28"/>
        </w:rPr>
        <w:t>–</w:t>
      </w:r>
      <w:r w:rsidRPr="00577593">
        <w:rPr>
          <w:rFonts w:ascii="Times New Roman" w:hAnsi="Times New Roman"/>
          <w:sz w:val="28"/>
          <w:szCs w:val="28"/>
        </w:rPr>
        <w:t xml:space="preserve"> город Барнаул Алтайского края», «город Барнаул», «город</w:t>
      </w:r>
      <w:r w:rsidRPr="000F76C4">
        <w:rPr>
          <w:rFonts w:ascii="Times New Roman" w:hAnsi="Times New Roman"/>
          <w:sz w:val="28"/>
          <w:szCs w:val="28"/>
        </w:rPr>
        <w:t xml:space="preserve">», </w:t>
      </w:r>
      <w:r w:rsidR="003621AA" w:rsidRPr="000F76C4">
        <w:rPr>
          <w:rFonts w:ascii="Times New Roman" w:hAnsi="Times New Roman"/>
          <w:sz w:val="28"/>
          <w:szCs w:val="28"/>
        </w:rPr>
        <w:t>«городской округ»,</w:t>
      </w:r>
      <w:r w:rsidR="003621AA">
        <w:rPr>
          <w:rFonts w:ascii="Times New Roman" w:hAnsi="Times New Roman"/>
          <w:sz w:val="28"/>
          <w:szCs w:val="28"/>
        </w:rPr>
        <w:t xml:space="preserve"> </w:t>
      </w:r>
      <w:r w:rsidR="00D678EE">
        <w:rPr>
          <w:rFonts w:ascii="Times New Roman" w:hAnsi="Times New Roman"/>
          <w:sz w:val="28"/>
          <w:szCs w:val="28"/>
        </w:rPr>
        <w:t>«</w:t>
      </w:r>
      <w:r w:rsidR="00D678EE" w:rsidRPr="00D678EE">
        <w:rPr>
          <w:rFonts w:ascii="Times New Roman" w:hAnsi="Times New Roman"/>
          <w:sz w:val="28"/>
          <w:szCs w:val="28"/>
        </w:rPr>
        <w:t>городской округ – город Барнаул</w:t>
      </w:r>
      <w:r w:rsidR="00D678EE">
        <w:rPr>
          <w:rFonts w:ascii="Times New Roman" w:hAnsi="Times New Roman"/>
          <w:sz w:val="28"/>
          <w:szCs w:val="28"/>
        </w:rPr>
        <w:t xml:space="preserve">», </w:t>
      </w:r>
      <w:r w:rsidRPr="00577593">
        <w:rPr>
          <w:rFonts w:ascii="Times New Roman" w:hAnsi="Times New Roman"/>
          <w:sz w:val="28"/>
          <w:szCs w:val="28"/>
        </w:rPr>
        <w:t>«муниципальное образование», используемые в Стратегии, применяются в одном значении.</w:t>
      </w:r>
    </w:p>
    <w:p w:rsidR="00FC41F4" w:rsidRPr="00577593" w:rsidRDefault="00FC41F4" w:rsidP="002000D4">
      <w:pPr>
        <w:spacing w:line="240" w:lineRule="auto"/>
        <w:rPr>
          <w:rFonts w:ascii="Times New Roman" w:eastAsia="Times New Roman" w:hAnsi="Times New Roman"/>
          <w:sz w:val="28"/>
          <w:szCs w:val="28"/>
        </w:rPr>
      </w:pPr>
    </w:p>
    <w:p w:rsidR="005B5587" w:rsidRPr="00577593" w:rsidRDefault="005B5587" w:rsidP="002000D4">
      <w:pPr>
        <w:spacing w:line="240" w:lineRule="auto"/>
        <w:rPr>
          <w:rFonts w:ascii="Times New Roman" w:eastAsia="Times New Roman" w:hAnsi="Times New Roman"/>
          <w:sz w:val="28"/>
          <w:szCs w:val="28"/>
        </w:rPr>
      </w:pPr>
    </w:p>
    <w:p w:rsidR="005B5587" w:rsidRPr="00577593" w:rsidRDefault="005B5587" w:rsidP="002000D4">
      <w:pPr>
        <w:spacing w:line="240" w:lineRule="auto"/>
        <w:rPr>
          <w:rFonts w:ascii="Times New Roman" w:eastAsia="Times New Roman" w:hAnsi="Times New Roman"/>
          <w:sz w:val="28"/>
          <w:szCs w:val="28"/>
        </w:rPr>
      </w:pPr>
    </w:p>
    <w:p w:rsidR="005B5587" w:rsidRPr="00577593" w:rsidRDefault="005B5587" w:rsidP="002000D4">
      <w:pPr>
        <w:spacing w:line="240" w:lineRule="auto"/>
        <w:rPr>
          <w:rFonts w:ascii="Times New Roman" w:eastAsia="Times New Roman" w:hAnsi="Times New Roman"/>
          <w:sz w:val="28"/>
          <w:szCs w:val="28"/>
        </w:rPr>
      </w:pPr>
    </w:p>
    <w:p w:rsidR="005B5587" w:rsidRPr="00577593" w:rsidRDefault="005B5587" w:rsidP="002000D4">
      <w:pPr>
        <w:spacing w:line="240" w:lineRule="auto"/>
        <w:rPr>
          <w:rFonts w:ascii="Times New Roman" w:eastAsia="Times New Roman" w:hAnsi="Times New Roman"/>
          <w:sz w:val="28"/>
          <w:szCs w:val="28"/>
        </w:rPr>
      </w:pPr>
    </w:p>
    <w:p w:rsidR="005B5587" w:rsidRPr="00577593" w:rsidRDefault="005B5587" w:rsidP="002000D4">
      <w:pPr>
        <w:spacing w:line="240" w:lineRule="auto"/>
        <w:rPr>
          <w:rFonts w:ascii="Times New Roman" w:eastAsia="Times New Roman" w:hAnsi="Times New Roman"/>
          <w:b/>
          <w:bCs/>
          <w:sz w:val="28"/>
          <w:szCs w:val="28"/>
        </w:rPr>
      </w:pPr>
    </w:p>
    <w:p w:rsidR="005B5587" w:rsidRPr="00577593" w:rsidRDefault="005B5587" w:rsidP="002000D4">
      <w:pPr>
        <w:pStyle w:val="2"/>
        <w:spacing w:before="0" w:line="240" w:lineRule="auto"/>
        <w:ind w:firstLine="709"/>
        <w:jc w:val="both"/>
        <w:rPr>
          <w:rFonts w:ascii="Times New Roman" w:eastAsia="Times New Roman" w:hAnsi="Times New Roman"/>
          <w:color w:val="auto"/>
          <w:sz w:val="28"/>
          <w:szCs w:val="28"/>
        </w:rPr>
      </w:pPr>
      <w:bookmarkStart w:id="2" w:name="_Toc2043963601"/>
      <w:bookmarkStart w:id="3" w:name="_Toc212804259"/>
    </w:p>
    <w:p w:rsidR="005B5587" w:rsidRPr="00577593" w:rsidRDefault="005B5587" w:rsidP="002000D4">
      <w:pPr>
        <w:spacing w:line="240" w:lineRule="auto"/>
        <w:rPr>
          <w:rFonts w:ascii="Times New Roman" w:hAnsi="Times New Roman"/>
        </w:rPr>
      </w:pPr>
    </w:p>
    <w:p w:rsidR="005B5587" w:rsidRPr="00577593" w:rsidRDefault="005B5587" w:rsidP="002000D4">
      <w:pPr>
        <w:spacing w:line="240" w:lineRule="auto"/>
        <w:rPr>
          <w:rFonts w:ascii="Times New Roman" w:hAnsi="Times New Roman"/>
        </w:rPr>
      </w:pPr>
    </w:p>
    <w:p w:rsidR="005B5587" w:rsidRPr="00577593" w:rsidRDefault="005B5587" w:rsidP="002000D4">
      <w:pPr>
        <w:spacing w:line="240" w:lineRule="auto"/>
        <w:rPr>
          <w:rFonts w:ascii="Times New Roman" w:hAnsi="Times New Roman"/>
        </w:rPr>
      </w:pPr>
    </w:p>
    <w:p w:rsidR="005B5587" w:rsidRPr="00577593" w:rsidRDefault="005B5587" w:rsidP="002000D4">
      <w:pPr>
        <w:spacing w:line="240" w:lineRule="auto"/>
        <w:rPr>
          <w:rFonts w:ascii="Times New Roman" w:hAnsi="Times New Roman"/>
        </w:rPr>
      </w:pPr>
    </w:p>
    <w:p w:rsidR="005B5587" w:rsidRPr="00577593" w:rsidRDefault="005B5587" w:rsidP="002000D4">
      <w:pPr>
        <w:spacing w:line="240" w:lineRule="auto"/>
        <w:rPr>
          <w:rFonts w:ascii="Times New Roman" w:hAnsi="Times New Roman"/>
        </w:rPr>
      </w:pPr>
    </w:p>
    <w:p w:rsidR="005B5587" w:rsidRPr="00577593" w:rsidRDefault="005B5587" w:rsidP="002000D4">
      <w:pPr>
        <w:spacing w:line="240" w:lineRule="auto"/>
        <w:rPr>
          <w:rFonts w:ascii="Times New Roman" w:hAnsi="Times New Roman"/>
        </w:rPr>
      </w:pPr>
    </w:p>
    <w:p w:rsidR="005B5587" w:rsidRPr="00577593" w:rsidRDefault="005B5587" w:rsidP="002000D4">
      <w:pPr>
        <w:spacing w:line="240" w:lineRule="auto"/>
        <w:rPr>
          <w:rFonts w:ascii="Times New Roman" w:hAnsi="Times New Roman"/>
        </w:rPr>
      </w:pPr>
    </w:p>
    <w:p w:rsidR="005B5587" w:rsidRPr="00577593" w:rsidRDefault="005B5587" w:rsidP="002000D4">
      <w:pPr>
        <w:spacing w:line="240" w:lineRule="auto"/>
        <w:rPr>
          <w:rFonts w:ascii="Times New Roman" w:hAnsi="Times New Roman"/>
        </w:rPr>
      </w:pPr>
    </w:p>
    <w:p w:rsidR="00FC41F4" w:rsidRPr="00577593" w:rsidRDefault="008925FA" w:rsidP="00317761">
      <w:pPr>
        <w:pStyle w:val="2"/>
        <w:spacing w:before="0" w:line="328" w:lineRule="atLeast"/>
        <w:ind w:firstLine="709"/>
        <w:jc w:val="both"/>
        <w:rPr>
          <w:rFonts w:ascii="Times New Roman" w:eastAsia="Times New Roman" w:hAnsi="Times New Roman"/>
          <w:color w:val="auto"/>
          <w:sz w:val="28"/>
          <w:szCs w:val="28"/>
        </w:rPr>
      </w:pPr>
      <w:r w:rsidRPr="00577593">
        <w:rPr>
          <w:rFonts w:ascii="Times New Roman" w:eastAsia="Times New Roman" w:hAnsi="Times New Roman"/>
          <w:color w:val="auto"/>
          <w:sz w:val="28"/>
          <w:szCs w:val="28"/>
        </w:rPr>
        <w:lastRenderedPageBreak/>
        <w:t>2</w:t>
      </w:r>
      <w:r w:rsidR="003621AA">
        <w:rPr>
          <w:rFonts w:ascii="Times New Roman" w:eastAsia="Times New Roman" w:hAnsi="Times New Roman"/>
          <w:color w:val="auto"/>
          <w:sz w:val="28"/>
          <w:szCs w:val="28"/>
        </w:rPr>
        <w:t>.</w:t>
      </w:r>
      <w:r w:rsidRPr="00577593">
        <w:rPr>
          <w:rFonts w:ascii="Times New Roman" w:eastAsia="Times New Roman" w:hAnsi="Times New Roman"/>
          <w:color w:val="auto"/>
          <w:sz w:val="28"/>
          <w:szCs w:val="28"/>
        </w:rPr>
        <w:t xml:space="preserve"> Анализ социально-экономического развития города Барнаула</w:t>
      </w:r>
      <w:r w:rsidR="003621AA">
        <w:rPr>
          <w:rFonts w:ascii="Times New Roman" w:eastAsia="Times New Roman" w:hAnsi="Times New Roman"/>
          <w:color w:val="auto"/>
          <w:sz w:val="28"/>
          <w:szCs w:val="28"/>
        </w:rPr>
        <w:t xml:space="preserve"> </w:t>
      </w:r>
      <w:r w:rsidR="00D558A5">
        <w:rPr>
          <w:rFonts w:ascii="Times New Roman" w:eastAsia="Times New Roman" w:hAnsi="Times New Roman"/>
          <w:color w:val="auto"/>
          <w:sz w:val="28"/>
          <w:szCs w:val="28"/>
        </w:rPr>
        <w:br/>
      </w:r>
      <w:r w:rsidRPr="00577593">
        <w:rPr>
          <w:rFonts w:ascii="Times New Roman" w:eastAsia="Times New Roman" w:hAnsi="Times New Roman"/>
          <w:color w:val="auto"/>
          <w:sz w:val="28"/>
          <w:szCs w:val="28"/>
        </w:rPr>
        <w:t>в результате реализации Стратегии социально-экономического развития города Барнаула до 2025 года в период с 2013 по 2024 годы</w:t>
      </w:r>
      <w:bookmarkEnd w:id="2"/>
      <w:bookmarkEnd w:id="3"/>
    </w:p>
    <w:p w:rsidR="00FC41F4" w:rsidRPr="00577593" w:rsidRDefault="008925FA" w:rsidP="00317761">
      <w:pPr>
        <w:pStyle w:val="3"/>
        <w:spacing w:before="0" w:line="328" w:lineRule="atLeast"/>
        <w:ind w:firstLine="709"/>
        <w:jc w:val="both"/>
        <w:rPr>
          <w:rFonts w:ascii="Times New Roman" w:hAnsi="Times New Roman"/>
          <w:b/>
          <w:color w:val="auto"/>
          <w:sz w:val="28"/>
          <w:szCs w:val="28"/>
        </w:rPr>
      </w:pPr>
      <w:bookmarkStart w:id="4" w:name="_Toc212804260"/>
      <w:bookmarkStart w:id="5" w:name="_Toc149633142"/>
      <w:bookmarkStart w:id="6" w:name="_Toc149633900"/>
      <w:r w:rsidRPr="00577593">
        <w:rPr>
          <w:rFonts w:ascii="Times New Roman" w:hAnsi="Times New Roman"/>
          <w:b/>
          <w:color w:val="auto"/>
          <w:sz w:val="28"/>
          <w:szCs w:val="28"/>
        </w:rPr>
        <w:t>2.1</w:t>
      </w:r>
      <w:r w:rsidR="003621AA">
        <w:rPr>
          <w:rFonts w:ascii="Times New Roman" w:hAnsi="Times New Roman"/>
          <w:b/>
          <w:color w:val="auto"/>
          <w:sz w:val="28"/>
          <w:szCs w:val="28"/>
        </w:rPr>
        <w:t>.</w:t>
      </w:r>
      <w:r w:rsidR="000B5AE4">
        <w:rPr>
          <w:rFonts w:ascii="Times New Roman" w:hAnsi="Times New Roman"/>
          <w:b/>
          <w:color w:val="auto"/>
          <w:sz w:val="28"/>
          <w:szCs w:val="28"/>
        </w:rPr>
        <w:t> </w:t>
      </w:r>
      <w:r w:rsidRPr="00577593">
        <w:rPr>
          <w:rFonts w:ascii="Times New Roman" w:hAnsi="Times New Roman"/>
          <w:b/>
          <w:color w:val="auto"/>
          <w:sz w:val="28"/>
          <w:szCs w:val="28"/>
        </w:rPr>
        <w:t>Основные сведения и особенности экономико-географического положения</w:t>
      </w:r>
      <w:bookmarkEnd w:id="4"/>
    </w:p>
    <w:p w:rsidR="00FC41F4" w:rsidRPr="00577593" w:rsidRDefault="0018339C" w:rsidP="00317761">
      <w:pPr>
        <w:spacing w:after="0" w:line="328" w:lineRule="atLeast"/>
        <w:ind w:firstLine="709"/>
        <w:jc w:val="both"/>
        <w:rPr>
          <w:rFonts w:ascii="Times New Roman" w:hAnsi="Times New Roman"/>
          <w:b/>
          <w:sz w:val="28"/>
          <w:szCs w:val="28"/>
        </w:rPr>
      </w:pPr>
      <w:r w:rsidRPr="00577593">
        <w:rPr>
          <w:rFonts w:ascii="Times New Roman" w:hAnsi="Times New Roman"/>
          <w:b/>
          <w:sz w:val="28"/>
          <w:szCs w:val="28"/>
        </w:rPr>
        <w:t xml:space="preserve">2.1.1. </w:t>
      </w:r>
      <w:r w:rsidR="008925FA" w:rsidRPr="00577593">
        <w:rPr>
          <w:rFonts w:ascii="Times New Roman" w:hAnsi="Times New Roman"/>
          <w:b/>
          <w:sz w:val="28"/>
          <w:szCs w:val="28"/>
        </w:rPr>
        <w:t>Административно-территориальное положение</w:t>
      </w:r>
    </w:p>
    <w:p w:rsidR="00FC41F4" w:rsidRPr="00577593" w:rsidRDefault="003621AA" w:rsidP="00317761">
      <w:pPr>
        <w:spacing w:after="0" w:line="328" w:lineRule="atLeast"/>
        <w:ind w:firstLine="709"/>
        <w:jc w:val="both"/>
        <w:rPr>
          <w:rFonts w:ascii="Times New Roman" w:hAnsi="Times New Roman"/>
          <w:sz w:val="28"/>
          <w:szCs w:val="28"/>
        </w:rPr>
      </w:pPr>
      <w:r>
        <w:rPr>
          <w:rFonts w:ascii="Times New Roman" w:hAnsi="Times New Roman"/>
          <w:sz w:val="28"/>
          <w:szCs w:val="28"/>
        </w:rPr>
        <w:t xml:space="preserve">Город </w:t>
      </w:r>
      <w:r w:rsidR="008925FA" w:rsidRPr="00577593">
        <w:rPr>
          <w:rFonts w:ascii="Times New Roman" w:hAnsi="Times New Roman"/>
          <w:sz w:val="28"/>
          <w:szCs w:val="28"/>
        </w:rPr>
        <w:t xml:space="preserve">Барнаул располагается на северо-востоке Алтайского края. </w:t>
      </w:r>
      <w:r>
        <w:rPr>
          <w:rFonts w:ascii="Times New Roman" w:hAnsi="Times New Roman"/>
          <w:sz w:val="28"/>
          <w:szCs w:val="28"/>
        </w:rPr>
        <w:t xml:space="preserve">   </w:t>
      </w:r>
      <w:r w:rsidR="008925FA" w:rsidRPr="00577593">
        <w:rPr>
          <w:rFonts w:ascii="Times New Roman" w:hAnsi="Times New Roman"/>
          <w:sz w:val="28"/>
          <w:szCs w:val="28"/>
        </w:rPr>
        <w:t xml:space="preserve">На востоке и юго-востоке городской округ граничит </w:t>
      </w:r>
      <w:r w:rsidR="008925FA" w:rsidRPr="000F76C4">
        <w:rPr>
          <w:rFonts w:ascii="Times New Roman" w:hAnsi="Times New Roman"/>
          <w:sz w:val="28"/>
          <w:szCs w:val="28"/>
        </w:rPr>
        <w:t xml:space="preserve">с </w:t>
      </w:r>
      <w:r w:rsidR="00287188" w:rsidRPr="000F76C4">
        <w:rPr>
          <w:rFonts w:ascii="Times New Roman" w:hAnsi="Times New Roman"/>
          <w:sz w:val="28"/>
          <w:szCs w:val="28"/>
        </w:rPr>
        <w:t>городом</w:t>
      </w:r>
      <w:r w:rsidR="00287188">
        <w:rPr>
          <w:rFonts w:ascii="Times New Roman" w:hAnsi="Times New Roman"/>
          <w:sz w:val="28"/>
          <w:szCs w:val="28"/>
        </w:rPr>
        <w:t xml:space="preserve"> Новоалтайском </w:t>
      </w:r>
      <w:r w:rsidR="008925FA" w:rsidRPr="00577593">
        <w:rPr>
          <w:rFonts w:ascii="Times New Roman" w:hAnsi="Times New Roman"/>
          <w:sz w:val="28"/>
          <w:szCs w:val="28"/>
        </w:rPr>
        <w:t xml:space="preserve">и Первомайским районом, на юго-западе </w:t>
      </w:r>
      <w:r w:rsidR="001F7F7A" w:rsidRPr="00577593">
        <w:rPr>
          <w:rFonts w:ascii="Times New Roman" w:hAnsi="Times New Roman"/>
          <w:sz w:val="28"/>
          <w:szCs w:val="28"/>
        </w:rPr>
        <w:t>–</w:t>
      </w:r>
      <w:r w:rsidR="008925FA" w:rsidRPr="00577593">
        <w:rPr>
          <w:rFonts w:ascii="Times New Roman" w:hAnsi="Times New Roman"/>
          <w:sz w:val="28"/>
          <w:szCs w:val="28"/>
        </w:rPr>
        <w:t xml:space="preserve"> с</w:t>
      </w:r>
      <w:r w:rsidR="00D558A5">
        <w:rPr>
          <w:rFonts w:ascii="Times New Roman" w:hAnsi="Times New Roman"/>
          <w:sz w:val="28"/>
          <w:szCs w:val="28"/>
        </w:rPr>
        <w:t xml:space="preserve"> </w:t>
      </w:r>
      <w:r w:rsidR="008925FA" w:rsidRPr="00577593">
        <w:rPr>
          <w:rFonts w:ascii="Times New Roman" w:hAnsi="Times New Roman"/>
          <w:sz w:val="28"/>
          <w:szCs w:val="28"/>
        </w:rPr>
        <w:t xml:space="preserve">Калманским районом, на западе </w:t>
      </w:r>
      <w:r w:rsidR="001F7F7A" w:rsidRPr="00577593">
        <w:rPr>
          <w:rFonts w:ascii="Times New Roman" w:hAnsi="Times New Roman"/>
          <w:sz w:val="28"/>
          <w:szCs w:val="28"/>
        </w:rPr>
        <w:t>–</w:t>
      </w:r>
      <w:r w:rsidR="008925FA" w:rsidRPr="00577593">
        <w:rPr>
          <w:rFonts w:ascii="Times New Roman" w:hAnsi="Times New Roman"/>
          <w:sz w:val="28"/>
          <w:szCs w:val="28"/>
        </w:rPr>
        <w:t xml:space="preserve"> с Павловским районом, на севере </w:t>
      </w:r>
      <w:r w:rsidR="001F7F7A" w:rsidRPr="00577593">
        <w:rPr>
          <w:rFonts w:ascii="Times New Roman" w:hAnsi="Times New Roman"/>
          <w:sz w:val="28"/>
          <w:szCs w:val="28"/>
        </w:rPr>
        <w:t>–</w:t>
      </w:r>
      <w:r w:rsidR="005B5587" w:rsidRPr="00577593">
        <w:rPr>
          <w:rFonts w:ascii="Times New Roman" w:hAnsi="Times New Roman"/>
          <w:sz w:val="28"/>
          <w:szCs w:val="28"/>
        </w:rPr>
        <w:t xml:space="preserve"> </w:t>
      </w:r>
      <w:r w:rsidR="00287188">
        <w:rPr>
          <w:rFonts w:ascii="Times New Roman" w:hAnsi="Times New Roman"/>
          <w:sz w:val="28"/>
          <w:szCs w:val="28"/>
        </w:rPr>
        <w:t xml:space="preserve">с Тальменским районом. </w:t>
      </w:r>
      <w:r w:rsidR="008925FA" w:rsidRPr="00577593">
        <w:rPr>
          <w:rFonts w:ascii="Times New Roman" w:hAnsi="Times New Roman"/>
          <w:sz w:val="28"/>
          <w:szCs w:val="28"/>
        </w:rPr>
        <w:t xml:space="preserve">Городской округ разделен на пять районов: Железнодорожный, Индустриальный, Ленинский, Октябрьский и Центральный с включением </w:t>
      </w:r>
      <w:r w:rsidR="00287188">
        <w:rPr>
          <w:rFonts w:ascii="Times New Roman" w:hAnsi="Times New Roman"/>
          <w:sz w:val="28"/>
          <w:szCs w:val="28"/>
        </w:rPr>
        <w:t xml:space="preserve">   </w:t>
      </w:r>
      <w:r w:rsidR="008925FA" w:rsidRPr="00577593">
        <w:rPr>
          <w:rFonts w:ascii="Times New Roman" w:hAnsi="Times New Roman"/>
          <w:sz w:val="28"/>
          <w:szCs w:val="28"/>
        </w:rPr>
        <w:t xml:space="preserve">в них пригородной зоны. Районы </w:t>
      </w:r>
      <w:r w:rsidR="00274CDA">
        <w:rPr>
          <w:rFonts w:ascii="Times New Roman" w:hAnsi="Times New Roman"/>
          <w:sz w:val="28"/>
          <w:szCs w:val="28"/>
        </w:rPr>
        <w:t xml:space="preserve">города </w:t>
      </w:r>
      <w:r w:rsidR="008925FA" w:rsidRPr="00577593">
        <w:rPr>
          <w:rFonts w:ascii="Times New Roman" w:hAnsi="Times New Roman"/>
          <w:sz w:val="28"/>
          <w:szCs w:val="28"/>
        </w:rPr>
        <w:t xml:space="preserve">Барнаула не являются муниципальными образованиями. </w:t>
      </w:r>
    </w:p>
    <w:p w:rsidR="00FC41F4" w:rsidRPr="00577593" w:rsidRDefault="008925FA" w:rsidP="00317761">
      <w:pPr>
        <w:spacing w:after="0" w:line="328" w:lineRule="atLeast"/>
        <w:ind w:firstLine="709"/>
        <w:jc w:val="both"/>
        <w:rPr>
          <w:rFonts w:ascii="Times New Roman" w:hAnsi="Times New Roman"/>
          <w:sz w:val="28"/>
          <w:szCs w:val="28"/>
        </w:rPr>
      </w:pPr>
      <w:r w:rsidRPr="00577593">
        <w:rPr>
          <w:rFonts w:ascii="Times New Roman" w:hAnsi="Times New Roman"/>
          <w:sz w:val="28"/>
          <w:szCs w:val="28"/>
        </w:rPr>
        <w:t xml:space="preserve">Протяженность городского округа с севера на юг </w:t>
      </w:r>
      <w:r w:rsidR="001F7F7A" w:rsidRPr="00577593">
        <w:rPr>
          <w:rFonts w:ascii="Times New Roman" w:hAnsi="Times New Roman"/>
          <w:sz w:val="28"/>
          <w:szCs w:val="28"/>
        </w:rPr>
        <w:t>–</w:t>
      </w:r>
      <w:r w:rsidRPr="00577593">
        <w:rPr>
          <w:rFonts w:ascii="Times New Roman" w:hAnsi="Times New Roman"/>
          <w:sz w:val="28"/>
          <w:szCs w:val="28"/>
        </w:rPr>
        <w:t xml:space="preserve"> 30 км, с запада </w:t>
      </w:r>
      <w:r w:rsidR="005B5587" w:rsidRPr="00577593">
        <w:rPr>
          <w:rFonts w:ascii="Times New Roman" w:hAnsi="Times New Roman"/>
          <w:sz w:val="28"/>
          <w:szCs w:val="28"/>
        </w:rPr>
        <w:br/>
      </w:r>
      <w:r w:rsidRPr="00577593">
        <w:rPr>
          <w:rFonts w:ascii="Times New Roman" w:hAnsi="Times New Roman"/>
          <w:sz w:val="28"/>
          <w:szCs w:val="28"/>
        </w:rPr>
        <w:t xml:space="preserve">на восток </w:t>
      </w:r>
      <w:r w:rsidR="001F7F7A" w:rsidRPr="00577593">
        <w:rPr>
          <w:rFonts w:ascii="Times New Roman" w:hAnsi="Times New Roman"/>
          <w:sz w:val="28"/>
          <w:szCs w:val="28"/>
        </w:rPr>
        <w:t>–</w:t>
      </w:r>
      <w:r w:rsidRPr="00577593">
        <w:rPr>
          <w:rFonts w:ascii="Times New Roman" w:hAnsi="Times New Roman"/>
          <w:sz w:val="28"/>
          <w:szCs w:val="28"/>
        </w:rPr>
        <w:t xml:space="preserve"> 24 км. Общая площадь земель городского округа, включая входящие в его состав населенные пункты, составляет 940 кв. км (0,56% всей площади Алтайского края). Плотность населения в городском округе </w:t>
      </w:r>
      <w:r w:rsidR="001F7F7A" w:rsidRPr="00577593">
        <w:rPr>
          <w:rFonts w:ascii="Times New Roman" w:hAnsi="Times New Roman"/>
          <w:sz w:val="28"/>
          <w:szCs w:val="28"/>
        </w:rPr>
        <w:t xml:space="preserve">– </w:t>
      </w:r>
      <w:r w:rsidR="005B5587" w:rsidRPr="00577593">
        <w:rPr>
          <w:rFonts w:ascii="Times New Roman" w:hAnsi="Times New Roman"/>
          <w:sz w:val="28"/>
          <w:szCs w:val="28"/>
        </w:rPr>
        <w:br/>
      </w:r>
      <w:r w:rsidR="001F7F7A" w:rsidRPr="00577593">
        <w:rPr>
          <w:rFonts w:ascii="Times New Roman" w:hAnsi="Times New Roman"/>
          <w:sz w:val="28"/>
          <w:szCs w:val="28"/>
        </w:rPr>
        <w:t xml:space="preserve">732,8 человек </w:t>
      </w:r>
      <w:r w:rsidRPr="00577593">
        <w:rPr>
          <w:rFonts w:ascii="Times New Roman" w:hAnsi="Times New Roman"/>
          <w:sz w:val="28"/>
          <w:szCs w:val="28"/>
        </w:rPr>
        <w:t>/кв. км.</w:t>
      </w:r>
    </w:p>
    <w:p w:rsidR="00FC41F4" w:rsidRPr="00577593" w:rsidRDefault="0018339C" w:rsidP="00317761">
      <w:pPr>
        <w:spacing w:after="0" w:line="328" w:lineRule="atLeast"/>
        <w:ind w:firstLine="709"/>
        <w:jc w:val="both"/>
        <w:rPr>
          <w:rFonts w:ascii="Times New Roman" w:hAnsi="Times New Roman"/>
          <w:b/>
          <w:sz w:val="28"/>
          <w:szCs w:val="28"/>
        </w:rPr>
      </w:pPr>
      <w:r w:rsidRPr="00577593">
        <w:rPr>
          <w:rFonts w:ascii="Times New Roman" w:hAnsi="Times New Roman"/>
          <w:b/>
          <w:sz w:val="28"/>
          <w:szCs w:val="28"/>
        </w:rPr>
        <w:t xml:space="preserve">2.1.2. </w:t>
      </w:r>
      <w:r w:rsidR="008925FA" w:rsidRPr="00577593">
        <w:rPr>
          <w:rFonts w:ascii="Times New Roman" w:hAnsi="Times New Roman"/>
          <w:b/>
          <w:sz w:val="28"/>
          <w:szCs w:val="28"/>
        </w:rPr>
        <w:t>Физико-географическое положение</w:t>
      </w:r>
    </w:p>
    <w:p w:rsidR="00F83AA9" w:rsidRPr="00577593" w:rsidRDefault="00BB33BE" w:rsidP="00317761">
      <w:pPr>
        <w:spacing w:after="0" w:line="328" w:lineRule="atLeast"/>
        <w:ind w:firstLine="709"/>
        <w:jc w:val="both"/>
        <w:rPr>
          <w:rFonts w:ascii="Times New Roman" w:hAnsi="Times New Roman"/>
          <w:sz w:val="28"/>
          <w:szCs w:val="28"/>
        </w:rPr>
      </w:pPr>
      <w:r>
        <w:rPr>
          <w:rFonts w:ascii="Times New Roman" w:hAnsi="Times New Roman"/>
          <w:sz w:val="28"/>
          <w:szCs w:val="28"/>
        </w:rPr>
        <w:t xml:space="preserve">Город </w:t>
      </w:r>
      <w:r w:rsidR="008925FA" w:rsidRPr="00577593">
        <w:rPr>
          <w:rFonts w:ascii="Times New Roman" w:hAnsi="Times New Roman"/>
          <w:sz w:val="28"/>
          <w:szCs w:val="28"/>
        </w:rPr>
        <w:t xml:space="preserve">Барнаул расположен в лесостепной зоне Западно-Сибирской равнины, на северо-востоке Приобского плато, в верхнем течении реки Оби, преимущественно на ее левом берегу, в месте впадения реки Барнаулки </w:t>
      </w:r>
      <w:r w:rsidR="005B5587" w:rsidRPr="00577593">
        <w:rPr>
          <w:rFonts w:ascii="Times New Roman" w:hAnsi="Times New Roman"/>
          <w:sz w:val="28"/>
          <w:szCs w:val="28"/>
        </w:rPr>
        <w:br/>
      </w:r>
      <w:r w:rsidR="008925FA" w:rsidRPr="00577593">
        <w:rPr>
          <w:rFonts w:ascii="Times New Roman" w:hAnsi="Times New Roman"/>
          <w:sz w:val="28"/>
          <w:szCs w:val="28"/>
        </w:rPr>
        <w:t xml:space="preserve">в </w:t>
      </w:r>
      <w:r w:rsidR="004065D0" w:rsidRPr="00577593">
        <w:rPr>
          <w:rFonts w:ascii="Times New Roman" w:hAnsi="Times New Roman"/>
          <w:sz w:val="28"/>
          <w:szCs w:val="28"/>
        </w:rPr>
        <w:t xml:space="preserve">реку </w:t>
      </w:r>
      <w:r w:rsidR="008925FA" w:rsidRPr="00577593">
        <w:rPr>
          <w:rFonts w:ascii="Times New Roman" w:hAnsi="Times New Roman"/>
          <w:sz w:val="28"/>
          <w:szCs w:val="28"/>
        </w:rPr>
        <w:t xml:space="preserve">Обь. С севера и востока </w:t>
      </w:r>
      <w:r>
        <w:rPr>
          <w:rFonts w:ascii="Times New Roman" w:hAnsi="Times New Roman"/>
          <w:sz w:val="28"/>
          <w:szCs w:val="28"/>
        </w:rPr>
        <w:t xml:space="preserve">город </w:t>
      </w:r>
      <w:r w:rsidR="008925FA" w:rsidRPr="00577593">
        <w:rPr>
          <w:rFonts w:ascii="Times New Roman" w:hAnsi="Times New Roman"/>
          <w:sz w:val="28"/>
          <w:szCs w:val="28"/>
        </w:rPr>
        <w:t xml:space="preserve">Барнаул огибает русло Оби, на юго-западе </w:t>
      </w:r>
      <w:r w:rsidR="001F7F7A" w:rsidRPr="00577593">
        <w:rPr>
          <w:rFonts w:ascii="Times New Roman" w:hAnsi="Times New Roman"/>
          <w:sz w:val="28"/>
          <w:szCs w:val="28"/>
        </w:rPr>
        <w:t>–</w:t>
      </w:r>
      <w:r w:rsidR="008925FA" w:rsidRPr="00577593">
        <w:rPr>
          <w:rFonts w:ascii="Times New Roman" w:hAnsi="Times New Roman"/>
          <w:sz w:val="28"/>
          <w:szCs w:val="28"/>
        </w:rPr>
        <w:t xml:space="preserve"> ленточный бор. </w:t>
      </w:r>
    </w:p>
    <w:p w:rsidR="00FC41F4" w:rsidRPr="00577593" w:rsidRDefault="008925FA" w:rsidP="00317761">
      <w:pPr>
        <w:spacing w:after="0" w:line="328" w:lineRule="atLeast"/>
        <w:ind w:firstLine="709"/>
        <w:jc w:val="both"/>
        <w:rPr>
          <w:rFonts w:ascii="Times New Roman" w:hAnsi="Times New Roman"/>
          <w:sz w:val="28"/>
          <w:szCs w:val="28"/>
        </w:rPr>
      </w:pPr>
      <w:r w:rsidRPr="00577593">
        <w:rPr>
          <w:rFonts w:ascii="Times New Roman" w:hAnsi="Times New Roman"/>
          <w:sz w:val="28"/>
          <w:szCs w:val="28"/>
        </w:rPr>
        <w:t xml:space="preserve">Часть территории </w:t>
      </w:r>
      <w:r w:rsidR="00BB33BE">
        <w:rPr>
          <w:rFonts w:ascii="Times New Roman" w:hAnsi="Times New Roman"/>
          <w:sz w:val="28"/>
          <w:szCs w:val="28"/>
        </w:rPr>
        <w:t xml:space="preserve">города </w:t>
      </w:r>
      <w:r w:rsidRPr="00577593">
        <w:rPr>
          <w:rFonts w:ascii="Times New Roman" w:hAnsi="Times New Roman"/>
          <w:sz w:val="28"/>
          <w:szCs w:val="28"/>
        </w:rPr>
        <w:t xml:space="preserve">Барнаула, расположенная на пойме </w:t>
      </w:r>
      <w:r w:rsidR="004065D0" w:rsidRPr="00577593">
        <w:rPr>
          <w:rFonts w:ascii="Times New Roman" w:hAnsi="Times New Roman"/>
          <w:sz w:val="28"/>
          <w:szCs w:val="28"/>
        </w:rPr>
        <w:t xml:space="preserve">реки </w:t>
      </w:r>
      <w:r w:rsidRPr="00577593">
        <w:rPr>
          <w:rFonts w:ascii="Times New Roman" w:hAnsi="Times New Roman"/>
          <w:sz w:val="28"/>
          <w:szCs w:val="28"/>
        </w:rPr>
        <w:t xml:space="preserve">Оби, подвергается наводнениям (микрорайоны Затон и Ильича, а также площади в приустьевой части левобережной поймы </w:t>
      </w:r>
      <w:r w:rsidR="004065D0" w:rsidRPr="00577593">
        <w:rPr>
          <w:rFonts w:ascii="Times New Roman" w:hAnsi="Times New Roman"/>
          <w:sz w:val="28"/>
          <w:szCs w:val="28"/>
        </w:rPr>
        <w:t xml:space="preserve">реки </w:t>
      </w:r>
      <w:r w:rsidRPr="00577593">
        <w:rPr>
          <w:rFonts w:ascii="Times New Roman" w:hAnsi="Times New Roman"/>
          <w:sz w:val="28"/>
          <w:szCs w:val="28"/>
        </w:rPr>
        <w:t xml:space="preserve">Барнаулки). </w:t>
      </w:r>
    </w:p>
    <w:p w:rsidR="00FC41F4" w:rsidRPr="00577593" w:rsidRDefault="008925FA" w:rsidP="00317761">
      <w:pPr>
        <w:spacing w:after="0" w:line="328" w:lineRule="atLeast"/>
        <w:ind w:firstLine="709"/>
        <w:jc w:val="both"/>
        <w:rPr>
          <w:rFonts w:ascii="Times New Roman" w:hAnsi="Times New Roman"/>
          <w:sz w:val="28"/>
          <w:szCs w:val="28"/>
        </w:rPr>
      </w:pPr>
      <w:r w:rsidRPr="00577593">
        <w:rPr>
          <w:rFonts w:ascii="Times New Roman" w:hAnsi="Times New Roman"/>
          <w:sz w:val="28"/>
          <w:szCs w:val="28"/>
        </w:rPr>
        <w:t>Почвенный покров городского округа неоднороден. Основными</w:t>
      </w:r>
      <w:r w:rsidR="00BB33BE">
        <w:rPr>
          <w:rFonts w:ascii="Times New Roman" w:hAnsi="Times New Roman"/>
          <w:sz w:val="28"/>
          <w:szCs w:val="28"/>
        </w:rPr>
        <w:t xml:space="preserve"> </w:t>
      </w:r>
      <w:r w:rsidRPr="00577593">
        <w:rPr>
          <w:rFonts w:ascii="Times New Roman" w:hAnsi="Times New Roman"/>
          <w:sz w:val="28"/>
          <w:szCs w:val="28"/>
        </w:rPr>
        <w:t>его компонентами являют</w:t>
      </w:r>
      <w:r w:rsidR="00BB33BE">
        <w:rPr>
          <w:rFonts w:ascii="Times New Roman" w:hAnsi="Times New Roman"/>
          <w:sz w:val="28"/>
          <w:szCs w:val="28"/>
        </w:rPr>
        <w:t xml:space="preserve">ся черноземы обыкновенные мало- </w:t>
      </w:r>
      <w:r w:rsidRPr="00577593">
        <w:rPr>
          <w:rFonts w:ascii="Times New Roman" w:hAnsi="Times New Roman"/>
          <w:sz w:val="28"/>
          <w:szCs w:val="28"/>
        </w:rPr>
        <w:t>и среднегумусные, среднемощные, среднесуглинистые. Поймы, низкие террасы рек Барнаулки, Пивоварки и днища логов заняты луговыми, лугово-черноземными и черноземно-луговыми почвами. Почвенный покров восточных и южных окраин города, расп</w:t>
      </w:r>
      <w:r w:rsidR="004065D0" w:rsidRPr="00577593">
        <w:rPr>
          <w:rFonts w:ascii="Times New Roman" w:hAnsi="Times New Roman"/>
          <w:sz w:val="28"/>
          <w:szCs w:val="28"/>
        </w:rPr>
        <w:t>оложенных на древних террасах реки</w:t>
      </w:r>
      <w:r w:rsidRPr="00577593">
        <w:rPr>
          <w:rFonts w:ascii="Times New Roman" w:hAnsi="Times New Roman"/>
          <w:sz w:val="28"/>
          <w:szCs w:val="28"/>
        </w:rPr>
        <w:t xml:space="preserve"> Оби, представлен черноземами осолоделыми, оподзоленными и серыми лесными почвами. </w:t>
      </w:r>
    </w:p>
    <w:p w:rsidR="00FC41F4" w:rsidRPr="00577593" w:rsidRDefault="008925FA" w:rsidP="00317761">
      <w:pPr>
        <w:spacing w:after="0" w:line="328" w:lineRule="atLeast"/>
        <w:ind w:firstLine="709"/>
        <w:jc w:val="both"/>
        <w:rPr>
          <w:rFonts w:ascii="Times New Roman" w:hAnsi="Times New Roman"/>
          <w:sz w:val="28"/>
          <w:szCs w:val="28"/>
        </w:rPr>
      </w:pPr>
      <w:r w:rsidRPr="00577593">
        <w:rPr>
          <w:rFonts w:ascii="Times New Roman" w:hAnsi="Times New Roman"/>
          <w:sz w:val="28"/>
          <w:szCs w:val="28"/>
        </w:rPr>
        <w:t xml:space="preserve">Расчетная сейсмическая интенсивность в баллах шкалы MSK-64 для средних грунтовых условий и трех степеней сейсмической опасности </w:t>
      </w:r>
      <w:r w:rsidR="001F7F7A" w:rsidRPr="00577593">
        <w:rPr>
          <w:rFonts w:ascii="Times New Roman" w:hAnsi="Times New Roman"/>
          <w:sz w:val="28"/>
          <w:szCs w:val="28"/>
        </w:rPr>
        <w:t>–</w:t>
      </w:r>
      <w:r w:rsidRPr="00577593">
        <w:rPr>
          <w:rFonts w:ascii="Times New Roman" w:hAnsi="Times New Roman"/>
          <w:sz w:val="28"/>
          <w:szCs w:val="28"/>
        </w:rPr>
        <w:t xml:space="preserve"> </w:t>
      </w:r>
      <w:r w:rsidR="005B5587" w:rsidRPr="00577593">
        <w:rPr>
          <w:rFonts w:ascii="Times New Roman" w:hAnsi="Times New Roman"/>
          <w:sz w:val="28"/>
          <w:szCs w:val="28"/>
        </w:rPr>
        <w:br/>
      </w:r>
      <w:r w:rsidRPr="00577593">
        <w:rPr>
          <w:rFonts w:ascii="Times New Roman" w:hAnsi="Times New Roman"/>
          <w:sz w:val="28"/>
          <w:szCs w:val="28"/>
        </w:rPr>
        <w:t xml:space="preserve">А (10%), В (5%), С (1%) в течение 50 лет для </w:t>
      </w:r>
      <w:r w:rsidR="00D558A5">
        <w:rPr>
          <w:rFonts w:ascii="Times New Roman" w:hAnsi="Times New Roman"/>
          <w:sz w:val="28"/>
          <w:szCs w:val="28"/>
        </w:rPr>
        <w:t xml:space="preserve">города </w:t>
      </w:r>
      <w:r w:rsidRPr="00577593">
        <w:rPr>
          <w:rFonts w:ascii="Times New Roman" w:hAnsi="Times New Roman"/>
          <w:sz w:val="28"/>
          <w:szCs w:val="28"/>
        </w:rPr>
        <w:t xml:space="preserve">Барнаула составляет соответственно </w:t>
      </w:r>
      <w:r w:rsidR="00793588" w:rsidRPr="00577593">
        <w:rPr>
          <w:rFonts w:ascii="Times New Roman" w:hAnsi="Times New Roman"/>
          <w:sz w:val="28"/>
          <w:szCs w:val="28"/>
        </w:rPr>
        <w:t>–</w:t>
      </w:r>
      <w:r w:rsidRPr="00577593">
        <w:rPr>
          <w:rFonts w:ascii="Times New Roman" w:hAnsi="Times New Roman"/>
          <w:sz w:val="28"/>
          <w:szCs w:val="28"/>
        </w:rPr>
        <w:t xml:space="preserve"> 6, 7, 8 баллов. 10%-ную вероятность сейсмической опасности (6 баллов) предлагается учитывать для массового строительства, 5%-ную (7 баллов) </w:t>
      </w:r>
      <w:r w:rsidR="001F7F7A" w:rsidRPr="00577593">
        <w:rPr>
          <w:rFonts w:ascii="Times New Roman" w:hAnsi="Times New Roman"/>
          <w:sz w:val="28"/>
          <w:szCs w:val="28"/>
        </w:rPr>
        <w:t>–</w:t>
      </w:r>
      <w:r w:rsidRPr="00577593">
        <w:rPr>
          <w:rFonts w:ascii="Times New Roman" w:hAnsi="Times New Roman"/>
          <w:sz w:val="28"/>
          <w:szCs w:val="28"/>
        </w:rPr>
        <w:t xml:space="preserve"> для объектов повышенной ответственности, 1%-ную </w:t>
      </w:r>
      <w:r w:rsidR="005B5587" w:rsidRPr="00577593">
        <w:rPr>
          <w:rFonts w:ascii="Times New Roman" w:hAnsi="Times New Roman"/>
          <w:sz w:val="28"/>
          <w:szCs w:val="28"/>
        </w:rPr>
        <w:br/>
      </w:r>
      <w:r w:rsidRPr="00577593">
        <w:rPr>
          <w:rFonts w:ascii="Times New Roman" w:hAnsi="Times New Roman"/>
          <w:sz w:val="28"/>
          <w:szCs w:val="28"/>
        </w:rPr>
        <w:t xml:space="preserve">(8 баллов) </w:t>
      </w:r>
      <w:r w:rsidR="001F7F7A" w:rsidRPr="00577593">
        <w:rPr>
          <w:rFonts w:ascii="Times New Roman" w:hAnsi="Times New Roman"/>
          <w:sz w:val="28"/>
          <w:szCs w:val="28"/>
        </w:rPr>
        <w:t>–</w:t>
      </w:r>
      <w:r w:rsidRPr="00577593">
        <w:rPr>
          <w:rFonts w:ascii="Times New Roman" w:hAnsi="Times New Roman"/>
          <w:sz w:val="28"/>
          <w:szCs w:val="28"/>
        </w:rPr>
        <w:t xml:space="preserve"> для особо ответственных объектов.</w:t>
      </w:r>
    </w:p>
    <w:p w:rsidR="00317761" w:rsidRDefault="00317761" w:rsidP="008D738C">
      <w:pPr>
        <w:spacing w:after="0" w:line="240" w:lineRule="auto"/>
        <w:ind w:firstLine="709"/>
        <w:jc w:val="both"/>
        <w:rPr>
          <w:rFonts w:ascii="Times New Roman" w:hAnsi="Times New Roman"/>
          <w:b/>
          <w:sz w:val="28"/>
          <w:szCs w:val="28"/>
        </w:rPr>
      </w:pPr>
    </w:p>
    <w:p w:rsidR="00FC41F4" w:rsidRPr="00577593" w:rsidRDefault="0018339C" w:rsidP="00D558A5">
      <w:pPr>
        <w:spacing w:after="0" w:line="330" w:lineRule="exact"/>
        <w:ind w:firstLine="709"/>
        <w:jc w:val="both"/>
        <w:rPr>
          <w:rFonts w:ascii="Times New Roman" w:hAnsi="Times New Roman"/>
          <w:b/>
          <w:sz w:val="28"/>
          <w:szCs w:val="28"/>
        </w:rPr>
      </w:pPr>
      <w:r w:rsidRPr="00577593">
        <w:rPr>
          <w:rFonts w:ascii="Times New Roman" w:hAnsi="Times New Roman"/>
          <w:b/>
          <w:sz w:val="28"/>
          <w:szCs w:val="28"/>
        </w:rPr>
        <w:lastRenderedPageBreak/>
        <w:t xml:space="preserve">2.1.3. </w:t>
      </w:r>
      <w:r w:rsidR="008925FA" w:rsidRPr="00577593">
        <w:rPr>
          <w:rFonts w:ascii="Times New Roman" w:hAnsi="Times New Roman"/>
          <w:b/>
          <w:sz w:val="28"/>
          <w:szCs w:val="28"/>
        </w:rPr>
        <w:t>Положение города в системе расселения</w:t>
      </w:r>
    </w:p>
    <w:p w:rsidR="00BB33BE" w:rsidRDefault="00BB33BE" w:rsidP="00D558A5">
      <w:pPr>
        <w:spacing w:after="0" w:line="330" w:lineRule="exact"/>
        <w:ind w:firstLine="709"/>
        <w:jc w:val="both"/>
        <w:rPr>
          <w:rFonts w:ascii="Times New Roman" w:hAnsi="Times New Roman"/>
          <w:sz w:val="28"/>
          <w:szCs w:val="28"/>
        </w:rPr>
      </w:pPr>
      <w:r>
        <w:rPr>
          <w:rFonts w:ascii="Times New Roman" w:hAnsi="Times New Roman"/>
          <w:sz w:val="28"/>
          <w:szCs w:val="28"/>
        </w:rPr>
        <w:t xml:space="preserve">Город </w:t>
      </w:r>
      <w:r w:rsidR="008925FA" w:rsidRPr="00577593">
        <w:rPr>
          <w:rFonts w:ascii="Times New Roman" w:hAnsi="Times New Roman"/>
          <w:sz w:val="28"/>
          <w:szCs w:val="28"/>
        </w:rPr>
        <w:t xml:space="preserve">Барнаул находится на юге основной полосы расселения России, </w:t>
      </w:r>
    </w:p>
    <w:p w:rsidR="00FC41F4" w:rsidRPr="00577593" w:rsidRDefault="008925FA" w:rsidP="00C7041A">
      <w:pPr>
        <w:spacing w:after="0" w:line="330" w:lineRule="exact"/>
        <w:jc w:val="both"/>
        <w:rPr>
          <w:rFonts w:ascii="Times New Roman" w:hAnsi="Times New Roman"/>
          <w:sz w:val="28"/>
          <w:szCs w:val="28"/>
        </w:rPr>
      </w:pPr>
      <w:r w:rsidRPr="00577593">
        <w:rPr>
          <w:rFonts w:ascii="Times New Roman" w:hAnsi="Times New Roman"/>
          <w:sz w:val="28"/>
          <w:szCs w:val="28"/>
        </w:rPr>
        <w:t>входит в юго-западный «остров расселения» Сибирского федерального округа вместе с Новосибирском, Т</w:t>
      </w:r>
      <w:r w:rsidR="00D50E93" w:rsidRPr="00577593">
        <w:rPr>
          <w:rFonts w:ascii="Times New Roman" w:hAnsi="Times New Roman"/>
          <w:sz w:val="28"/>
          <w:szCs w:val="28"/>
        </w:rPr>
        <w:t>омском, Кемерово, Новокузнецком</w:t>
      </w:r>
      <w:r w:rsidRPr="00577593">
        <w:rPr>
          <w:rFonts w:ascii="Times New Roman" w:hAnsi="Times New Roman"/>
          <w:sz w:val="28"/>
          <w:szCs w:val="28"/>
        </w:rPr>
        <w:t xml:space="preserve">. Город является основным центром расселения Алтайского края и центром Барнаульской агломерации. В </w:t>
      </w:r>
      <w:r w:rsidR="00274CDA">
        <w:rPr>
          <w:rFonts w:ascii="Times New Roman" w:hAnsi="Times New Roman"/>
          <w:sz w:val="28"/>
          <w:szCs w:val="28"/>
        </w:rPr>
        <w:t xml:space="preserve">городе </w:t>
      </w:r>
      <w:r w:rsidRPr="00577593">
        <w:rPr>
          <w:rFonts w:ascii="Times New Roman" w:hAnsi="Times New Roman"/>
          <w:sz w:val="28"/>
          <w:szCs w:val="28"/>
        </w:rPr>
        <w:t xml:space="preserve">Барнауле проживает </w:t>
      </w:r>
      <w:r w:rsidR="00A65D8C" w:rsidRPr="00577593">
        <w:rPr>
          <w:rFonts w:ascii="Times New Roman" w:hAnsi="Times New Roman"/>
          <w:sz w:val="28"/>
          <w:szCs w:val="28"/>
        </w:rPr>
        <w:t>около</w:t>
      </w:r>
      <w:r w:rsidRPr="00577593">
        <w:rPr>
          <w:rFonts w:ascii="Times New Roman" w:hAnsi="Times New Roman"/>
          <w:sz w:val="28"/>
          <w:szCs w:val="28"/>
        </w:rPr>
        <w:t xml:space="preserve"> 3</w:t>
      </w:r>
      <w:r w:rsidR="00A65D8C" w:rsidRPr="00577593">
        <w:rPr>
          <w:rFonts w:ascii="Times New Roman" w:hAnsi="Times New Roman"/>
          <w:sz w:val="28"/>
          <w:szCs w:val="28"/>
        </w:rPr>
        <w:t>3</w:t>
      </w:r>
      <w:r w:rsidRPr="00577593">
        <w:rPr>
          <w:rFonts w:ascii="Times New Roman" w:hAnsi="Times New Roman"/>
          <w:sz w:val="28"/>
          <w:szCs w:val="28"/>
        </w:rPr>
        <w:t xml:space="preserve">% населения края и </w:t>
      </w:r>
      <w:r w:rsidR="00A65D8C" w:rsidRPr="00577593">
        <w:rPr>
          <w:rFonts w:ascii="Times New Roman" w:hAnsi="Times New Roman"/>
          <w:sz w:val="28"/>
          <w:szCs w:val="28"/>
        </w:rPr>
        <w:t>почти 52%</w:t>
      </w:r>
      <w:r w:rsidRPr="00577593">
        <w:rPr>
          <w:rFonts w:ascii="Times New Roman" w:hAnsi="Times New Roman"/>
          <w:sz w:val="28"/>
          <w:szCs w:val="28"/>
        </w:rPr>
        <w:t xml:space="preserve"> городского населения края.</w:t>
      </w:r>
    </w:p>
    <w:p w:rsidR="00FC41F4" w:rsidRPr="00577593" w:rsidRDefault="0018339C" w:rsidP="00D558A5">
      <w:pPr>
        <w:spacing w:after="0" w:line="330" w:lineRule="exact"/>
        <w:ind w:firstLine="709"/>
        <w:jc w:val="both"/>
        <w:rPr>
          <w:rFonts w:ascii="Times New Roman" w:hAnsi="Times New Roman"/>
          <w:b/>
          <w:sz w:val="28"/>
          <w:szCs w:val="28"/>
        </w:rPr>
      </w:pPr>
      <w:r w:rsidRPr="00577593">
        <w:rPr>
          <w:rFonts w:ascii="Times New Roman" w:hAnsi="Times New Roman"/>
          <w:b/>
          <w:sz w:val="28"/>
          <w:szCs w:val="28"/>
        </w:rPr>
        <w:t xml:space="preserve">2.1.4. </w:t>
      </w:r>
      <w:r w:rsidR="008925FA" w:rsidRPr="00577593">
        <w:rPr>
          <w:rFonts w:ascii="Times New Roman" w:hAnsi="Times New Roman"/>
          <w:b/>
          <w:sz w:val="28"/>
          <w:szCs w:val="28"/>
        </w:rPr>
        <w:t>Транспортно-географическое положение</w:t>
      </w:r>
    </w:p>
    <w:p w:rsidR="00FC41F4" w:rsidRPr="00577593" w:rsidRDefault="00BB33BE" w:rsidP="00D558A5">
      <w:pPr>
        <w:spacing w:after="0" w:line="330" w:lineRule="exact"/>
        <w:ind w:firstLine="709"/>
        <w:jc w:val="both"/>
        <w:rPr>
          <w:rFonts w:ascii="Times New Roman" w:hAnsi="Times New Roman"/>
          <w:sz w:val="28"/>
          <w:szCs w:val="28"/>
        </w:rPr>
      </w:pPr>
      <w:r>
        <w:rPr>
          <w:rFonts w:ascii="Times New Roman" w:hAnsi="Times New Roman"/>
          <w:sz w:val="28"/>
          <w:szCs w:val="28"/>
        </w:rPr>
        <w:t xml:space="preserve">Город </w:t>
      </w:r>
      <w:r w:rsidR="008925FA" w:rsidRPr="00577593">
        <w:rPr>
          <w:rFonts w:ascii="Times New Roman" w:hAnsi="Times New Roman"/>
          <w:sz w:val="28"/>
          <w:szCs w:val="28"/>
        </w:rPr>
        <w:t xml:space="preserve">Барнаул </w:t>
      </w:r>
      <w:r w:rsidR="001F7F7A" w:rsidRPr="00577593">
        <w:rPr>
          <w:rFonts w:ascii="Times New Roman" w:hAnsi="Times New Roman"/>
          <w:sz w:val="28"/>
          <w:szCs w:val="28"/>
        </w:rPr>
        <w:t>–</w:t>
      </w:r>
      <w:r w:rsidR="008925FA" w:rsidRPr="00577593">
        <w:rPr>
          <w:rFonts w:ascii="Times New Roman" w:hAnsi="Times New Roman"/>
          <w:sz w:val="28"/>
          <w:szCs w:val="28"/>
        </w:rPr>
        <w:t xml:space="preserve"> крупный транспортный узел, находится на подъезде от федеральной автомагистрали Р256 «Чуйский тракт» (Новосибирск </w:t>
      </w:r>
      <w:r w:rsidR="001F7F7A" w:rsidRPr="00577593">
        <w:rPr>
          <w:rFonts w:ascii="Times New Roman" w:hAnsi="Times New Roman"/>
          <w:sz w:val="28"/>
          <w:szCs w:val="28"/>
        </w:rPr>
        <w:t>–</w:t>
      </w:r>
      <w:r w:rsidR="008925FA" w:rsidRPr="00577593">
        <w:rPr>
          <w:rFonts w:ascii="Times New Roman" w:hAnsi="Times New Roman"/>
          <w:sz w:val="28"/>
          <w:szCs w:val="28"/>
        </w:rPr>
        <w:t xml:space="preserve"> Барнаул </w:t>
      </w:r>
      <w:r w:rsidR="001F7F7A" w:rsidRPr="00577593">
        <w:rPr>
          <w:rFonts w:ascii="Times New Roman" w:hAnsi="Times New Roman"/>
          <w:sz w:val="28"/>
          <w:szCs w:val="28"/>
        </w:rPr>
        <w:t>–</w:t>
      </w:r>
      <w:r w:rsidR="008925FA" w:rsidRPr="00577593">
        <w:rPr>
          <w:rFonts w:ascii="Times New Roman" w:hAnsi="Times New Roman"/>
          <w:sz w:val="28"/>
          <w:szCs w:val="28"/>
        </w:rPr>
        <w:t xml:space="preserve"> Горно-Алтайск </w:t>
      </w:r>
      <w:r w:rsidR="001F7F7A" w:rsidRPr="00577593">
        <w:rPr>
          <w:rFonts w:ascii="Times New Roman" w:hAnsi="Times New Roman"/>
          <w:sz w:val="28"/>
          <w:szCs w:val="28"/>
        </w:rPr>
        <w:t>–</w:t>
      </w:r>
      <w:r w:rsidR="008925FA" w:rsidRPr="00577593">
        <w:rPr>
          <w:rFonts w:ascii="Times New Roman" w:hAnsi="Times New Roman"/>
          <w:sz w:val="28"/>
          <w:szCs w:val="28"/>
        </w:rPr>
        <w:t xml:space="preserve"> граница с Монголией). Здесь начинается федеральная трасса А322 Барнаул </w:t>
      </w:r>
      <w:r w:rsidR="001F7F7A" w:rsidRPr="00577593">
        <w:rPr>
          <w:rFonts w:ascii="Times New Roman" w:hAnsi="Times New Roman"/>
          <w:sz w:val="28"/>
          <w:szCs w:val="28"/>
        </w:rPr>
        <w:t>–</w:t>
      </w:r>
      <w:r w:rsidR="008925FA" w:rsidRPr="00577593">
        <w:rPr>
          <w:rFonts w:ascii="Times New Roman" w:hAnsi="Times New Roman"/>
          <w:sz w:val="28"/>
          <w:szCs w:val="28"/>
        </w:rPr>
        <w:t xml:space="preserve"> Рубцовск </w:t>
      </w:r>
      <w:r w:rsidR="001F7F7A" w:rsidRPr="00577593">
        <w:rPr>
          <w:rFonts w:ascii="Times New Roman" w:hAnsi="Times New Roman"/>
          <w:sz w:val="28"/>
          <w:szCs w:val="28"/>
        </w:rPr>
        <w:t>–</w:t>
      </w:r>
      <w:r w:rsidR="008925FA" w:rsidRPr="00577593">
        <w:rPr>
          <w:rFonts w:ascii="Times New Roman" w:hAnsi="Times New Roman"/>
          <w:sz w:val="28"/>
          <w:szCs w:val="28"/>
        </w:rPr>
        <w:t xml:space="preserve"> граница с Республикой Казахстан, которая входит в азиатский маршрут AH64 и связывает </w:t>
      </w:r>
      <w:r w:rsidR="00274CDA">
        <w:rPr>
          <w:rFonts w:ascii="Times New Roman" w:hAnsi="Times New Roman"/>
          <w:sz w:val="28"/>
          <w:szCs w:val="28"/>
        </w:rPr>
        <w:t xml:space="preserve">город </w:t>
      </w:r>
      <w:r w:rsidR="008925FA" w:rsidRPr="00577593">
        <w:rPr>
          <w:rFonts w:ascii="Times New Roman" w:hAnsi="Times New Roman"/>
          <w:sz w:val="28"/>
          <w:szCs w:val="28"/>
        </w:rPr>
        <w:t xml:space="preserve">Барнаул с Павлодаром, Семеем, Астаной, Кокшетау и Петропавловском. Высок потенциал использования транзитной функции на связях с Казахстаном и Монголией. </w:t>
      </w:r>
    </w:p>
    <w:p w:rsidR="00FC41F4" w:rsidRPr="00577593" w:rsidRDefault="008925FA" w:rsidP="00D558A5">
      <w:pPr>
        <w:spacing w:after="0" w:line="330" w:lineRule="exact"/>
        <w:ind w:firstLine="709"/>
        <w:jc w:val="both"/>
        <w:rPr>
          <w:rFonts w:ascii="Times New Roman" w:hAnsi="Times New Roman"/>
          <w:sz w:val="28"/>
          <w:szCs w:val="28"/>
        </w:rPr>
      </w:pPr>
      <w:r w:rsidRPr="00577593">
        <w:rPr>
          <w:rFonts w:ascii="Times New Roman" w:hAnsi="Times New Roman"/>
          <w:sz w:val="28"/>
          <w:szCs w:val="28"/>
        </w:rPr>
        <w:t xml:space="preserve">Через город проходят Южсиб и Турксиб, территориально относящиеся к Западно-Сибирской железной дороге. </w:t>
      </w:r>
      <w:r w:rsidR="004E7497" w:rsidRPr="00577593">
        <w:rPr>
          <w:rFonts w:ascii="Times New Roman" w:hAnsi="Times New Roman"/>
          <w:sz w:val="28"/>
          <w:szCs w:val="28"/>
        </w:rPr>
        <w:t>Международный аэропорт имени Г.</w:t>
      </w:r>
      <w:r w:rsidRPr="00577593">
        <w:rPr>
          <w:rFonts w:ascii="Times New Roman" w:hAnsi="Times New Roman"/>
          <w:sz w:val="28"/>
          <w:szCs w:val="28"/>
        </w:rPr>
        <w:t xml:space="preserve">С. Титова находится в 17 км к западу от центра города, примыкая к границе городского округа. </w:t>
      </w:r>
    </w:p>
    <w:p w:rsidR="00FC41F4" w:rsidRPr="00577593" w:rsidRDefault="0018339C" w:rsidP="00D558A5">
      <w:pPr>
        <w:spacing w:after="0" w:line="330" w:lineRule="exact"/>
        <w:ind w:firstLine="709"/>
        <w:jc w:val="both"/>
        <w:rPr>
          <w:rFonts w:ascii="Times New Roman" w:hAnsi="Times New Roman"/>
          <w:b/>
          <w:sz w:val="28"/>
          <w:szCs w:val="28"/>
        </w:rPr>
      </w:pPr>
      <w:r w:rsidRPr="00577593">
        <w:rPr>
          <w:rFonts w:ascii="Times New Roman" w:hAnsi="Times New Roman"/>
          <w:b/>
          <w:sz w:val="28"/>
          <w:szCs w:val="28"/>
        </w:rPr>
        <w:t xml:space="preserve">2.1.5. </w:t>
      </w:r>
      <w:r w:rsidR="008925FA" w:rsidRPr="00577593">
        <w:rPr>
          <w:rFonts w:ascii="Times New Roman" w:hAnsi="Times New Roman"/>
          <w:b/>
          <w:sz w:val="28"/>
          <w:szCs w:val="28"/>
        </w:rPr>
        <w:t>Положение города в системе экономических центров</w:t>
      </w:r>
    </w:p>
    <w:p w:rsidR="00160B5C" w:rsidRPr="00577593" w:rsidRDefault="00BB33BE" w:rsidP="00D558A5">
      <w:pPr>
        <w:spacing w:after="0" w:line="330" w:lineRule="exact"/>
        <w:ind w:firstLine="709"/>
        <w:jc w:val="both"/>
        <w:rPr>
          <w:rFonts w:ascii="Times New Roman" w:hAnsi="Times New Roman"/>
          <w:sz w:val="28"/>
          <w:szCs w:val="28"/>
        </w:rPr>
      </w:pPr>
      <w:r>
        <w:rPr>
          <w:rFonts w:ascii="Times New Roman" w:hAnsi="Times New Roman"/>
          <w:sz w:val="28"/>
          <w:szCs w:val="28"/>
        </w:rPr>
        <w:t xml:space="preserve">Город </w:t>
      </w:r>
      <w:r w:rsidR="008925FA" w:rsidRPr="00577593">
        <w:rPr>
          <w:rFonts w:ascii="Times New Roman" w:hAnsi="Times New Roman"/>
          <w:sz w:val="28"/>
          <w:szCs w:val="28"/>
        </w:rPr>
        <w:t xml:space="preserve">Барнаул имеет периферийное положение относительно Новосибирска, расстояние до которого составляет 233 км. Город уступает по объему отгруженной продукции широкому ряду городов СФО, как превосходящим его по численности населения, так и менее населенным: Новокузнецку, Иркутску, Кемерово. </w:t>
      </w:r>
      <w:r w:rsidR="00274CDA">
        <w:rPr>
          <w:rFonts w:ascii="Times New Roman" w:hAnsi="Times New Roman"/>
          <w:sz w:val="28"/>
          <w:szCs w:val="28"/>
        </w:rPr>
        <w:t xml:space="preserve">Город </w:t>
      </w:r>
      <w:r w:rsidR="008925FA" w:rsidRPr="00577593">
        <w:rPr>
          <w:rFonts w:ascii="Times New Roman" w:hAnsi="Times New Roman"/>
          <w:sz w:val="28"/>
          <w:szCs w:val="28"/>
        </w:rPr>
        <w:t>Барнаул является региональным экономическим центром, центром Северо-Восточной зоны экономического развития Алтайского края с отраслями специализации: транспортное машиностроение, энергетическое машиностроение, аграрное машиностроение, пищевая промышленность, обслуживающие отрасли, финансовая сфера, транспорт и логистика.</w:t>
      </w:r>
    </w:p>
    <w:p w:rsidR="00FC41F4" w:rsidRPr="00577593" w:rsidRDefault="000B5AE4" w:rsidP="00D558A5">
      <w:pPr>
        <w:spacing w:after="0" w:line="330" w:lineRule="exact"/>
        <w:ind w:firstLine="709"/>
        <w:jc w:val="both"/>
        <w:rPr>
          <w:rFonts w:ascii="Times New Roman" w:hAnsi="Times New Roman"/>
          <w:sz w:val="28"/>
          <w:szCs w:val="28"/>
        </w:rPr>
      </w:pPr>
      <w:r>
        <w:rPr>
          <w:rFonts w:ascii="Times New Roman" w:hAnsi="Times New Roman"/>
          <w:b/>
          <w:sz w:val="28"/>
          <w:szCs w:val="28"/>
        </w:rPr>
        <w:t>2.1.6. </w:t>
      </w:r>
      <w:r w:rsidR="008925FA" w:rsidRPr="00577593">
        <w:rPr>
          <w:rFonts w:ascii="Times New Roman" w:hAnsi="Times New Roman"/>
          <w:b/>
          <w:sz w:val="28"/>
          <w:szCs w:val="28"/>
        </w:rPr>
        <w:t>Положение города в сети учреждений социальной инфраструктуры</w:t>
      </w:r>
    </w:p>
    <w:p w:rsidR="00D558A5" w:rsidRDefault="00BB33BE" w:rsidP="00D558A5">
      <w:pPr>
        <w:spacing w:after="0" w:line="330" w:lineRule="exact"/>
        <w:ind w:firstLine="709"/>
        <w:jc w:val="both"/>
        <w:rPr>
          <w:rFonts w:ascii="Times New Roman" w:hAnsi="Times New Roman"/>
          <w:sz w:val="28"/>
          <w:szCs w:val="28"/>
        </w:rPr>
      </w:pPr>
      <w:r>
        <w:rPr>
          <w:rFonts w:ascii="Times New Roman" w:hAnsi="Times New Roman"/>
          <w:sz w:val="28"/>
          <w:szCs w:val="28"/>
        </w:rPr>
        <w:t xml:space="preserve">Город </w:t>
      </w:r>
      <w:r w:rsidR="007A38B4" w:rsidRPr="00577593">
        <w:rPr>
          <w:rFonts w:ascii="Times New Roman" w:hAnsi="Times New Roman"/>
          <w:sz w:val="28"/>
          <w:szCs w:val="28"/>
        </w:rPr>
        <w:t xml:space="preserve">Барнаул располагает полным комплексом объектов социальной инфраструктуры, необходимых как для города, так и для края, а также привлекающих жителей других регионов. Среди них </w:t>
      </w:r>
      <w:r w:rsidR="00C15D0F" w:rsidRPr="00577593">
        <w:rPr>
          <w:rFonts w:ascii="Times New Roman" w:hAnsi="Times New Roman"/>
          <w:sz w:val="28"/>
          <w:szCs w:val="28"/>
        </w:rPr>
        <w:t>–</w:t>
      </w:r>
      <w:r w:rsidR="007A38B4" w:rsidRPr="00577593">
        <w:rPr>
          <w:rFonts w:ascii="Times New Roman" w:hAnsi="Times New Roman"/>
          <w:sz w:val="28"/>
          <w:szCs w:val="28"/>
        </w:rPr>
        <w:t xml:space="preserve"> образовательные учреждения высшего образования (Алтайский государственный университет, Алтайский государственный политехнический университет им. И.И.Ползунова, Алтайский государственный педагогический университет, Алтайский государственный медицинский университет и другие), учреждения здравоохранения (</w:t>
      </w:r>
      <w:r w:rsidR="00C7436A" w:rsidRPr="00577593">
        <w:rPr>
          <w:rFonts w:ascii="Times New Roman" w:hAnsi="Times New Roman"/>
          <w:sz w:val="28"/>
          <w:szCs w:val="28"/>
        </w:rPr>
        <w:t>Краевая клиническая больница</w:t>
      </w:r>
      <w:r w:rsidR="007A38B4" w:rsidRPr="00577593">
        <w:rPr>
          <w:rFonts w:ascii="Times New Roman" w:hAnsi="Times New Roman"/>
          <w:sz w:val="28"/>
          <w:szCs w:val="28"/>
        </w:rPr>
        <w:t xml:space="preserve">, Федеральный центр травматологии, ортопедии и эндопротезирования, </w:t>
      </w:r>
      <w:r w:rsidR="00D558A5">
        <w:rPr>
          <w:rFonts w:ascii="Times New Roman" w:hAnsi="Times New Roman"/>
          <w:sz w:val="28"/>
          <w:szCs w:val="28"/>
        </w:rPr>
        <w:br/>
      </w:r>
    </w:p>
    <w:p w:rsidR="00317761" w:rsidRPr="000B5AE4" w:rsidRDefault="007A38B4" w:rsidP="00D558A5">
      <w:pPr>
        <w:spacing w:after="0" w:line="330" w:lineRule="exact"/>
        <w:jc w:val="both"/>
        <w:rPr>
          <w:rFonts w:ascii="Times New Roman" w:hAnsi="Times New Roman"/>
          <w:sz w:val="28"/>
          <w:szCs w:val="28"/>
        </w:rPr>
      </w:pPr>
      <w:r w:rsidRPr="00577593">
        <w:rPr>
          <w:rFonts w:ascii="Times New Roman" w:hAnsi="Times New Roman"/>
          <w:sz w:val="28"/>
          <w:szCs w:val="28"/>
        </w:rPr>
        <w:lastRenderedPageBreak/>
        <w:t>Алтайский краевой клинический перинатальный центр ДАР и другие), театры, музеи, объекты спорта.</w:t>
      </w:r>
    </w:p>
    <w:p w:rsidR="00FC41F4" w:rsidRPr="00577593" w:rsidRDefault="0018339C" w:rsidP="008D738C">
      <w:pPr>
        <w:spacing w:after="0" w:line="240" w:lineRule="auto"/>
        <w:ind w:firstLine="709"/>
        <w:jc w:val="both"/>
        <w:rPr>
          <w:rFonts w:ascii="Times New Roman" w:hAnsi="Times New Roman"/>
          <w:b/>
          <w:sz w:val="28"/>
          <w:szCs w:val="28"/>
        </w:rPr>
      </w:pPr>
      <w:r w:rsidRPr="00577593">
        <w:rPr>
          <w:rFonts w:ascii="Times New Roman" w:hAnsi="Times New Roman"/>
          <w:b/>
          <w:sz w:val="28"/>
          <w:szCs w:val="28"/>
        </w:rPr>
        <w:t xml:space="preserve">2.1.7. </w:t>
      </w:r>
      <w:r w:rsidR="008925FA" w:rsidRPr="00577593">
        <w:rPr>
          <w:rFonts w:ascii="Times New Roman" w:hAnsi="Times New Roman"/>
          <w:b/>
          <w:sz w:val="28"/>
          <w:szCs w:val="28"/>
        </w:rPr>
        <w:t>Социально-демографическое положение</w:t>
      </w:r>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Демографическая ситуация в </w:t>
      </w:r>
      <w:r w:rsidR="00BB33BE">
        <w:rPr>
          <w:rFonts w:ascii="Times New Roman" w:hAnsi="Times New Roman"/>
          <w:sz w:val="28"/>
          <w:szCs w:val="28"/>
        </w:rPr>
        <w:t xml:space="preserve">городе </w:t>
      </w:r>
      <w:r w:rsidRPr="00577593">
        <w:rPr>
          <w:rFonts w:ascii="Times New Roman" w:hAnsi="Times New Roman"/>
          <w:sz w:val="28"/>
          <w:szCs w:val="28"/>
        </w:rPr>
        <w:t xml:space="preserve">Барнауле </w:t>
      </w:r>
      <w:r w:rsidR="00E13206" w:rsidRPr="00577593">
        <w:rPr>
          <w:rFonts w:ascii="Times New Roman" w:hAnsi="Times New Roman"/>
          <w:sz w:val="28"/>
          <w:szCs w:val="28"/>
        </w:rPr>
        <w:t>соответствует общероссийской тенденции сокращения численности населения на фоне снижения уровня рождаемости</w:t>
      </w:r>
      <w:r w:rsidRPr="00577593">
        <w:rPr>
          <w:rFonts w:ascii="Times New Roman" w:hAnsi="Times New Roman"/>
          <w:sz w:val="28"/>
          <w:szCs w:val="28"/>
        </w:rPr>
        <w:t>. На начало 2016 года население городского округа</w:t>
      </w:r>
      <w:r w:rsidR="00110080" w:rsidRPr="00577593">
        <w:rPr>
          <w:rFonts w:ascii="Times New Roman" w:hAnsi="Times New Roman"/>
          <w:sz w:val="28"/>
          <w:szCs w:val="28"/>
        </w:rPr>
        <w:t xml:space="preserve"> достигло максимума </w:t>
      </w:r>
      <w:r w:rsidR="0069506B" w:rsidRPr="00577593">
        <w:rPr>
          <w:rFonts w:ascii="Times New Roman" w:hAnsi="Times New Roman"/>
          <w:sz w:val="28"/>
          <w:szCs w:val="28"/>
        </w:rPr>
        <w:t>–</w:t>
      </w:r>
      <w:r w:rsidR="00110080" w:rsidRPr="00577593">
        <w:rPr>
          <w:rFonts w:ascii="Times New Roman" w:hAnsi="Times New Roman"/>
          <w:sz w:val="28"/>
          <w:szCs w:val="28"/>
        </w:rPr>
        <w:t xml:space="preserve"> 700,3 тысячи</w:t>
      </w:r>
      <w:r w:rsidRPr="00577593">
        <w:rPr>
          <w:rFonts w:ascii="Times New Roman" w:hAnsi="Times New Roman"/>
          <w:sz w:val="28"/>
          <w:szCs w:val="28"/>
        </w:rPr>
        <w:t xml:space="preserve"> человек, и к 20</w:t>
      </w:r>
      <w:r w:rsidR="00110080" w:rsidRPr="00577593">
        <w:rPr>
          <w:rFonts w:ascii="Times New Roman" w:hAnsi="Times New Roman"/>
          <w:sz w:val="28"/>
          <w:szCs w:val="28"/>
        </w:rPr>
        <w:t>25 году сократилось на 11,5 тысячи</w:t>
      </w:r>
      <w:r w:rsidR="00225FB2" w:rsidRPr="00577593">
        <w:rPr>
          <w:rFonts w:ascii="Times New Roman" w:hAnsi="Times New Roman"/>
          <w:sz w:val="28"/>
          <w:szCs w:val="28"/>
        </w:rPr>
        <w:t xml:space="preserve"> человек, или в среднем на 0,2</w:t>
      </w:r>
      <w:r w:rsidRPr="00577593">
        <w:rPr>
          <w:rFonts w:ascii="Times New Roman" w:hAnsi="Times New Roman"/>
          <w:sz w:val="28"/>
          <w:szCs w:val="28"/>
        </w:rPr>
        <w:t xml:space="preserve">-0,3% в год. </w:t>
      </w:r>
      <w:r w:rsidR="00BB33BE">
        <w:rPr>
          <w:rFonts w:ascii="Times New Roman" w:hAnsi="Times New Roman"/>
          <w:sz w:val="28"/>
          <w:szCs w:val="28"/>
        </w:rPr>
        <w:t xml:space="preserve">          </w:t>
      </w:r>
      <w:r w:rsidRPr="00577593">
        <w:rPr>
          <w:rFonts w:ascii="Times New Roman" w:hAnsi="Times New Roman"/>
          <w:sz w:val="28"/>
          <w:szCs w:val="28"/>
        </w:rPr>
        <w:t>С 2018 года отмечается естественная убыль населения. Частично она компенсируется миграционным движением населения. Доля населения трудоспособного возраста на начало 2024 года составила 59,4%.</w:t>
      </w:r>
    </w:p>
    <w:p w:rsidR="00FC41F4" w:rsidRPr="00577593" w:rsidRDefault="00276A90" w:rsidP="008D738C">
      <w:pPr>
        <w:spacing w:after="0" w:line="240" w:lineRule="auto"/>
        <w:ind w:firstLine="709"/>
        <w:jc w:val="both"/>
        <w:rPr>
          <w:rFonts w:ascii="Times New Roman" w:hAnsi="Times New Roman"/>
          <w:b/>
          <w:sz w:val="28"/>
          <w:szCs w:val="28"/>
        </w:rPr>
      </w:pPr>
      <w:r w:rsidRPr="00577593">
        <w:rPr>
          <w:rFonts w:ascii="Times New Roman" w:hAnsi="Times New Roman"/>
          <w:b/>
          <w:sz w:val="28"/>
          <w:szCs w:val="28"/>
        </w:rPr>
        <w:t xml:space="preserve">2.1.8. </w:t>
      </w:r>
      <w:r w:rsidR="008925FA" w:rsidRPr="00577593">
        <w:rPr>
          <w:rFonts w:ascii="Times New Roman" w:hAnsi="Times New Roman"/>
          <w:b/>
          <w:sz w:val="28"/>
          <w:szCs w:val="28"/>
        </w:rPr>
        <w:t>Итоговый вывод</w:t>
      </w:r>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В целом экономико-географическое положение </w:t>
      </w:r>
      <w:r w:rsidR="00BB33BE">
        <w:rPr>
          <w:rFonts w:ascii="Times New Roman" w:hAnsi="Times New Roman"/>
          <w:sz w:val="28"/>
          <w:szCs w:val="28"/>
        </w:rPr>
        <w:t xml:space="preserve">города </w:t>
      </w:r>
      <w:r w:rsidRPr="00577593">
        <w:rPr>
          <w:rFonts w:ascii="Times New Roman" w:hAnsi="Times New Roman"/>
          <w:sz w:val="28"/>
          <w:szCs w:val="28"/>
        </w:rPr>
        <w:t>Барнаула на микро- (в отношении соседни</w:t>
      </w:r>
      <w:r w:rsidR="0040306F">
        <w:rPr>
          <w:rFonts w:ascii="Times New Roman" w:hAnsi="Times New Roman"/>
          <w:sz w:val="28"/>
          <w:szCs w:val="28"/>
        </w:rPr>
        <w:t xml:space="preserve">х муниципалитетов) и мезоуровне </w:t>
      </w:r>
      <w:r w:rsidRPr="00577593">
        <w:rPr>
          <w:rFonts w:ascii="Times New Roman" w:hAnsi="Times New Roman"/>
          <w:sz w:val="28"/>
          <w:szCs w:val="28"/>
        </w:rPr>
        <w:t xml:space="preserve">(в рамках Алтайского края) можно охарактеризовать как центральное, благоприятное; на макроуровне (в рамках Сибирского федерального округа) </w:t>
      </w:r>
      <w:r w:rsidR="0069506B" w:rsidRPr="00577593">
        <w:rPr>
          <w:rFonts w:ascii="Times New Roman" w:hAnsi="Times New Roman"/>
          <w:sz w:val="28"/>
          <w:szCs w:val="28"/>
        </w:rPr>
        <w:t>–</w:t>
      </w:r>
      <w:r w:rsidRPr="00577593">
        <w:rPr>
          <w:rFonts w:ascii="Times New Roman" w:hAnsi="Times New Roman"/>
          <w:sz w:val="28"/>
          <w:szCs w:val="28"/>
        </w:rPr>
        <w:t xml:space="preserve"> транзитное, пограничное.</w:t>
      </w:r>
    </w:p>
    <w:p w:rsidR="00317761" w:rsidRDefault="00317761" w:rsidP="008D738C">
      <w:pPr>
        <w:pStyle w:val="3"/>
        <w:spacing w:before="0" w:line="240" w:lineRule="auto"/>
        <w:ind w:firstLine="709"/>
        <w:rPr>
          <w:rFonts w:ascii="Times New Roman" w:hAnsi="Times New Roman"/>
          <w:b/>
          <w:color w:val="auto"/>
          <w:sz w:val="28"/>
          <w:szCs w:val="28"/>
        </w:rPr>
      </w:pPr>
      <w:bookmarkStart w:id="7" w:name="_Toc250977091"/>
      <w:bookmarkStart w:id="8" w:name="_Toc212804261"/>
    </w:p>
    <w:p w:rsidR="00FC41F4" w:rsidRPr="00577593" w:rsidRDefault="008925FA" w:rsidP="008D738C">
      <w:pPr>
        <w:pStyle w:val="3"/>
        <w:spacing w:before="0" w:line="240" w:lineRule="auto"/>
        <w:ind w:firstLine="709"/>
        <w:rPr>
          <w:rFonts w:ascii="Times New Roman" w:hAnsi="Times New Roman"/>
          <w:b/>
          <w:color w:val="auto"/>
          <w:sz w:val="28"/>
          <w:szCs w:val="28"/>
        </w:rPr>
      </w:pPr>
      <w:r w:rsidRPr="00577593">
        <w:rPr>
          <w:rFonts w:ascii="Times New Roman" w:hAnsi="Times New Roman"/>
          <w:b/>
          <w:color w:val="auto"/>
          <w:sz w:val="28"/>
          <w:szCs w:val="28"/>
        </w:rPr>
        <w:t>2.2</w:t>
      </w:r>
      <w:r w:rsidR="00C63E0A">
        <w:rPr>
          <w:rFonts w:ascii="Times New Roman" w:hAnsi="Times New Roman"/>
          <w:b/>
          <w:color w:val="auto"/>
          <w:sz w:val="28"/>
          <w:szCs w:val="28"/>
        </w:rPr>
        <w:t>.</w:t>
      </w:r>
      <w:r w:rsidRPr="00577593">
        <w:rPr>
          <w:rFonts w:ascii="Times New Roman" w:hAnsi="Times New Roman"/>
          <w:b/>
          <w:color w:val="auto"/>
          <w:sz w:val="28"/>
          <w:szCs w:val="28"/>
        </w:rPr>
        <w:t xml:space="preserve"> Наличие природных ресурсов, экологическая ситуация</w:t>
      </w:r>
      <w:bookmarkEnd w:id="7"/>
      <w:bookmarkEnd w:id="8"/>
    </w:p>
    <w:p w:rsidR="00FC41F4" w:rsidRPr="00577593" w:rsidRDefault="007A38B4" w:rsidP="008D738C">
      <w:pPr>
        <w:spacing w:after="0" w:line="240" w:lineRule="auto"/>
        <w:ind w:firstLine="709"/>
        <w:jc w:val="both"/>
        <w:rPr>
          <w:rFonts w:ascii="Times New Roman" w:hAnsi="Times New Roman"/>
          <w:b/>
          <w:sz w:val="28"/>
          <w:szCs w:val="28"/>
        </w:rPr>
      </w:pPr>
      <w:r w:rsidRPr="00577593">
        <w:rPr>
          <w:rFonts w:ascii="Times New Roman" w:hAnsi="Times New Roman"/>
          <w:b/>
          <w:sz w:val="28"/>
          <w:szCs w:val="28"/>
        </w:rPr>
        <w:t xml:space="preserve">2.2.1. </w:t>
      </w:r>
      <w:r w:rsidR="008925FA" w:rsidRPr="00577593">
        <w:rPr>
          <w:rFonts w:ascii="Times New Roman" w:hAnsi="Times New Roman"/>
          <w:b/>
          <w:sz w:val="28"/>
          <w:szCs w:val="28"/>
        </w:rPr>
        <w:t>Земельные ресурсы </w:t>
      </w:r>
    </w:p>
    <w:p w:rsidR="009F19D7" w:rsidRPr="00577593" w:rsidRDefault="00C63E0A" w:rsidP="008D738C">
      <w:pPr>
        <w:spacing w:after="0" w:line="240" w:lineRule="auto"/>
        <w:ind w:firstLine="709"/>
        <w:jc w:val="both"/>
        <w:rPr>
          <w:rFonts w:ascii="Times New Roman" w:hAnsi="Times New Roman"/>
          <w:sz w:val="28"/>
          <w:szCs w:val="28"/>
        </w:rPr>
      </w:pPr>
      <w:r>
        <w:rPr>
          <w:rFonts w:ascii="Times New Roman" w:hAnsi="Times New Roman"/>
          <w:sz w:val="28"/>
          <w:szCs w:val="28"/>
        </w:rPr>
        <w:t xml:space="preserve">Город </w:t>
      </w:r>
      <w:r w:rsidR="008925FA" w:rsidRPr="00577593">
        <w:rPr>
          <w:rFonts w:ascii="Times New Roman" w:hAnsi="Times New Roman"/>
          <w:sz w:val="28"/>
          <w:szCs w:val="28"/>
        </w:rPr>
        <w:t xml:space="preserve">Барнаул находится в зоне черноземов умеренно-засушливой </w:t>
      </w:r>
      <w:r>
        <w:rPr>
          <w:rFonts w:ascii="Times New Roman" w:hAnsi="Times New Roman"/>
          <w:sz w:val="28"/>
          <w:szCs w:val="28"/>
        </w:rPr>
        <w:t xml:space="preserve">    </w:t>
      </w:r>
      <w:r w:rsidR="008925FA" w:rsidRPr="00577593">
        <w:rPr>
          <w:rFonts w:ascii="Times New Roman" w:hAnsi="Times New Roman"/>
          <w:sz w:val="28"/>
          <w:szCs w:val="28"/>
        </w:rPr>
        <w:t xml:space="preserve">и колочной лесостепи. Земли, </w:t>
      </w:r>
      <w:r w:rsidR="00153631" w:rsidRPr="00577593">
        <w:rPr>
          <w:rFonts w:ascii="Times New Roman" w:hAnsi="Times New Roman"/>
          <w:sz w:val="28"/>
          <w:szCs w:val="28"/>
        </w:rPr>
        <w:t>расположе</w:t>
      </w:r>
      <w:r w:rsidR="00153631">
        <w:rPr>
          <w:rFonts w:ascii="Times New Roman" w:hAnsi="Times New Roman"/>
          <w:sz w:val="28"/>
          <w:szCs w:val="28"/>
        </w:rPr>
        <w:t>н</w:t>
      </w:r>
      <w:r w:rsidR="00153631" w:rsidRPr="00577593">
        <w:rPr>
          <w:rFonts w:ascii="Times New Roman" w:hAnsi="Times New Roman"/>
          <w:sz w:val="28"/>
          <w:szCs w:val="28"/>
        </w:rPr>
        <w:t>ны</w:t>
      </w:r>
      <w:r w:rsidR="00153631">
        <w:rPr>
          <w:rFonts w:ascii="Times New Roman" w:hAnsi="Times New Roman"/>
          <w:sz w:val="28"/>
          <w:szCs w:val="28"/>
        </w:rPr>
        <w:t>е</w:t>
      </w:r>
      <w:r w:rsidR="00153631" w:rsidRPr="00577593">
        <w:rPr>
          <w:rFonts w:ascii="Times New Roman" w:hAnsi="Times New Roman"/>
          <w:sz w:val="28"/>
          <w:szCs w:val="28"/>
        </w:rPr>
        <w:t xml:space="preserve"> за границей города Барнаула </w:t>
      </w:r>
      <w:r w:rsidR="00153631">
        <w:rPr>
          <w:rFonts w:ascii="Times New Roman" w:hAnsi="Times New Roman"/>
          <w:sz w:val="28"/>
          <w:szCs w:val="28"/>
        </w:rPr>
        <w:t xml:space="preserve">и </w:t>
      </w:r>
      <w:r w:rsidR="008925FA" w:rsidRPr="00577593">
        <w:rPr>
          <w:rFonts w:ascii="Times New Roman" w:hAnsi="Times New Roman"/>
          <w:sz w:val="28"/>
          <w:szCs w:val="28"/>
        </w:rPr>
        <w:t>пригодные для строительства, используются в основном в сельском хозяйстве. Учитывая ценность черноземных почв, новую застройку рекомендуется направлять вдоль Змеиногорского тракта и</w:t>
      </w:r>
      <w:r w:rsidR="000F76C4">
        <w:rPr>
          <w:rFonts w:ascii="Times New Roman" w:hAnsi="Times New Roman"/>
          <w:sz w:val="28"/>
          <w:szCs w:val="28"/>
        </w:rPr>
        <w:t xml:space="preserve"> </w:t>
      </w:r>
      <w:r w:rsidR="008925FA" w:rsidRPr="00577593">
        <w:rPr>
          <w:rFonts w:ascii="Times New Roman" w:hAnsi="Times New Roman"/>
          <w:sz w:val="28"/>
          <w:szCs w:val="28"/>
        </w:rPr>
        <w:t xml:space="preserve">Правобережного тракта, но оптимальный способ использования земельных ресурсов </w:t>
      </w:r>
      <w:r w:rsidR="00C15D0F" w:rsidRPr="00577593">
        <w:rPr>
          <w:rFonts w:ascii="Times New Roman" w:hAnsi="Times New Roman"/>
          <w:sz w:val="28"/>
          <w:szCs w:val="28"/>
        </w:rPr>
        <w:t>–</w:t>
      </w:r>
      <w:r w:rsidR="008925FA" w:rsidRPr="00577593">
        <w:rPr>
          <w:rFonts w:ascii="Times New Roman" w:hAnsi="Times New Roman"/>
          <w:sz w:val="28"/>
          <w:szCs w:val="28"/>
        </w:rPr>
        <w:t xml:space="preserve"> уплотнительная застройка внутри городской черты. </w:t>
      </w:r>
    </w:p>
    <w:p w:rsidR="00FC41F4" w:rsidRPr="00577593" w:rsidRDefault="007A38B4" w:rsidP="008D738C">
      <w:pPr>
        <w:spacing w:after="0" w:line="240" w:lineRule="auto"/>
        <w:ind w:firstLine="709"/>
        <w:jc w:val="both"/>
        <w:rPr>
          <w:rFonts w:ascii="Times New Roman" w:hAnsi="Times New Roman"/>
          <w:b/>
          <w:sz w:val="28"/>
          <w:szCs w:val="28"/>
        </w:rPr>
      </w:pPr>
      <w:r w:rsidRPr="00577593">
        <w:rPr>
          <w:rFonts w:ascii="Times New Roman" w:hAnsi="Times New Roman"/>
          <w:b/>
          <w:sz w:val="28"/>
          <w:szCs w:val="28"/>
        </w:rPr>
        <w:t xml:space="preserve">2.2.2. </w:t>
      </w:r>
      <w:r w:rsidR="008925FA" w:rsidRPr="00577593">
        <w:rPr>
          <w:rFonts w:ascii="Times New Roman" w:hAnsi="Times New Roman"/>
          <w:b/>
          <w:sz w:val="28"/>
          <w:szCs w:val="28"/>
        </w:rPr>
        <w:t>Полезные ископаемые </w:t>
      </w:r>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На территории городского округа расположены </w:t>
      </w:r>
      <w:r w:rsidR="009C2AB7" w:rsidRPr="00577593">
        <w:rPr>
          <w:rFonts w:ascii="Times New Roman" w:hAnsi="Times New Roman"/>
          <w:sz w:val="28"/>
          <w:szCs w:val="28"/>
        </w:rPr>
        <w:t>месторождения общераспространенных полезных ископаемых – строительного песка, кирпичного сырья и сырья местного значения.</w:t>
      </w:r>
    </w:p>
    <w:p w:rsidR="009C2AB7" w:rsidRPr="00577593" w:rsidRDefault="009C2AB7" w:rsidP="008D738C">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Суглинки кирпичные, применяемые в качестве сырья для производства кирпича, находятся в семи месторождениях. Наибольшие балансовые запасы характерны для месторождений «Заимка (Казенная Заимка)», «Барнаульское», </w:t>
      </w:r>
      <w:r w:rsidR="00F2724C" w:rsidRPr="00577593">
        <w:rPr>
          <w:rFonts w:ascii="Times New Roman" w:hAnsi="Times New Roman"/>
          <w:sz w:val="28"/>
          <w:szCs w:val="28"/>
        </w:rPr>
        <w:t>«Участок Бельмесевский» и «Участок «Березовский».</w:t>
      </w:r>
    </w:p>
    <w:p w:rsidR="00F2724C" w:rsidRPr="00577593" w:rsidRDefault="00F2724C" w:rsidP="008D738C">
      <w:pPr>
        <w:spacing w:after="0" w:line="240" w:lineRule="auto"/>
        <w:ind w:firstLine="709"/>
        <w:jc w:val="both"/>
        <w:rPr>
          <w:rFonts w:ascii="Times New Roman" w:hAnsi="Times New Roman"/>
          <w:sz w:val="28"/>
          <w:szCs w:val="28"/>
        </w:rPr>
      </w:pPr>
      <w:r w:rsidRPr="00577593">
        <w:rPr>
          <w:rFonts w:ascii="Times New Roman" w:hAnsi="Times New Roman"/>
          <w:sz w:val="28"/>
          <w:szCs w:val="28"/>
        </w:rPr>
        <w:t>На территории округа имеется 21 месторождение песка строительного. Самыми крупными по балансам запасами являются «Власихинское» «Наутилус», «Речное (Татарское)», «Булыгинское», «Участок Шадринский</w:t>
      </w:r>
      <w:r w:rsidR="007A3820" w:rsidRPr="00577593">
        <w:rPr>
          <w:rFonts w:ascii="Times New Roman" w:hAnsi="Times New Roman"/>
          <w:sz w:val="28"/>
          <w:szCs w:val="28"/>
        </w:rPr>
        <w:t xml:space="preserve"> северо-восточная часть»</w:t>
      </w:r>
      <w:r w:rsidR="005B5587" w:rsidRPr="00577593">
        <w:rPr>
          <w:rFonts w:ascii="Times New Roman" w:hAnsi="Times New Roman"/>
          <w:sz w:val="28"/>
          <w:szCs w:val="28"/>
        </w:rPr>
        <w:t xml:space="preserve"> </w:t>
      </w:r>
      <w:r w:rsidR="007A3820" w:rsidRPr="00577593">
        <w:rPr>
          <w:rFonts w:ascii="Times New Roman" w:hAnsi="Times New Roman"/>
          <w:sz w:val="28"/>
          <w:szCs w:val="28"/>
        </w:rPr>
        <w:t xml:space="preserve">и «Обское». </w:t>
      </w:r>
    </w:p>
    <w:p w:rsidR="00FC41F4" w:rsidRPr="00577593" w:rsidRDefault="007A38B4" w:rsidP="008D738C">
      <w:pPr>
        <w:spacing w:after="0" w:line="240" w:lineRule="auto"/>
        <w:ind w:firstLine="709"/>
        <w:jc w:val="both"/>
        <w:rPr>
          <w:rFonts w:ascii="Times New Roman" w:hAnsi="Times New Roman"/>
          <w:b/>
          <w:sz w:val="28"/>
          <w:szCs w:val="28"/>
        </w:rPr>
      </w:pPr>
      <w:r w:rsidRPr="00577593">
        <w:rPr>
          <w:rFonts w:ascii="Times New Roman" w:hAnsi="Times New Roman"/>
          <w:b/>
          <w:sz w:val="28"/>
          <w:szCs w:val="28"/>
        </w:rPr>
        <w:t xml:space="preserve">2.2.3. </w:t>
      </w:r>
      <w:r w:rsidR="008925FA" w:rsidRPr="00577593">
        <w:rPr>
          <w:rFonts w:ascii="Times New Roman" w:hAnsi="Times New Roman"/>
          <w:b/>
          <w:sz w:val="28"/>
          <w:szCs w:val="28"/>
        </w:rPr>
        <w:t>Водные ресурсы </w:t>
      </w:r>
    </w:p>
    <w:p w:rsidR="007A38B4" w:rsidRPr="00577593" w:rsidRDefault="007A38B4" w:rsidP="008D738C">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Город Барнаул является самым крупным потребителем подземных вод в Алтайском крае. </w:t>
      </w:r>
      <w:r w:rsidRPr="000B5AE4">
        <w:rPr>
          <w:rFonts w:ascii="Times New Roman" w:hAnsi="Times New Roman"/>
          <w:spacing w:val="-2"/>
          <w:sz w:val="28"/>
          <w:szCs w:val="28"/>
        </w:rPr>
        <w:t>Суммарный водоотбор достигает 71,4 тыс. куб. м/сут.</w:t>
      </w:r>
      <w:r w:rsidRPr="00577593">
        <w:rPr>
          <w:rFonts w:ascii="Times New Roman" w:hAnsi="Times New Roman"/>
          <w:sz w:val="28"/>
          <w:szCs w:val="28"/>
        </w:rPr>
        <w:t xml:space="preserve">, хотя основная часть водоснабжения города производится за счет воды </w:t>
      </w:r>
      <w:r w:rsidR="000B5AE4">
        <w:rPr>
          <w:rFonts w:ascii="Times New Roman" w:hAnsi="Times New Roman"/>
          <w:sz w:val="28"/>
          <w:szCs w:val="28"/>
        </w:rPr>
        <w:t xml:space="preserve">      </w:t>
      </w:r>
      <w:r w:rsidRPr="00577593">
        <w:rPr>
          <w:rFonts w:ascii="Times New Roman" w:hAnsi="Times New Roman"/>
          <w:sz w:val="28"/>
          <w:szCs w:val="28"/>
        </w:rPr>
        <w:t>из поверхностных водных источников. </w:t>
      </w:r>
    </w:p>
    <w:p w:rsidR="007A38B4" w:rsidRPr="00577593" w:rsidRDefault="007A38B4" w:rsidP="008D738C">
      <w:pPr>
        <w:spacing w:after="0" w:line="240" w:lineRule="auto"/>
        <w:ind w:firstLine="709"/>
        <w:jc w:val="both"/>
        <w:rPr>
          <w:rFonts w:ascii="Times New Roman" w:hAnsi="Times New Roman"/>
          <w:sz w:val="28"/>
          <w:szCs w:val="28"/>
        </w:rPr>
      </w:pPr>
      <w:r w:rsidRPr="00577593">
        <w:rPr>
          <w:rFonts w:ascii="Times New Roman" w:hAnsi="Times New Roman"/>
          <w:sz w:val="28"/>
          <w:szCs w:val="28"/>
        </w:rPr>
        <w:lastRenderedPageBreak/>
        <w:t xml:space="preserve">Поверхностные воды городского округа включают в себя реку Обь, </w:t>
      </w:r>
      <w:r w:rsidR="005B5587" w:rsidRPr="00577593">
        <w:rPr>
          <w:rFonts w:ascii="Times New Roman" w:hAnsi="Times New Roman"/>
          <w:sz w:val="28"/>
          <w:szCs w:val="28"/>
        </w:rPr>
        <w:br/>
      </w:r>
      <w:r w:rsidRPr="00577593">
        <w:rPr>
          <w:rFonts w:ascii="Times New Roman" w:hAnsi="Times New Roman"/>
          <w:sz w:val="28"/>
          <w:szCs w:val="28"/>
        </w:rPr>
        <w:t xml:space="preserve">а также её левый приток </w:t>
      </w:r>
      <w:r w:rsidR="00C63E0A">
        <w:rPr>
          <w:rFonts w:ascii="Times New Roman" w:hAnsi="Times New Roman"/>
          <w:sz w:val="28"/>
          <w:szCs w:val="28"/>
        </w:rPr>
        <w:t>–</w:t>
      </w:r>
      <w:r w:rsidRPr="00577593">
        <w:rPr>
          <w:rFonts w:ascii="Times New Roman" w:hAnsi="Times New Roman"/>
          <w:sz w:val="28"/>
          <w:szCs w:val="28"/>
        </w:rPr>
        <w:t xml:space="preserve"> реку Барнаулку и други</w:t>
      </w:r>
      <w:r w:rsidR="00C15D0F" w:rsidRPr="00577593">
        <w:rPr>
          <w:rFonts w:ascii="Times New Roman" w:hAnsi="Times New Roman"/>
          <w:sz w:val="28"/>
          <w:szCs w:val="28"/>
        </w:rPr>
        <w:t>е</w:t>
      </w:r>
      <w:r w:rsidRPr="00577593">
        <w:rPr>
          <w:rFonts w:ascii="Times New Roman" w:hAnsi="Times New Roman"/>
          <w:sz w:val="28"/>
          <w:szCs w:val="28"/>
        </w:rPr>
        <w:t xml:space="preserve"> мелки</w:t>
      </w:r>
      <w:r w:rsidR="00C15D0F" w:rsidRPr="00577593">
        <w:rPr>
          <w:rFonts w:ascii="Times New Roman" w:hAnsi="Times New Roman"/>
          <w:sz w:val="28"/>
          <w:szCs w:val="28"/>
        </w:rPr>
        <w:t>е</w:t>
      </w:r>
      <w:r w:rsidRPr="00577593">
        <w:rPr>
          <w:rFonts w:ascii="Times New Roman" w:hAnsi="Times New Roman"/>
          <w:sz w:val="28"/>
          <w:szCs w:val="28"/>
        </w:rPr>
        <w:t xml:space="preserve"> рек</w:t>
      </w:r>
      <w:r w:rsidR="00C15D0F" w:rsidRPr="00577593">
        <w:rPr>
          <w:rFonts w:ascii="Times New Roman" w:hAnsi="Times New Roman"/>
          <w:sz w:val="28"/>
          <w:szCs w:val="28"/>
        </w:rPr>
        <w:t>и</w:t>
      </w:r>
      <w:r w:rsidRPr="00577593">
        <w:rPr>
          <w:rFonts w:ascii="Times New Roman" w:hAnsi="Times New Roman"/>
          <w:sz w:val="28"/>
          <w:szCs w:val="28"/>
        </w:rPr>
        <w:t xml:space="preserve"> </w:t>
      </w:r>
      <w:r w:rsidR="005B5587" w:rsidRPr="00577593">
        <w:rPr>
          <w:rFonts w:ascii="Times New Roman" w:hAnsi="Times New Roman"/>
          <w:sz w:val="28"/>
          <w:szCs w:val="28"/>
        </w:rPr>
        <w:br/>
      </w:r>
      <w:r w:rsidRPr="00577593">
        <w:rPr>
          <w:rFonts w:ascii="Times New Roman" w:hAnsi="Times New Roman"/>
          <w:sz w:val="28"/>
          <w:szCs w:val="28"/>
        </w:rPr>
        <w:t xml:space="preserve">в пригородной зоне </w:t>
      </w:r>
      <w:r w:rsidR="005B5587" w:rsidRPr="00577593">
        <w:rPr>
          <w:rFonts w:ascii="Times New Roman" w:hAnsi="Times New Roman"/>
          <w:sz w:val="28"/>
          <w:szCs w:val="28"/>
        </w:rPr>
        <w:t>–</w:t>
      </w:r>
      <w:r w:rsidRPr="00577593">
        <w:rPr>
          <w:rFonts w:ascii="Times New Roman" w:hAnsi="Times New Roman"/>
          <w:sz w:val="28"/>
          <w:szCs w:val="28"/>
        </w:rPr>
        <w:t xml:space="preserve"> Землянуха, Лосиха, Ляпиха, Пивоварка, Талая. Площадь же бассейна Оби составляет 2 миллиона 990 тыс. кв. км. По этому показателю река занимает первое место в России. Обь также является третьей по водоносности рекой России (после Енисея и Лены). </w:t>
      </w:r>
    </w:p>
    <w:p w:rsidR="007A38B4" w:rsidRPr="00577593" w:rsidRDefault="007A38B4" w:rsidP="008D738C">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На территории города расположено несколько озер. Крупнейшее </w:t>
      </w:r>
      <w:r w:rsidR="00D75BCA" w:rsidRPr="00577593">
        <w:rPr>
          <w:rFonts w:ascii="Times New Roman" w:hAnsi="Times New Roman"/>
          <w:sz w:val="28"/>
          <w:szCs w:val="28"/>
        </w:rPr>
        <w:t>–</w:t>
      </w:r>
      <w:r w:rsidRPr="00577593">
        <w:rPr>
          <w:rFonts w:ascii="Times New Roman" w:hAnsi="Times New Roman"/>
          <w:sz w:val="28"/>
          <w:szCs w:val="28"/>
        </w:rPr>
        <w:t xml:space="preserve"> это озеро Лебяжье, расположенное в Центральном районе </w:t>
      </w:r>
      <w:r w:rsidR="00274CDA">
        <w:rPr>
          <w:rFonts w:ascii="Times New Roman" w:hAnsi="Times New Roman"/>
          <w:sz w:val="28"/>
          <w:szCs w:val="28"/>
        </w:rPr>
        <w:t xml:space="preserve">города </w:t>
      </w:r>
      <w:r w:rsidRPr="00577593">
        <w:rPr>
          <w:rFonts w:ascii="Times New Roman" w:hAnsi="Times New Roman"/>
          <w:sz w:val="28"/>
          <w:szCs w:val="28"/>
        </w:rPr>
        <w:t>Барнаула, площадью 40 га. Озера Ляпиха (Научный Городок) и Пионерское (поселок Казенная Заимка), как и Лебяжье, являются местами отдыха для жителей ближайших территорий.</w:t>
      </w:r>
    </w:p>
    <w:p w:rsidR="007A38B4" w:rsidRPr="00577593" w:rsidRDefault="007A38B4" w:rsidP="008D738C">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Свято-Никольский источник, питающийся грунтовыми водами, находится в нагорной части </w:t>
      </w:r>
      <w:r w:rsidR="00274CDA">
        <w:rPr>
          <w:rFonts w:ascii="Times New Roman" w:hAnsi="Times New Roman"/>
          <w:sz w:val="28"/>
          <w:szCs w:val="28"/>
        </w:rPr>
        <w:t xml:space="preserve">города </w:t>
      </w:r>
      <w:r w:rsidRPr="00577593">
        <w:rPr>
          <w:rFonts w:ascii="Times New Roman" w:hAnsi="Times New Roman"/>
          <w:sz w:val="28"/>
          <w:szCs w:val="28"/>
        </w:rPr>
        <w:t>Барнаула, на правом берегу Барнаулки в районе улицы Канатной.</w:t>
      </w:r>
    </w:p>
    <w:p w:rsidR="00FC41F4" w:rsidRPr="00577593" w:rsidRDefault="007A38B4" w:rsidP="008D738C">
      <w:pPr>
        <w:spacing w:after="0" w:line="240" w:lineRule="auto"/>
        <w:ind w:firstLine="709"/>
        <w:jc w:val="both"/>
        <w:rPr>
          <w:rFonts w:ascii="Times New Roman" w:hAnsi="Times New Roman"/>
          <w:b/>
          <w:sz w:val="28"/>
          <w:szCs w:val="28"/>
        </w:rPr>
      </w:pPr>
      <w:r w:rsidRPr="00577593">
        <w:rPr>
          <w:rFonts w:ascii="Times New Roman" w:hAnsi="Times New Roman"/>
          <w:b/>
          <w:sz w:val="28"/>
          <w:szCs w:val="28"/>
        </w:rPr>
        <w:t xml:space="preserve">2.2.4. </w:t>
      </w:r>
      <w:r w:rsidR="008925FA" w:rsidRPr="00577593">
        <w:rPr>
          <w:rFonts w:ascii="Times New Roman" w:hAnsi="Times New Roman"/>
          <w:b/>
          <w:sz w:val="28"/>
          <w:szCs w:val="28"/>
        </w:rPr>
        <w:t>Рекреационные ресурсы </w:t>
      </w:r>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Ландшафты </w:t>
      </w:r>
      <w:r w:rsidR="00C63E0A">
        <w:rPr>
          <w:rFonts w:ascii="Times New Roman" w:hAnsi="Times New Roman"/>
          <w:sz w:val="28"/>
          <w:szCs w:val="28"/>
        </w:rPr>
        <w:t xml:space="preserve">города </w:t>
      </w:r>
      <w:r w:rsidRPr="00577593">
        <w:rPr>
          <w:rFonts w:ascii="Times New Roman" w:hAnsi="Times New Roman"/>
          <w:sz w:val="28"/>
          <w:szCs w:val="28"/>
        </w:rPr>
        <w:t xml:space="preserve">Барнаула представлены одиннадцатью типами местностей, имеющими более дробное деление на урочища. Десять типов местности формируют ландшафт Приобского плато и один </w:t>
      </w:r>
      <w:r w:rsidR="0069506B" w:rsidRPr="00577593">
        <w:rPr>
          <w:rFonts w:ascii="Times New Roman" w:hAnsi="Times New Roman"/>
          <w:sz w:val="28"/>
          <w:szCs w:val="28"/>
        </w:rPr>
        <w:t>–</w:t>
      </w:r>
      <w:r w:rsidRPr="00577593">
        <w:rPr>
          <w:rFonts w:ascii="Times New Roman" w:hAnsi="Times New Roman"/>
          <w:sz w:val="28"/>
          <w:szCs w:val="28"/>
        </w:rPr>
        <w:t xml:space="preserve"> долину Оби.  </w:t>
      </w:r>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Важнейшим элементом природно-рекреационного каркаса города является Барнаульский ленточный сосновый бор, растущий на аллювиальных песках. Этот сосновый лес отличается по своему строению, производительности, процессам возобновления и другим признакам </w:t>
      </w:r>
      <w:r w:rsidR="00C63E0A">
        <w:rPr>
          <w:rFonts w:ascii="Times New Roman" w:hAnsi="Times New Roman"/>
          <w:sz w:val="28"/>
          <w:szCs w:val="28"/>
        </w:rPr>
        <w:t xml:space="preserve">          </w:t>
      </w:r>
      <w:r w:rsidRPr="00577593">
        <w:rPr>
          <w:rFonts w:ascii="Times New Roman" w:hAnsi="Times New Roman"/>
          <w:sz w:val="28"/>
          <w:szCs w:val="28"/>
        </w:rPr>
        <w:t xml:space="preserve">от лесов, произрастающих в других природных зонах. Площадь зеленых насаждений в пределах городской черты составляет 10098 га, из них </w:t>
      </w:r>
      <w:r w:rsidR="00C63E0A">
        <w:rPr>
          <w:rFonts w:ascii="Times New Roman" w:hAnsi="Times New Roman"/>
          <w:sz w:val="28"/>
          <w:szCs w:val="28"/>
        </w:rPr>
        <w:t xml:space="preserve">       </w:t>
      </w:r>
      <w:r w:rsidRPr="00577593">
        <w:rPr>
          <w:rFonts w:ascii="Times New Roman" w:hAnsi="Times New Roman"/>
          <w:sz w:val="28"/>
          <w:szCs w:val="28"/>
        </w:rPr>
        <w:t xml:space="preserve">4063 га </w:t>
      </w:r>
      <w:r w:rsidR="0069506B" w:rsidRPr="00577593">
        <w:rPr>
          <w:rFonts w:ascii="Times New Roman" w:hAnsi="Times New Roman"/>
          <w:sz w:val="28"/>
          <w:szCs w:val="28"/>
        </w:rPr>
        <w:t>–</w:t>
      </w:r>
      <w:r w:rsidRPr="00577593">
        <w:rPr>
          <w:rFonts w:ascii="Times New Roman" w:hAnsi="Times New Roman"/>
          <w:sz w:val="28"/>
          <w:szCs w:val="28"/>
        </w:rPr>
        <w:t xml:space="preserve"> площадь городских лесов. </w:t>
      </w:r>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hAnsi="Times New Roman"/>
          <w:sz w:val="28"/>
          <w:szCs w:val="28"/>
        </w:rPr>
        <w:t>Лесные массивы ленточных боров сформировались более 20 тысяч лет назад на месте песчаных отложений мощных древних потоков талых ледниковых вод. Под влиянием леса в городе выпадает на 40</w:t>
      </w:r>
      <w:r w:rsidR="0069506B" w:rsidRPr="00577593">
        <w:rPr>
          <w:rFonts w:ascii="Times New Roman" w:hAnsi="Times New Roman"/>
          <w:sz w:val="28"/>
          <w:szCs w:val="28"/>
        </w:rPr>
        <w:t>-</w:t>
      </w:r>
      <w:r w:rsidRPr="00577593">
        <w:rPr>
          <w:rFonts w:ascii="Times New Roman" w:hAnsi="Times New Roman"/>
          <w:sz w:val="28"/>
          <w:szCs w:val="28"/>
        </w:rPr>
        <w:t>50 мм больше осадков, ослабевает сила ветра, уменьшается диапазон колебания температур в течение суток и года.</w:t>
      </w:r>
    </w:p>
    <w:p w:rsidR="00FC41F4" w:rsidRPr="00577593" w:rsidRDefault="007A38B4" w:rsidP="008D738C">
      <w:pPr>
        <w:spacing w:after="0" w:line="240" w:lineRule="auto"/>
        <w:ind w:firstLine="709"/>
        <w:rPr>
          <w:rFonts w:ascii="Times New Roman" w:hAnsi="Times New Roman"/>
          <w:b/>
          <w:sz w:val="28"/>
          <w:szCs w:val="28"/>
        </w:rPr>
      </w:pPr>
      <w:r w:rsidRPr="00577593">
        <w:rPr>
          <w:rFonts w:ascii="Times New Roman" w:hAnsi="Times New Roman"/>
          <w:b/>
          <w:sz w:val="28"/>
          <w:szCs w:val="28"/>
        </w:rPr>
        <w:t xml:space="preserve">2.2.5. </w:t>
      </w:r>
      <w:r w:rsidR="008925FA" w:rsidRPr="00577593">
        <w:rPr>
          <w:rFonts w:ascii="Times New Roman" w:hAnsi="Times New Roman"/>
          <w:b/>
          <w:sz w:val="28"/>
          <w:szCs w:val="28"/>
        </w:rPr>
        <w:t>Экологическая ситуация </w:t>
      </w:r>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Экологическая ситуация в городе Барнауле, как и в любой урбанизированной территории, характеризуется высоким уровнем антропогенного воздействия на природную среду и экологическими последствиями от прошлой экономической деятельности. </w:t>
      </w:r>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Качество атмосферного воздуха определяется рельефом местности, выбросами от </w:t>
      </w:r>
      <w:r w:rsidR="001B7DB0" w:rsidRPr="00577593">
        <w:rPr>
          <w:rFonts w:ascii="Times New Roman" w:hAnsi="Times New Roman"/>
          <w:sz w:val="28"/>
          <w:szCs w:val="28"/>
        </w:rPr>
        <w:t>промышленных предприятий и транспорта</w:t>
      </w:r>
      <w:r w:rsidRPr="00577593">
        <w:rPr>
          <w:rFonts w:ascii="Times New Roman" w:hAnsi="Times New Roman"/>
          <w:sz w:val="28"/>
          <w:szCs w:val="28"/>
        </w:rPr>
        <w:t xml:space="preserve">. </w:t>
      </w:r>
      <w:r w:rsidR="0028371D" w:rsidRPr="00577593">
        <w:rPr>
          <w:rFonts w:ascii="Times New Roman" w:hAnsi="Times New Roman"/>
          <w:sz w:val="28"/>
          <w:szCs w:val="28"/>
        </w:rPr>
        <w:t>Концентрация вредных загрязняющих веществ в атмосферном воздухе повышается в зимний период в связи с часто повторяющимися малоинтенсивными</w:t>
      </w:r>
      <w:r w:rsidRPr="00577593">
        <w:rPr>
          <w:rFonts w:ascii="Times New Roman" w:hAnsi="Times New Roman"/>
          <w:sz w:val="28"/>
          <w:szCs w:val="28"/>
        </w:rPr>
        <w:t xml:space="preserve"> </w:t>
      </w:r>
      <w:r w:rsidR="0028371D" w:rsidRPr="00577593">
        <w:rPr>
          <w:rFonts w:ascii="Times New Roman" w:hAnsi="Times New Roman"/>
          <w:sz w:val="28"/>
          <w:szCs w:val="28"/>
        </w:rPr>
        <w:t xml:space="preserve">атмосферными процессами (затруднено рассеивание загрязняющих веществ), а также из-за выработки тепловой энергии автономными источниками теплоснабжения. </w:t>
      </w:r>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Загрязнение водных объектов связано с антропогенной деятельностью на их водосборной площади и непосредственным использованием водных объектов. На качество воды поверхностных водных объектов значительное </w:t>
      </w:r>
      <w:r w:rsidRPr="00577593">
        <w:rPr>
          <w:rFonts w:ascii="Times New Roman" w:hAnsi="Times New Roman"/>
          <w:sz w:val="28"/>
          <w:szCs w:val="28"/>
        </w:rPr>
        <w:lastRenderedPageBreak/>
        <w:t xml:space="preserve">влияние оказывает также загрязнение донных отложений, эвтрофирование ряда водоемов. Качество воды реки Оби оценивается как «очень загрязненная» (ниже </w:t>
      </w:r>
      <w:r w:rsidR="00B745BE" w:rsidRPr="00577593">
        <w:rPr>
          <w:rFonts w:ascii="Times New Roman" w:hAnsi="Times New Roman"/>
          <w:sz w:val="28"/>
          <w:szCs w:val="28"/>
        </w:rPr>
        <w:t>г</w:t>
      </w:r>
      <w:r w:rsidR="00C63E0A">
        <w:rPr>
          <w:rFonts w:ascii="Times New Roman" w:hAnsi="Times New Roman"/>
          <w:sz w:val="28"/>
          <w:szCs w:val="28"/>
        </w:rPr>
        <w:t xml:space="preserve">орода </w:t>
      </w:r>
      <w:r w:rsidRPr="00577593">
        <w:rPr>
          <w:rFonts w:ascii="Times New Roman" w:hAnsi="Times New Roman"/>
          <w:sz w:val="28"/>
          <w:szCs w:val="28"/>
        </w:rPr>
        <w:t xml:space="preserve">Барнаула) и «загрязненная» (выше </w:t>
      </w:r>
      <w:r w:rsidR="00C63E0A">
        <w:rPr>
          <w:rFonts w:ascii="Times New Roman" w:hAnsi="Times New Roman"/>
          <w:sz w:val="28"/>
          <w:szCs w:val="28"/>
        </w:rPr>
        <w:t>города</w:t>
      </w:r>
      <w:r w:rsidR="00E34E37" w:rsidRPr="00577593">
        <w:rPr>
          <w:rFonts w:ascii="Times New Roman" w:hAnsi="Times New Roman"/>
          <w:sz w:val="28"/>
          <w:szCs w:val="28"/>
        </w:rPr>
        <w:t xml:space="preserve"> </w:t>
      </w:r>
      <w:r w:rsidRPr="00577593">
        <w:rPr>
          <w:rFonts w:ascii="Times New Roman" w:hAnsi="Times New Roman"/>
          <w:sz w:val="28"/>
          <w:szCs w:val="28"/>
        </w:rPr>
        <w:t xml:space="preserve">Барнаула), а для реки Барнаулки </w:t>
      </w:r>
      <w:r w:rsidR="0069506B" w:rsidRPr="00577593">
        <w:rPr>
          <w:rFonts w:ascii="Times New Roman" w:hAnsi="Times New Roman"/>
          <w:sz w:val="28"/>
          <w:szCs w:val="28"/>
        </w:rPr>
        <w:t>–</w:t>
      </w:r>
      <w:r w:rsidRPr="00577593">
        <w:rPr>
          <w:rFonts w:ascii="Times New Roman" w:hAnsi="Times New Roman"/>
          <w:sz w:val="28"/>
          <w:szCs w:val="28"/>
        </w:rPr>
        <w:t xml:space="preserve"> «грязная». Стоит отметить, что </w:t>
      </w:r>
      <w:r w:rsidR="00C63E0A">
        <w:rPr>
          <w:rFonts w:ascii="Times New Roman" w:hAnsi="Times New Roman"/>
          <w:sz w:val="28"/>
          <w:szCs w:val="28"/>
        </w:rPr>
        <w:t xml:space="preserve">                 </w:t>
      </w:r>
      <w:r w:rsidRPr="00577593">
        <w:rPr>
          <w:rFonts w:ascii="Times New Roman" w:hAnsi="Times New Roman"/>
          <w:sz w:val="28"/>
          <w:szCs w:val="28"/>
        </w:rPr>
        <w:t xml:space="preserve">с 2022 года класс реки Оби выше </w:t>
      </w:r>
      <w:r w:rsidR="00B745BE" w:rsidRPr="00577593">
        <w:rPr>
          <w:rFonts w:ascii="Times New Roman" w:hAnsi="Times New Roman"/>
          <w:sz w:val="28"/>
          <w:szCs w:val="28"/>
        </w:rPr>
        <w:t>г</w:t>
      </w:r>
      <w:r w:rsidR="00C63E0A">
        <w:rPr>
          <w:rFonts w:ascii="Times New Roman" w:hAnsi="Times New Roman"/>
          <w:sz w:val="28"/>
          <w:szCs w:val="28"/>
        </w:rPr>
        <w:t xml:space="preserve">орода </w:t>
      </w:r>
      <w:r w:rsidRPr="00577593">
        <w:rPr>
          <w:rFonts w:ascii="Times New Roman" w:hAnsi="Times New Roman"/>
          <w:sz w:val="28"/>
          <w:szCs w:val="28"/>
        </w:rPr>
        <w:t>Барнаула изменился с класса «очень загрязненная» на</w:t>
      </w:r>
      <w:r w:rsidR="00D75BCA" w:rsidRPr="00577593">
        <w:rPr>
          <w:rFonts w:ascii="Times New Roman" w:hAnsi="Times New Roman"/>
          <w:sz w:val="28"/>
          <w:szCs w:val="28"/>
        </w:rPr>
        <w:t xml:space="preserve"> </w:t>
      </w:r>
      <w:r w:rsidRPr="00577593">
        <w:rPr>
          <w:rFonts w:ascii="Times New Roman" w:hAnsi="Times New Roman"/>
          <w:sz w:val="28"/>
          <w:szCs w:val="28"/>
        </w:rPr>
        <w:t>«загрязненная».</w:t>
      </w:r>
    </w:p>
    <w:p w:rsidR="005F53EC" w:rsidRPr="00577593" w:rsidRDefault="008925FA" w:rsidP="008D738C">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Для предотвращения и минимизации негативного воздействия </w:t>
      </w:r>
      <w:r w:rsidR="00D75BCA" w:rsidRPr="00577593">
        <w:rPr>
          <w:rFonts w:ascii="Times New Roman" w:hAnsi="Times New Roman"/>
          <w:sz w:val="28"/>
          <w:szCs w:val="28"/>
        </w:rPr>
        <w:br/>
      </w:r>
      <w:r w:rsidRPr="00577593">
        <w:rPr>
          <w:rFonts w:ascii="Times New Roman" w:hAnsi="Times New Roman"/>
          <w:sz w:val="28"/>
          <w:szCs w:val="28"/>
        </w:rPr>
        <w:t>на окружающую среду и ее компоненты, улучшения экологической обстановки в городе Барнауле проводятся различные природоохранные мероприятия органами местного самоуправления, органами государственной власти, различными организациями и учреждениями, общественными объединения</w:t>
      </w:r>
      <w:r w:rsidR="00126111" w:rsidRPr="00577593">
        <w:rPr>
          <w:rFonts w:ascii="Times New Roman" w:hAnsi="Times New Roman"/>
          <w:sz w:val="28"/>
          <w:szCs w:val="28"/>
        </w:rPr>
        <w:t>ми</w:t>
      </w:r>
      <w:r w:rsidRPr="00577593">
        <w:rPr>
          <w:rFonts w:ascii="Times New Roman" w:hAnsi="Times New Roman"/>
          <w:sz w:val="28"/>
          <w:szCs w:val="28"/>
        </w:rPr>
        <w:t xml:space="preserve"> и гражданами.</w:t>
      </w:r>
      <w:bookmarkStart w:id="9" w:name="_Toc398470247"/>
      <w:bookmarkStart w:id="10" w:name="_Toc212804262"/>
    </w:p>
    <w:p w:rsidR="00D75BCA" w:rsidRPr="00827441" w:rsidRDefault="00D75BCA" w:rsidP="008D738C">
      <w:pPr>
        <w:pStyle w:val="3"/>
        <w:spacing w:before="0" w:line="240" w:lineRule="auto"/>
        <w:ind w:firstLine="709"/>
        <w:rPr>
          <w:rFonts w:ascii="Times New Roman" w:hAnsi="Times New Roman"/>
          <w:b/>
          <w:color w:val="auto"/>
          <w:sz w:val="28"/>
          <w:szCs w:val="28"/>
        </w:rPr>
      </w:pPr>
    </w:p>
    <w:p w:rsidR="00FC41F4" w:rsidRPr="00577593" w:rsidRDefault="008925FA" w:rsidP="008D738C">
      <w:pPr>
        <w:pStyle w:val="3"/>
        <w:spacing w:before="0" w:line="240" w:lineRule="auto"/>
        <w:ind w:firstLine="709"/>
        <w:rPr>
          <w:rFonts w:ascii="Times New Roman" w:hAnsi="Times New Roman"/>
          <w:b/>
          <w:color w:val="auto"/>
          <w:sz w:val="28"/>
          <w:szCs w:val="28"/>
        </w:rPr>
      </w:pPr>
      <w:r w:rsidRPr="00577593">
        <w:rPr>
          <w:rFonts w:ascii="Times New Roman" w:hAnsi="Times New Roman"/>
          <w:b/>
          <w:color w:val="auto"/>
          <w:sz w:val="28"/>
          <w:szCs w:val="28"/>
        </w:rPr>
        <w:t>2.3</w:t>
      </w:r>
      <w:r w:rsidR="00C63E0A">
        <w:rPr>
          <w:rFonts w:ascii="Times New Roman" w:hAnsi="Times New Roman"/>
          <w:b/>
          <w:color w:val="auto"/>
          <w:sz w:val="28"/>
          <w:szCs w:val="28"/>
        </w:rPr>
        <w:t>.</w:t>
      </w:r>
      <w:r w:rsidRPr="00577593">
        <w:rPr>
          <w:rFonts w:ascii="Times New Roman" w:hAnsi="Times New Roman"/>
          <w:b/>
          <w:color w:val="auto"/>
          <w:sz w:val="28"/>
          <w:szCs w:val="28"/>
        </w:rPr>
        <w:t xml:space="preserve"> Население и трудовые ресурсы, уровень жизни</w:t>
      </w:r>
      <w:bookmarkEnd w:id="9"/>
      <w:bookmarkEnd w:id="10"/>
    </w:p>
    <w:p w:rsidR="005F53EC" w:rsidRPr="00577593" w:rsidRDefault="00271B5B" w:rsidP="008D738C">
      <w:pPr>
        <w:spacing w:after="0" w:line="240" w:lineRule="auto"/>
        <w:ind w:firstLine="709"/>
        <w:jc w:val="both"/>
        <w:rPr>
          <w:rFonts w:ascii="Times New Roman" w:hAnsi="Times New Roman"/>
          <w:b/>
          <w:sz w:val="28"/>
          <w:szCs w:val="28"/>
        </w:rPr>
      </w:pPr>
      <w:r w:rsidRPr="00577593">
        <w:rPr>
          <w:rFonts w:ascii="Times New Roman" w:hAnsi="Times New Roman"/>
          <w:b/>
          <w:sz w:val="28"/>
          <w:szCs w:val="28"/>
        </w:rPr>
        <w:t xml:space="preserve">2.3.1. </w:t>
      </w:r>
      <w:r w:rsidR="008925FA" w:rsidRPr="00577593">
        <w:rPr>
          <w:rFonts w:ascii="Times New Roman" w:hAnsi="Times New Roman"/>
          <w:b/>
          <w:sz w:val="28"/>
          <w:szCs w:val="28"/>
        </w:rPr>
        <w:t>Численность населения и ее динамика, плотность населения</w:t>
      </w:r>
    </w:p>
    <w:p w:rsidR="00FC41F4" w:rsidRPr="00577593" w:rsidRDefault="008925FA" w:rsidP="008D738C">
      <w:pPr>
        <w:spacing w:after="0" w:line="240" w:lineRule="auto"/>
        <w:ind w:firstLine="709"/>
        <w:jc w:val="both"/>
        <w:rPr>
          <w:rFonts w:ascii="Times New Roman" w:hAnsi="Times New Roman"/>
          <w:b/>
          <w:sz w:val="28"/>
          <w:szCs w:val="28"/>
        </w:rPr>
      </w:pPr>
      <w:r w:rsidRPr="00577593">
        <w:rPr>
          <w:rFonts w:ascii="Times New Roman" w:hAnsi="Times New Roman"/>
          <w:sz w:val="28"/>
          <w:szCs w:val="28"/>
        </w:rPr>
        <w:t xml:space="preserve">По численности населения </w:t>
      </w:r>
      <w:r w:rsidR="00C63E0A">
        <w:rPr>
          <w:rFonts w:ascii="Times New Roman" w:hAnsi="Times New Roman"/>
          <w:sz w:val="28"/>
          <w:szCs w:val="28"/>
        </w:rPr>
        <w:t xml:space="preserve">город </w:t>
      </w:r>
      <w:r w:rsidRPr="00577593">
        <w:rPr>
          <w:rFonts w:ascii="Times New Roman" w:hAnsi="Times New Roman"/>
          <w:sz w:val="28"/>
          <w:szCs w:val="28"/>
        </w:rPr>
        <w:t xml:space="preserve">Барнаул занимает 21-е место среди городов России и четвертое </w:t>
      </w:r>
      <w:r w:rsidR="0069506B" w:rsidRPr="00577593">
        <w:rPr>
          <w:rFonts w:ascii="Times New Roman" w:hAnsi="Times New Roman"/>
          <w:sz w:val="28"/>
          <w:szCs w:val="28"/>
        </w:rPr>
        <w:t>–</w:t>
      </w:r>
      <w:r w:rsidRPr="00577593">
        <w:rPr>
          <w:rFonts w:ascii="Times New Roman" w:hAnsi="Times New Roman"/>
          <w:sz w:val="28"/>
          <w:szCs w:val="28"/>
        </w:rPr>
        <w:t xml:space="preserve"> среди городов Сибирского федерального округа, уступая только городам-миллионникам. Численность населения городского округа на </w:t>
      </w:r>
      <w:r w:rsidR="00271B5B" w:rsidRPr="00577593">
        <w:rPr>
          <w:rFonts w:ascii="Times New Roman" w:hAnsi="Times New Roman"/>
          <w:sz w:val="28"/>
          <w:szCs w:val="28"/>
        </w:rPr>
        <w:t>01.01.2025</w:t>
      </w:r>
      <w:r w:rsidR="00110080" w:rsidRPr="00577593">
        <w:rPr>
          <w:rFonts w:ascii="Times New Roman" w:hAnsi="Times New Roman"/>
          <w:sz w:val="28"/>
          <w:szCs w:val="28"/>
        </w:rPr>
        <w:t xml:space="preserve"> составила 688,8 тысячи</w:t>
      </w:r>
      <w:r w:rsidRPr="00577593">
        <w:rPr>
          <w:rFonts w:ascii="Times New Roman" w:hAnsi="Times New Roman"/>
          <w:sz w:val="28"/>
          <w:szCs w:val="28"/>
        </w:rPr>
        <w:t xml:space="preserve"> человек.</w:t>
      </w:r>
    </w:p>
    <w:p w:rsidR="00104EBF" w:rsidRPr="00577593" w:rsidRDefault="008925FA" w:rsidP="008D738C">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С 1989 года (последняя перепись населения СССР) численность населения </w:t>
      </w:r>
      <w:r w:rsidR="00C63E0A">
        <w:rPr>
          <w:rFonts w:ascii="Times New Roman" w:hAnsi="Times New Roman"/>
          <w:sz w:val="28"/>
          <w:szCs w:val="28"/>
        </w:rPr>
        <w:t xml:space="preserve">города </w:t>
      </w:r>
      <w:r w:rsidRPr="00577593">
        <w:rPr>
          <w:rFonts w:ascii="Times New Roman" w:hAnsi="Times New Roman"/>
          <w:sz w:val="28"/>
          <w:szCs w:val="28"/>
        </w:rPr>
        <w:t>Барна</w:t>
      </w:r>
      <w:r w:rsidR="00110080" w:rsidRPr="00577593">
        <w:rPr>
          <w:rFonts w:ascii="Times New Roman" w:hAnsi="Times New Roman"/>
          <w:sz w:val="28"/>
          <w:szCs w:val="28"/>
        </w:rPr>
        <w:t>ула увеличилась почти на 30 тысяч</w:t>
      </w:r>
      <w:r w:rsidRPr="00577593">
        <w:rPr>
          <w:rFonts w:ascii="Times New Roman" w:hAnsi="Times New Roman"/>
          <w:sz w:val="28"/>
          <w:szCs w:val="28"/>
        </w:rPr>
        <w:t xml:space="preserve"> человек. Пик численности населения пришелся на 2016 год, ког</w:t>
      </w:r>
      <w:r w:rsidR="00110080" w:rsidRPr="00577593">
        <w:rPr>
          <w:rFonts w:ascii="Times New Roman" w:hAnsi="Times New Roman"/>
          <w:sz w:val="28"/>
          <w:szCs w:val="28"/>
        </w:rPr>
        <w:t>да в городе проживало 700,3 тысячи</w:t>
      </w:r>
      <w:r w:rsidRPr="00577593">
        <w:rPr>
          <w:rFonts w:ascii="Times New Roman" w:hAnsi="Times New Roman"/>
          <w:sz w:val="28"/>
          <w:szCs w:val="28"/>
        </w:rPr>
        <w:t xml:space="preserve"> человек (</w:t>
      </w:r>
      <w:r w:rsidR="00D558A5">
        <w:fldChar w:fldCharType="begin"/>
      </w:r>
      <w:r w:rsidR="00D558A5">
        <w:instrText xml:space="preserve"> REF _Ref199376600 \h  \* MERGEFORMAT </w:instrText>
      </w:r>
      <w:r w:rsidR="00D558A5">
        <w:fldChar w:fldCharType="separate"/>
      </w:r>
      <w:r w:rsidR="00071499" w:rsidRPr="00827441">
        <w:rPr>
          <w:rFonts w:ascii="Times New Roman" w:hAnsi="Times New Roman"/>
          <w:sz w:val="28"/>
          <w:szCs w:val="28"/>
        </w:rPr>
        <w:t xml:space="preserve">Рисунок </w:t>
      </w:r>
      <w:r w:rsidR="00071499">
        <w:rPr>
          <w:rFonts w:ascii="Times New Roman" w:hAnsi="Times New Roman"/>
          <w:sz w:val="28"/>
          <w:szCs w:val="28"/>
        </w:rPr>
        <w:t>1</w:t>
      </w:r>
      <w:r w:rsidR="00D558A5">
        <w:fldChar w:fldCharType="end"/>
      </w:r>
      <w:r w:rsidRPr="00577593">
        <w:rPr>
          <w:rFonts w:ascii="Times New Roman" w:hAnsi="Times New Roman"/>
          <w:sz w:val="28"/>
          <w:szCs w:val="28"/>
        </w:rPr>
        <w:t>)</w:t>
      </w:r>
      <w:r w:rsidR="00104EBF" w:rsidRPr="00577593">
        <w:rPr>
          <w:rFonts w:ascii="Times New Roman" w:hAnsi="Times New Roman"/>
          <w:sz w:val="28"/>
          <w:szCs w:val="28"/>
        </w:rPr>
        <w:t>.</w:t>
      </w:r>
    </w:p>
    <w:p w:rsidR="00827441" w:rsidRPr="00827441" w:rsidRDefault="00200597" w:rsidP="00827441">
      <w:pPr>
        <w:tabs>
          <w:tab w:val="left" w:pos="9214"/>
        </w:tabs>
        <w:spacing w:after="0" w:line="240" w:lineRule="auto"/>
        <w:ind w:right="-30" w:firstLine="142"/>
        <w:jc w:val="center"/>
        <w:rPr>
          <w:rFonts w:ascii="Times New Roman" w:hAnsi="Times New Roman"/>
          <w:sz w:val="28"/>
          <w:szCs w:val="28"/>
        </w:rPr>
      </w:pPr>
      <w:r>
        <w:rPr>
          <w:rFonts w:ascii="Times New Roman" w:hAnsi="Times New Roman"/>
          <w:noProof/>
          <w:sz w:val="24"/>
          <w:szCs w:val="24"/>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9pt;height:205pt">
            <v:imagedata r:id="rId8" o:title="" croptop="-3281f" cropbottom="-3357f" cropleft="-807f" cropright="-2039f"/>
            <o:lock v:ext="edit" aspectratio="f"/>
          </v:shape>
        </w:pict>
      </w:r>
      <w:bookmarkStart w:id="11" w:name="_Ref199376600"/>
      <w:r w:rsidR="008925FA" w:rsidRPr="00827441">
        <w:rPr>
          <w:rFonts w:ascii="Times New Roman" w:hAnsi="Times New Roman"/>
          <w:sz w:val="28"/>
          <w:szCs w:val="28"/>
        </w:rPr>
        <w:t xml:space="preserve">Рисунок </w:t>
      </w:r>
      <w:r w:rsidR="00074AE5" w:rsidRPr="00827441">
        <w:rPr>
          <w:rFonts w:ascii="Times New Roman" w:hAnsi="Times New Roman"/>
          <w:sz w:val="28"/>
          <w:szCs w:val="28"/>
        </w:rPr>
        <w:fldChar w:fldCharType="begin"/>
      </w:r>
      <w:r w:rsidR="008925FA" w:rsidRPr="00827441">
        <w:rPr>
          <w:rFonts w:ascii="Times New Roman" w:hAnsi="Times New Roman"/>
          <w:sz w:val="28"/>
          <w:szCs w:val="28"/>
        </w:rPr>
        <w:instrText xml:space="preserve"> SEQ Рисунок \* ARABIC </w:instrText>
      </w:r>
      <w:r w:rsidR="00074AE5" w:rsidRPr="00827441">
        <w:rPr>
          <w:rFonts w:ascii="Times New Roman" w:hAnsi="Times New Roman"/>
          <w:sz w:val="28"/>
          <w:szCs w:val="28"/>
        </w:rPr>
        <w:fldChar w:fldCharType="separate"/>
      </w:r>
      <w:r w:rsidR="00071499">
        <w:rPr>
          <w:rFonts w:ascii="Times New Roman" w:hAnsi="Times New Roman"/>
          <w:noProof/>
          <w:sz w:val="28"/>
          <w:szCs w:val="28"/>
        </w:rPr>
        <w:t>1</w:t>
      </w:r>
      <w:r w:rsidR="00074AE5" w:rsidRPr="00827441">
        <w:rPr>
          <w:rFonts w:ascii="Times New Roman" w:hAnsi="Times New Roman"/>
          <w:sz w:val="28"/>
          <w:szCs w:val="28"/>
        </w:rPr>
        <w:fldChar w:fldCharType="end"/>
      </w:r>
      <w:bookmarkEnd w:id="11"/>
      <w:r w:rsidR="008925FA" w:rsidRPr="00827441">
        <w:rPr>
          <w:rFonts w:ascii="Times New Roman" w:hAnsi="Times New Roman"/>
          <w:sz w:val="28"/>
          <w:szCs w:val="28"/>
        </w:rPr>
        <w:t xml:space="preserve"> </w:t>
      </w:r>
      <w:r w:rsidR="005D340D" w:rsidRPr="00827441">
        <w:rPr>
          <w:rFonts w:ascii="Times New Roman" w:hAnsi="Times New Roman"/>
          <w:sz w:val="28"/>
          <w:szCs w:val="28"/>
        </w:rPr>
        <w:t>–</w:t>
      </w:r>
      <w:r w:rsidR="008925FA" w:rsidRPr="00827441">
        <w:rPr>
          <w:rFonts w:ascii="Times New Roman" w:hAnsi="Times New Roman"/>
          <w:sz w:val="28"/>
          <w:szCs w:val="28"/>
        </w:rPr>
        <w:t xml:space="preserve"> Численность населения городского округа </w:t>
      </w:r>
      <w:r w:rsidR="00E34E37" w:rsidRPr="00827441">
        <w:rPr>
          <w:rFonts w:ascii="Times New Roman" w:hAnsi="Times New Roman"/>
          <w:sz w:val="28"/>
          <w:szCs w:val="28"/>
        </w:rPr>
        <w:t>–</w:t>
      </w:r>
      <w:r w:rsidR="008925FA" w:rsidRPr="00827441">
        <w:rPr>
          <w:rFonts w:ascii="Times New Roman" w:hAnsi="Times New Roman"/>
          <w:sz w:val="28"/>
          <w:szCs w:val="28"/>
        </w:rPr>
        <w:t xml:space="preserve"> города</w:t>
      </w:r>
      <w:r w:rsidR="00110080" w:rsidRPr="00827441">
        <w:rPr>
          <w:rFonts w:ascii="Times New Roman" w:hAnsi="Times New Roman"/>
          <w:sz w:val="28"/>
          <w:szCs w:val="28"/>
        </w:rPr>
        <w:t xml:space="preserve"> Барнаула </w:t>
      </w:r>
      <w:r w:rsidR="00827441">
        <w:rPr>
          <w:rFonts w:ascii="Times New Roman" w:hAnsi="Times New Roman"/>
          <w:sz w:val="28"/>
          <w:szCs w:val="28"/>
        </w:rPr>
        <w:br/>
      </w:r>
      <w:r w:rsidR="00110080" w:rsidRPr="00827441">
        <w:rPr>
          <w:rFonts w:ascii="Times New Roman" w:hAnsi="Times New Roman"/>
          <w:sz w:val="28"/>
          <w:szCs w:val="28"/>
        </w:rPr>
        <w:t>в 2013</w:t>
      </w:r>
      <w:r w:rsidR="00E34E37" w:rsidRPr="00827441">
        <w:rPr>
          <w:rFonts w:ascii="Times New Roman" w:hAnsi="Times New Roman"/>
          <w:sz w:val="28"/>
          <w:szCs w:val="28"/>
        </w:rPr>
        <w:t>-2025 годы</w:t>
      </w:r>
      <w:r w:rsidR="00110080" w:rsidRPr="00827441">
        <w:rPr>
          <w:rFonts w:ascii="Times New Roman" w:hAnsi="Times New Roman"/>
          <w:sz w:val="28"/>
          <w:szCs w:val="28"/>
        </w:rPr>
        <w:t>, тысяч</w:t>
      </w:r>
      <w:r w:rsidR="008925FA" w:rsidRPr="00827441">
        <w:rPr>
          <w:rFonts w:ascii="Times New Roman" w:hAnsi="Times New Roman"/>
          <w:sz w:val="28"/>
          <w:szCs w:val="28"/>
        </w:rPr>
        <w:t xml:space="preserve"> человек</w:t>
      </w:r>
      <w:r w:rsidR="00271B5B" w:rsidRPr="00827441">
        <w:rPr>
          <w:rFonts w:ascii="Times New Roman" w:hAnsi="Times New Roman"/>
          <w:sz w:val="28"/>
          <w:szCs w:val="28"/>
        </w:rPr>
        <w:t xml:space="preserve"> на 01.01.</w:t>
      </w:r>
    </w:p>
    <w:p w:rsidR="00FC41F4" w:rsidRPr="00577593" w:rsidRDefault="00827441" w:rsidP="00827441">
      <w:pPr>
        <w:pStyle w:val="aff9"/>
        <w:spacing w:after="0"/>
        <w:ind w:right="-30"/>
        <w:rPr>
          <w:rFonts w:ascii="Times New Roman" w:hAnsi="Times New Roman"/>
          <w:i w:val="0"/>
          <w:color w:val="auto"/>
          <w:sz w:val="28"/>
          <w:szCs w:val="28"/>
        </w:rPr>
      </w:pPr>
      <w:r w:rsidRPr="00827441">
        <w:rPr>
          <w:rFonts w:ascii="Times New Roman" w:hAnsi="Times New Roman"/>
          <w:i w:val="0"/>
          <w:color w:val="auto"/>
          <w:sz w:val="28"/>
          <w:szCs w:val="28"/>
        </w:rPr>
        <w:t>Примечание – Источник: данные Росстата</w:t>
      </w:r>
    </w:p>
    <w:p w:rsidR="00827441" w:rsidRPr="00827441" w:rsidRDefault="00827441" w:rsidP="00827441">
      <w:pPr>
        <w:spacing w:after="0" w:line="240" w:lineRule="auto"/>
        <w:ind w:right="-30" w:firstLine="709"/>
        <w:jc w:val="both"/>
        <w:rPr>
          <w:rFonts w:ascii="Times New Roman" w:hAnsi="Times New Roman"/>
          <w:sz w:val="10"/>
          <w:szCs w:val="10"/>
        </w:rPr>
      </w:pPr>
    </w:p>
    <w:p w:rsidR="00421B79" w:rsidRPr="00577593" w:rsidRDefault="008925FA" w:rsidP="00827441">
      <w:pPr>
        <w:spacing w:after="0" w:line="240" w:lineRule="auto"/>
        <w:ind w:right="-30" w:firstLine="709"/>
        <w:jc w:val="both"/>
        <w:rPr>
          <w:rFonts w:ascii="Times New Roman" w:hAnsi="Times New Roman"/>
          <w:sz w:val="28"/>
          <w:szCs w:val="28"/>
        </w:rPr>
      </w:pPr>
      <w:r w:rsidRPr="00577593">
        <w:rPr>
          <w:rFonts w:ascii="Times New Roman" w:hAnsi="Times New Roman"/>
          <w:sz w:val="28"/>
          <w:szCs w:val="28"/>
        </w:rPr>
        <w:t xml:space="preserve">Миграция оказывает более сильное влияние на изменение численности населения </w:t>
      </w:r>
      <w:r w:rsidR="00C63E0A">
        <w:rPr>
          <w:rFonts w:ascii="Times New Roman" w:hAnsi="Times New Roman"/>
          <w:sz w:val="28"/>
          <w:szCs w:val="28"/>
        </w:rPr>
        <w:t>города</w:t>
      </w:r>
      <w:r w:rsidRPr="00577593">
        <w:rPr>
          <w:rFonts w:ascii="Times New Roman" w:hAnsi="Times New Roman"/>
          <w:sz w:val="28"/>
          <w:szCs w:val="28"/>
        </w:rPr>
        <w:t>, чем естественное движение</w:t>
      </w:r>
      <w:r w:rsidR="00C7436A" w:rsidRPr="00577593">
        <w:rPr>
          <w:rFonts w:ascii="Times New Roman" w:hAnsi="Times New Roman"/>
          <w:sz w:val="28"/>
          <w:szCs w:val="28"/>
        </w:rPr>
        <w:t xml:space="preserve"> вплоть </w:t>
      </w:r>
      <w:r w:rsidR="00827441">
        <w:rPr>
          <w:rFonts w:ascii="Times New Roman" w:hAnsi="Times New Roman"/>
          <w:sz w:val="28"/>
          <w:szCs w:val="28"/>
        </w:rPr>
        <w:br/>
      </w:r>
      <w:r w:rsidR="00C7436A" w:rsidRPr="00577593">
        <w:rPr>
          <w:rFonts w:ascii="Times New Roman" w:hAnsi="Times New Roman"/>
          <w:sz w:val="28"/>
          <w:szCs w:val="28"/>
        </w:rPr>
        <w:t>до 2020 года</w:t>
      </w:r>
      <w:r w:rsidRPr="00577593">
        <w:rPr>
          <w:rFonts w:ascii="Times New Roman" w:hAnsi="Times New Roman"/>
          <w:sz w:val="28"/>
          <w:szCs w:val="28"/>
        </w:rPr>
        <w:t>. С 2018 года смертность превышает рождаемость (</w:t>
      </w:r>
      <w:r w:rsidR="00D558A5">
        <w:fldChar w:fldCharType="begin"/>
      </w:r>
      <w:r w:rsidR="00D558A5">
        <w:instrText xml:space="preserve"> REF _Ref199376872 \h  \* MERGEFORMAT </w:instrText>
      </w:r>
      <w:r w:rsidR="00D558A5">
        <w:fldChar w:fldCharType="separate"/>
      </w:r>
      <w:r w:rsidR="00071499" w:rsidRPr="00827441">
        <w:rPr>
          <w:rFonts w:ascii="Times New Roman" w:hAnsi="Times New Roman"/>
          <w:sz w:val="28"/>
          <w:szCs w:val="28"/>
        </w:rPr>
        <w:t xml:space="preserve">Рисунок </w:t>
      </w:r>
      <w:r w:rsidR="00071499">
        <w:rPr>
          <w:rFonts w:ascii="Times New Roman" w:hAnsi="Times New Roman"/>
          <w:sz w:val="28"/>
          <w:szCs w:val="28"/>
        </w:rPr>
        <w:t>2</w:t>
      </w:r>
      <w:r w:rsidR="00D558A5">
        <w:fldChar w:fldCharType="end"/>
      </w:r>
      <w:r w:rsidRPr="00577593">
        <w:rPr>
          <w:rFonts w:ascii="Times New Roman" w:hAnsi="Times New Roman"/>
          <w:sz w:val="28"/>
          <w:szCs w:val="28"/>
        </w:rPr>
        <w:t>).</w:t>
      </w:r>
    </w:p>
    <w:p w:rsidR="00827441" w:rsidRPr="00827441" w:rsidRDefault="00200597" w:rsidP="00827441">
      <w:pPr>
        <w:spacing w:after="0" w:line="240" w:lineRule="auto"/>
        <w:ind w:firstLine="142"/>
        <w:jc w:val="center"/>
        <w:rPr>
          <w:rFonts w:ascii="Times New Roman" w:hAnsi="Times New Roman"/>
          <w:sz w:val="28"/>
          <w:szCs w:val="28"/>
        </w:rPr>
      </w:pPr>
      <w:r>
        <w:rPr>
          <w:rFonts w:ascii="Times New Roman" w:hAnsi="Times New Roman"/>
          <w:sz w:val="28"/>
          <w:szCs w:val="28"/>
        </w:rPr>
        <w:lastRenderedPageBreak/>
        <w:pict>
          <v:shape id="_x0000_i1026" type="#_x0000_t75" style="width:454pt;height:157pt">
            <v:imagedata r:id="rId9" o:title="" croptop="-3198f" cropbottom="-3825f" cropleft="-699f" cropright="-1849f"/>
            <o:lock v:ext="edit" aspectratio="f"/>
          </v:shape>
        </w:pict>
      </w:r>
      <w:bookmarkStart w:id="12" w:name="_Ref199376872"/>
      <w:r w:rsidR="008925FA" w:rsidRPr="00827441">
        <w:rPr>
          <w:rFonts w:ascii="Times New Roman" w:hAnsi="Times New Roman"/>
          <w:sz w:val="28"/>
          <w:szCs w:val="28"/>
        </w:rPr>
        <w:t xml:space="preserve">Рисунок </w:t>
      </w:r>
      <w:r w:rsidR="00074AE5" w:rsidRPr="00827441">
        <w:rPr>
          <w:rFonts w:ascii="Times New Roman" w:hAnsi="Times New Roman"/>
          <w:sz w:val="28"/>
          <w:szCs w:val="28"/>
        </w:rPr>
        <w:fldChar w:fldCharType="begin"/>
      </w:r>
      <w:r w:rsidR="008925FA" w:rsidRPr="00827441">
        <w:rPr>
          <w:rFonts w:ascii="Times New Roman" w:hAnsi="Times New Roman"/>
          <w:sz w:val="28"/>
          <w:szCs w:val="28"/>
        </w:rPr>
        <w:instrText xml:space="preserve"> SEQ Рисунок \* ARABIC </w:instrText>
      </w:r>
      <w:r w:rsidR="00074AE5" w:rsidRPr="00827441">
        <w:rPr>
          <w:rFonts w:ascii="Times New Roman" w:hAnsi="Times New Roman"/>
          <w:sz w:val="28"/>
          <w:szCs w:val="28"/>
        </w:rPr>
        <w:fldChar w:fldCharType="separate"/>
      </w:r>
      <w:r w:rsidR="00071499">
        <w:rPr>
          <w:rFonts w:ascii="Times New Roman" w:hAnsi="Times New Roman"/>
          <w:noProof/>
          <w:sz w:val="28"/>
          <w:szCs w:val="28"/>
        </w:rPr>
        <w:t>2</w:t>
      </w:r>
      <w:r w:rsidR="00074AE5" w:rsidRPr="00827441">
        <w:rPr>
          <w:rFonts w:ascii="Times New Roman" w:hAnsi="Times New Roman"/>
          <w:sz w:val="28"/>
          <w:szCs w:val="28"/>
        </w:rPr>
        <w:fldChar w:fldCharType="end"/>
      </w:r>
      <w:bookmarkEnd w:id="12"/>
      <w:r w:rsidR="008925FA" w:rsidRPr="00827441">
        <w:rPr>
          <w:rFonts w:ascii="Times New Roman" w:hAnsi="Times New Roman"/>
          <w:sz w:val="28"/>
          <w:szCs w:val="28"/>
        </w:rPr>
        <w:t xml:space="preserve"> </w:t>
      </w:r>
      <w:r w:rsidR="005D340D" w:rsidRPr="00827441">
        <w:rPr>
          <w:rFonts w:ascii="Times New Roman" w:hAnsi="Times New Roman"/>
          <w:sz w:val="28"/>
          <w:szCs w:val="28"/>
        </w:rPr>
        <w:t>–</w:t>
      </w:r>
      <w:r w:rsidR="008925FA" w:rsidRPr="00827441">
        <w:rPr>
          <w:rFonts w:ascii="Times New Roman" w:hAnsi="Times New Roman"/>
          <w:sz w:val="28"/>
          <w:szCs w:val="28"/>
        </w:rPr>
        <w:t xml:space="preserve"> Естественное и миграционное движение населения </w:t>
      </w:r>
      <w:r w:rsidR="00D678EE" w:rsidRPr="00827441">
        <w:rPr>
          <w:rFonts w:ascii="Times New Roman" w:hAnsi="Times New Roman"/>
          <w:sz w:val="28"/>
          <w:szCs w:val="28"/>
        </w:rPr>
        <w:br/>
      </w:r>
      <w:r w:rsidR="000F76C4" w:rsidRPr="00827441">
        <w:rPr>
          <w:rFonts w:ascii="Times New Roman" w:hAnsi="Times New Roman"/>
          <w:sz w:val="28"/>
          <w:szCs w:val="28"/>
        </w:rPr>
        <w:t>г</w:t>
      </w:r>
      <w:r w:rsidR="00D678EE" w:rsidRPr="00827441">
        <w:rPr>
          <w:rFonts w:ascii="Times New Roman" w:hAnsi="Times New Roman"/>
          <w:sz w:val="28"/>
          <w:szCs w:val="28"/>
        </w:rPr>
        <w:t>орода</w:t>
      </w:r>
      <w:r w:rsidR="000F76C4" w:rsidRPr="00827441">
        <w:rPr>
          <w:rFonts w:ascii="Times New Roman" w:hAnsi="Times New Roman"/>
          <w:sz w:val="28"/>
          <w:szCs w:val="28"/>
        </w:rPr>
        <w:t xml:space="preserve"> </w:t>
      </w:r>
      <w:r w:rsidR="008925FA" w:rsidRPr="00827441">
        <w:rPr>
          <w:rFonts w:ascii="Times New Roman" w:hAnsi="Times New Roman"/>
          <w:sz w:val="28"/>
          <w:szCs w:val="28"/>
        </w:rPr>
        <w:t>Барнаула в 201</w:t>
      </w:r>
      <w:r w:rsidR="008021F0" w:rsidRPr="00827441">
        <w:rPr>
          <w:rFonts w:ascii="Times New Roman" w:hAnsi="Times New Roman"/>
          <w:sz w:val="28"/>
          <w:szCs w:val="28"/>
        </w:rPr>
        <w:t>2-2024 гг., человек</w:t>
      </w:r>
    </w:p>
    <w:p w:rsidR="00827441" w:rsidRDefault="00827441" w:rsidP="00827441">
      <w:pPr>
        <w:pStyle w:val="aff9"/>
        <w:spacing w:after="0"/>
        <w:rPr>
          <w:rFonts w:ascii="Times New Roman" w:hAnsi="Times New Roman"/>
          <w:i w:val="0"/>
          <w:iCs w:val="0"/>
          <w:color w:val="auto"/>
          <w:sz w:val="28"/>
          <w:szCs w:val="28"/>
        </w:rPr>
      </w:pPr>
      <w:r w:rsidRPr="00827441">
        <w:rPr>
          <w:rFonts w:ascii="Times New Roman" w:hAnsi="Times New Roman"/>
          <w:i w:val="0"/>
          <w:iCs w:val="0"/>
          <w:color w:val="auto"/>
          <w:sz w:val="28"/>
          <w:szCs w:val="28"/>
        </w:rPr>
        <w:t>Примечание – Источник: данные Росстата. Данные по миграции за 2024 год приведены за 1-е полугодие</w:t>
      </w:r>
    </w:p>
    <w:p w:rsidR="00827441" w:rsidRPr="00827441" w:rsidRDefault="00827441" w:rsidP="00827441">
      <w:pPr>
        <w:pStyle w:val="aff9"/>
        <w:spacing w:after="0"/>
        <w:rPr>
          <w:rFonts w:ascii="Times New Roman" w:hAnsi="Times New Roman"/>
          <w:i w:val="0"/>
          <w:iCs w:val="0"/>
          <w:color w:val="auto"/>
          <w:sz w:val="20"/>
          <w:szCs w:val="20"/>
        </w:rPr>
      </w:pPr>
      <w:r w:rsidRPr="00827441">
        <w:rPr>
          <w:rFonts w:ascii="Times New Roman" w:hAnsi="Times New Roman"/>
          <w:i w:val="0"/>
          <w:iCs w:val="0"/>
          <w:color w:val="auto"/>
          <w:sz w:val="10"/>
          <w:szCs w:val="10"/>
        </w:rPr>
        <w:t xml:space="preserve"> </w:t>
      </w:r>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Доля населения </w:t>
      </w:r>
      <w:r w:rsidR="00827441">
        <w:rPr>
          <w:rFonts w:ascii="Times New Roman" w:hAnsi="Times New Roman"/>
          <w:sz w:val="28"/>
          <w:szCs w:val="28"/>
        </w:rPr>
        <w:t xml:space="preserve">города </w:t>
      </w:r>
      <w:r w:rsidRPr="00577593">
        <w:rPr>
          <w:rFonts w:ascii="Times New Roman" w:hAnsi="Times New Roman"/>
          <w:sz w:val="28"/>
          <w:szCs w:val="28"/>
        </w:rPr>
        <w:t xml:space="preserve">Барнаула в Алтайском крае увеличилась с </w:t>
      </w:r>
      <w:r w:rsidR="00AE4287" w:rsidRPr="00577593">
        <w:rPr>
          <w:rFonts w:ascii="Times New Roman" w:hAnsi="Times New Roman"/>
          <w:sz w:val="28"/>
          <w:szCs w:val="28"/>
        </w:rPr>
        <w:t>28,8</w:t>
      </w:r>
      <w:r w:rsidRPr="00577593">
        <w:rPr>
          <w:rFonts w:ascii="Times New Roman" w:hAnsi="Times New Roman"/>
          <w:sz w:val="28"/>
          <w:szCs w:val="28"/>
        </w:rPr>
        <w:t xml:space="preserve">% </w:t>
      </w:r>
      <w:r w:rsidR="00AE4287" w:rsidRPr="00577593">
        <w:rPr>
          <w:rFonts w:ascii="Times New Roman" w:hAnsi="Times New Roman"/>
          <w:sz w:val="28"/>
          <w:szCs w:val="28"/>
        </w:rPr>
        <w:t>на 01.01.2023</w:t>
      </w:r>
      <w:r w:rsidRPr="00577593">
        <w:rPr>
          <w:rFonts w:ascii="Times New Roman" w:hAnsi="Times New Roman"/>
          <w:sz w:val="28"/>
          <w:szCs w:val="28"/>
        </w:rPr>
        <w:t xml:space="preserve"> до 33% </w:t>
      </w:r>
      <w:r w:rsidR="004A200B" w:rsidRPr="00577593">
        <w:rPr>
          <w:rFonts w:ascii="Times New Roman" w:hAnsi="Times New Roman"/>
          <w:sz w:val="28"/>
          <w:szCs w:val="28"/>
        </w:rPr>
        <w:t xml:space="preserve">на </w:t>
      </w:r>
      <w:r w:rsidR="00AE4287" w:rsidRPr="00577593">
        <w:rPr>
          <w:rFonts w:ascii="Times New Roman" w:hAnsi="Times New Roman"/>
          <w:sz w:val="28"/>
          <w:szCs w:val="28"/>
        </w:rPr>
        <w:t>01.01.2025</w:t>
      </w:r>
      <w:r w:rsidRPr="00577593">
        <w:rPr>
          <w:rFonts w:ascii="Times New Roman" w:hAnsi="Times New Roman"/>
          <w:sz w:val="28"/>
          <w:szCs w:val="28"/>
        </w:rPr>
        <w:t>.</w:t>
      </w:r>
    </w:p>
    <w:p w:rsidR="00D75BCA" w:rsidRPr="00577593" w:rsidRDefault="008925FA" w:rsidP="008D738C">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Плотность населения городского округа </w:t>
      </w:r>
      <w:r w:rsidR="00E34E37" w:rsidRPr="00577593">
        <w:rPr>
          <w:rFonts w:ascii="Times New Roman" w:hAnsi="Times New Roman"/>
          <w:sz w:val="28"/>
          <w:szCs w:val="28"/>
        </w:rPr>
        <w:t>–</w:t>
      </w:r>
      <w:r w:rsidRPr="00577593">
        <w:rPr>
          <w:rFonts w:ascii="Times New Roman" w:hAnsi="Times New Roman"/>
          <w:sz w:val="28"/>
          <w:szCs w:val="28"/>
        </w:rPr>
        <w:t xml:space="preserve"> </w:t>
      </w:r>
      <w:r w:rsidR="004A200B" w:rsidRPr="00577593">
        <w:rPr>
          <w:rFonts w:ascii="Times New Roman" w:hAnsi="Times New Roman"/>
          <w:sz w:val="28"/>
          <w:szCs w:val="28"/>
        </w:rPr>
        <w:t>732,8</w:t>
      </w:r>
      <w:r w:rsidRPr="00577593">
        <w:rPr>
          <w:rFonts w:ascii="Times New Roman" w:hAnsi="Times New Roman"/>
          <w:sz w:val="28"/>
          <w:szCs w:val="28"/>
        </w:rPr>
        <w:t xml:space="preserve"> чел./кв. км.</w:t>
      </w:r>
    </w:p>
    <w:p w:rsidR="00FC41F4" w:rsidRPr="00577593" w:rsidRDefault="00271B5B" w:rsidP="008D738C">
      <w:pPr>
        <w:spacing w:after="0" w:line="240" w:lineRule="auto"/>
        <w:ind w:firstLine="709"/>
        <w:jc w:val="both"/>
        <w:rPr>
          <w:rFonts w:ascii="Times New Roman" w:hAnsi="Times New Roman"/>
          <w:b/>
          <w:sz w:val="28"/>
          <w:szCs w:val="28"/>
        </w:rPr>
      </w:pPr>
      <w:r w:rsidRPr="00577593">
        <w:rPr>
          <w:rFonts w:ascii="Times New Roman" w:hAnsi="Times New Roman"/>
          <w:b/>
          <w:sz w:val="28"/>
          <w:szCs w:val="28"/>
        </w:rPr>
        <w:t xml:space="preserve">2.3.2. </w:t>
      </w:r>
      <w:r w:rsidR="008925FA" w:rsidRPr="00577593">
        <w:rPr>
          <w:rFonts w:ascii="Times New Roman" w:hAnsi="Times New Roman"/>
          <w:b/>
          <w:sz w:val="28"/>
          <w:szCs w:val="28"/>
        </w:rPr>
        <w:t xml:space="preserve">Структура населения </w:t>
      </w:r>
      <w:r w:rsidR="00C63E0A">
        <w:rPr>
          <w:rFonts w:ascii="Times New Roman" w:hAnsi="Times New Roman"/>
          <w:b/>
          <w:sz w:val="28"/>
          <w:szCs w:val="28"/>
        </w:rPr>
        <w:t xml:space="preserve">города </w:t>
      </w:r>
      <w:r w:rsidR="008925FA" w:rsidRPr="00577593">
        <w:rPr>
          <w:rFonts w:ascii="Times New Roman" w:hAnsi="Times New Roman"/>
          <w:b/>
          <w:sz w:val="28"/>
          <w:szCs w:val="28"/>
        </w:rPr>
        <w:t>Барнаула</w:t>
      </w:r>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Возрастно-половая структура населения </w:t>
      </w:r>
      <w:r w:rsidR="00C63E0A">
        <w:rPr>
          <w:rFonts w:ascii="Times New Roman" w:hAnsi="Times New Roman"/>
          <w:sz w:val="28"/>
          <w:szCs w:val="28"/>
        </w:rPr>
        <w:t xml:space="preserve">города </w:t>
      </w:r>
      <w:r w:rsidRPr="00577593">
        <w:rPr>
          <w:rFonts w:ascii="Times New Roman" w:hAnsi="Times New Roman"/>
          <w:sz w:val="28"/>
          <w:szCs w:val="28"/>
        </w:rPr>
        <w:t xml:space="preserve">Барнаула характеризуется демографическими «волнами», свойственными всему населению </w:t>
      </w:r>
      <w:r w:rsidR="00CE13E1">
        <w:rPr>
          <w:rFonts w:ascii="Times New Roman" w:hAnsi="Times New Roman"/>
          <w:sz w:val="28"/>
          <w:szCs w:val="28"/>
        </w:rPr>
        <w:t>Российской Федерации</w:t>
      </w:r>
      <w:r w:rsidRPr="00577593">
        <w:rPr>
          <w:rFonts w:ascii="Times New Roman" w:hAnsi="Times New Roman"/>
          <w:sz w:val="28"/>
          <w:szCs w:val="28"/>
        </w:rPr>
        <w:t>: бол</w:t>
      </w:r>
      <w:r w:rsidR="00E34E37" w:rsidRPr="00577593">
        <w:rPr>
          <w:rFonts w:ascii="Times New Roman" w:hAnsi="Times New Roman"/>
          <w:sz w:val="28"/>
          <w:szCs w:val="28"/>
        </w:rPr>
        <w:t xml:space="preserve">ее многочисленные поколения </w:t>
      </w:r>
      <w:r w:rsidR="00827441">
        <w:rPr>
          <w:rFonts w:ascii="Times New Roman" w:hAnsi="Times New Roman"/>
          <w:sz w:val="28"/>
          <w:szCs w:val="28"/>
        </w:rPr>
        <w:br/>
      </w:r>
      <w:r w:rsidR="00E34E37" w:rsidRPr="00577593">
        <w:rPr>
          <w:rFonts w:ascii="Times New Roman" w:hAnsi="Times New Roman"/>
          <w:sz w:val="28"/>
          <w:szCs w:val="28"/>
        </w:rPr>
        <w:t>(30-44 года и их дети возрастом 5-</w:t>
      </w:r>
      <w:r w:rsidRPr="00577593">
        <w:rPr>
          <w:rFonts w:ascii="Times New Roman" w:hAnsi="Times New Roman"/>
          <w:sz w:val="28"/>
          <w:szCs w:val="28"/>
        </w:rPr>
        <w:t>19 лет) чередуются с мал</w:t>
      </w:r>
      <w:r w:rsidR="00E34E37" w:rsidRPr="00577593">
        <w:rPr>
          <w:rFonts w:ascii="Times New Roman" w:hAnsi="Times New Roman"/>
          <w:sz w:val="28"/>
          <w:szCs w:val="28"/>
        </w:rPr>
        <w:t xml:space="preserve">очисленным </w:t>
      </w:r>
      <w:r w:rsidR="00827441">
        <w:rPr>
          <w:rFonts w:ascii="Times New Roman" w:hAnsi="Times New Roman"/>
          <w:sz w:val="28"/>
          <w:szCs w:val="28"/>
        </w:rPr>
        <w:br/>
      </w:r>
      <w:r w:rsidR="00E34E37" w:rsidRPr="00577593">
        <w:rPr>
          <w:rFonts w:ascii="Times New Roman" w:hAnsi="Times New Roman"/>
          <w:sz w:val="28"/>
          <w:szCs w:val="28"/>
        </w:rPr>
        <w:t>(20-</w:t>
      </w:r>
      <w:r w:rsidRPr="00577593">
        <w:rPr>
          <w:rFonts w:ascii="Times New Roman" w:hAnsi="Times New Roman"/>
          <w:sz w:val="28"/>
          <w:szCs w:val="28"/>
        </w:rPr>
        <w:t>29 лет). Из-за различий в продолжительности жизни в старших возраст</w:t>
      </w:r>
      <w:r w:rsidR="00E34E37" w:rsidRPr="00577593">
        <w:rPr>
          <w:rFonts w:ascii="Times New Roman" w:hAnsi="Times New Roman"/>
          <w:sz w:val="28"/>
          <w:szCs w:val="28"/>
        </w:rPr>
        <w:t>ах преобладают женщины. За 2013-</w:t>
      </w:r>
      <w:r w:rsidRPr="00577593">
        <w:rPr>
          <w:rFonts w:ascii="Times New Roman" w:hAnsi="Times New Roman"/>
          <w:sz w:val="28"/>
          <w:szCs w:val="28"/>
        </w:rPr>
        <w:t>2023 г</w:t>
      </w:r>
      <w:r w:rsidR="00E34E37" w:rsidRPr="00577593">
        <w:rPr>
          <w:rFonts w:ascii="Times New Roman" w:hAnsi="Times New Roman"/>
          <w:sz w:val="28"/>
          <w:szCs w:val="28"/>
        </w:rPr>
        <w:t>оды</w:t>
      </w:r>
      <w:r w:rsidRPr="00577593">
        <w:rPr>
          <w:rFonts w:ascii="Times New Roman" w:hAnsi="Times New Roman"/>
          <w:sz w:val="28"/>
          <w:szCs w:val="28"/>
        </w:rPr>
        <w:t xml:space="preserve"> увеличилась доля </w:t>
      </w:r>
      <w:r w:rsidR="00827441">
        <w:rPr>
          <w:rFonts w:ascii="Times New Roman" w:hAnsi="Times New Roman"/>
          <w:sz w:val="28"/>
          <w:szCs w:val="28"/>
        </w:rPr>
        <w:br/>
      </w:r>
      <w:r w:rsidR="00E34E37" w:rsidRPr="00577593">
        <w:rPr>
          <w:rFonts w:ascii="Times New Roman" w:hAnsi="Times New Roman"/>
          <w:sz w:val="28"/>
          <w:szCs w:val="28"/>
        </w:rPr>
        <w:t>в структуре населения граждан 5-</w:t>
      </w:r>
      <w:r w:rsidRPr="00577593">
        <w:rPr>
          <w:rFonts w:ascii="Times New Roman" w:hAnsi="Times New Roman"/>
          <w:sz w:val="28"/>
          <w:szCs w:val="28"/>
        </w:rPr>
        <w:t xml:space="preserve">19 лет, а также жителей 60 лет и старше. Сократилась доля детей до 4 лет и молодежи </w:t>
      </w:r>
      <w:r w:rsidR="00E34E37" w:rsidRPr="00577593">
        <w:rPr>
          <w:rFonts w:ascii="Times New Roman" w:hAnsi="Times New Roman"/>
          <w:sz w:val="28"/>
          <w:szCs w:val="28"/>
        </w:rPr>
        <w:t xml:space="preserve">20-29 лет, а также граждан </w:t>
      </w:r>
      <w:r w:rsidR="00827441">
        <w:rPr>
          <w:rFonts w:ascii="Times New Roman" w:hAnsi="Times New Roman"/>
          <w:sz w:val="28"/>
          <w:szCs w:val="28"/>
        </w:rPr>
        <w:br/>
      </w:r>
      <w:r w:rsidR="00E34E37" w:rsidRPr="00577593">
        <w:rPr>
          <w:rFonts w:ascii="Times New Roman" w:hAnsi="Times New Roman"/>
          <w:sz w:val="28"/>
          <w:szCs w:val="28"/>
        </w:rPr>
        <w:t>50-</w:t>
      </w:r>
      <w:r w:rsidRPr="00577593">
        <w:rPr>
          <w:rFonts w:ascii="Times New Roman" w:hAnsi="Times New Roman"/>
          <w:sz w:val="28"/>
          <w:szCs w:val="28"/>
        </w:rPr>
        <w:t>59 лет (</w:t>
      </w:r>
      <w:r w:rsidR="00D558A5">
        <w:fldChar w:fldCharType="begin"/>
      </w:r>
      <w:r w:rsidR="00D558A5">
        <w:instrText xml:space="preserve"> REF _Ref199377027 \h  \* MERGEFORMAT </w:instrText>
      </w:r>
      <w:r w:rsidR="00D558A5">
        <w:fldChar w:fldCharType="separate"/>
      </w:r>
      <w:r w:rsidR="00071499" w:rsidRPr="00071499">
        <w:rPr>
          <w:rFonts w:ascii="Times New Roman" w:hAnsi="Times New Roman"/>
          <w:sz w:val="28"/>
          <w:szCs w:val="28"/>
        </w:rPr>
        <w:t>Рисунок 3</w:t>
      </w:r>
      <w:r w:rsidR="00D558A5">
        <w:fldChar w:fldCharType="end"/>
      </w:r>
      <w:r w:rsidRPr="00577593">
        <w:rPr>
          <w:rFonts w:ascii="Times New Roman" w:hAnsi="Times New Roman"/>
          <w:sz w:val="28"/>
          <w:szCs w:val="28"/>
        </w:rPr>
        <w:t>).</w:t>
      </w:r>
    </w:p>
    <w:p w:rsidR="00FC41F4" w:rsidRPr="00577593" w:rsidRDefault="00200597" w:rsidP="002000D4">
      <w:pPr>
        <w:pStyle w:val="ConsPlusNormal"/>
        <w:jc w:val="both"/>
        <w:rPr>
          <w:rFonts w:ascii="Times New Roman" w:hAnsi="Times New Roman" w:cs="Times New Roman"/>
        </w:rPr>
      </w:pPr>
      <w:r>
        <w:rPr>
          <w:rFonts w:ascii="Times New Roman" w:hAnsi="Times New Roman" w:cs="Times New Roman"/>
          <w:noProof/>
        </w:rPr>
        <w:pict>
          <v:shapetype id="_x0000_t202" coordsize="21600,21600" o:spt="202" path="m,l,21600r21600,l21600,xe">
            <v:stroke joinstyle="miter"/>
            <v:path gradientshapeok="t" o:connecttype="rect"/>
          </v:shapetype>
          <v:shape id="TextBox 48" o:spid="_x0000_s1026" type="#_x0000_t202" style="position:absolute;left:0;text-align:left;margin-left:300.55pt;margin-top:142.7pt;width:141.65pt;height:34.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" filled="f" stroked="f">
            <v:path arrowok="t"/>
            <v:textbox style="mso-fit-shape-to-text:t" inset="0,,0">
              <w:txbxContent>
                <w:p w:rsidR="00200597" w:rsidRPr="00AE5791" w:rsidRDefault="00200597">
                  <w:pPr>
                    <w:pStyle w:val="affa"/>
                    <w:spacing w:before="0" w:beforeAutospacing="0" w:after="0" w:afterAutospacing="0"/>
                    <w:rPr>
                      <w:rFonts w:ascii="PT Astra Serif" w:hAnsi="PT Astra Serif"/>
                    </w:rPr>
                  </w:pPr>
                  <w:r w:rsidRPr="00AE5791">
                    <w:rPr>
                      <w:rFonts w:ascii="PT Astra Serif" w:hAnsi="PT Astra Serif"/>
                      <w:color w:val="000000"/>
                      <w:sz w:val="16"/>
                      <w:szCs w:val="16"/>
                    </w:rPr>
                    <w:t xml:space="preserve">Превышение доли мужчин/женщин </w:t>
                  </w:r>
                </w:p>
                <w:p w:rsidR="00200597" w:rsidRPr="00AE5791" w:rsidRDefault="00200597">
                  <w:pPr>
                    <w:pStyle w:val="affa"/>
                    <w:spacing w:before="0" w:beforeAutospacing="0" w:after="0" w:afterAutospacing="0"/>
                    <w:rPr>
                      <w:rFonts w:ascii="PT Astra Serif" w:hAnsi="PT Astra Serif"/>
                    </w:rPr>
                  </w:pPr>
                  <w:r w:rsidRPr="00AE5791">
                    <w:rPr>
                      <w:rFonts w:ascii="PT Astra Serif" w:hAnsi="PT Astra Serif"/>
                      <w:color w:val="000000"/>
                      <w:sz w:val="16"/>
                      <w:szCs w:val="16"/>
                    </w:rPr>
                    <w:t>в 2013 году над долей мужчин/женщин в 2024 году</w:t>
                  </w:r>
                </w:p>
              </w:txbxContent>
            </v:textbox>
          </v:shape>
        </w:pict>
      </w:r>
      <w:r>
        <w:rPr>
          <w:rFonts w:ascii="Times New Roman" w:hAnsi="Times New Roman" w:cs="Times New Roman"/>
          <w:noProof/>
        </w:rPr>
        <w:pict>
          <v:rect id="_x0000_s1035" style="position:absolute;left:0;text-align:left;margin-left:300.55pt;margin-top:121.45pt;width:11.45pt;height:12.9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" fillcolor="#d9d9d9" stroked="f">
            <v:path arrowok="t"/>
          </v:rect>
        </w:pict>
      </w:r>
      <w:r>
        <w:rPr>
          <w:rFonts w:ascii="Times New Roman" w:hAnsi="Times New Roman" w:cs="Times New Roman"/>
          <w:noProof/>
        </w:rPr>
        <w:pict>
          <v:shape id="TextBox 46" o:spid="_x0000_s1027" type="#_x0000_t202" style="position:absolute;left:0;text-align:left;margin-left:299.8pt;margin-top:81.7pt;width:141.65pt;height:34.8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" filled="f" stroked="f">
            <v:path arrowok="t"/>
            <v:textbox style="mso-fit-shape-to-text:t" inset="0,,0">
              <w:txbxContent>
                <w:p w:rsidR="00200597" w:rsidRPr="00AE5791" w:rsidRDefault="00200597">
                  <w:pPr>
                    <w:pStyle w:val="affa"/>
                    <w:spacing w:before="0" w:beforeAutospacing="0" w:after="0" w:afterAutospacing="0"/>
                    <w:rPr>
                      <w:rFonts w:ascii="PT Astra Serif" w:hAnsi="PT Astra Serif"/>
                    </w:rPr>
                  </w:pPr>
                  <w:r w:rsidRPr="00AE5791">
                    <w:rPr>
                      <w:rFonts w:ascii="PT Astra Serif" w:hAnsi="PT Astra Serif"/>
                      <w:color w:val="000000"/>
                      <w:sz w:val="16"/>
                      <w:szCs w:val="16"/>
                    </w:rPr>
                    <w:t xml:space="preserve">Превышение доли мужчин/женщин </w:t>
                  </w:r>
                </w:p>
                <w:p w:rsidR="00200597" w:rsidRPr="00AE5791" w:rsidRDefault="00200597">
                  <w:pPr>
                    <w:pStyle w:val="affa"/>
                    <w:spacing w:before="0" w:beforeAutospacing="0" w:after="0" w:afterAutospacing="0"/>
                    <w:rPr>
                      <w:rFonts w:ascii="PT Astra Serif" w:hAnsi="PT Astra Serif"/>
                    </w:rPr>
                  </w:pPr>
                  <w:r w:rsidRPr="00AE5791">
                    <w:rPr>
                      <w:rFonts w:ascii="PT Astra Serif" w:hAnsi="PT Astra Serif"/>
                      <w:color w:val="000000"/>
                      <w:sz w:val="16"/>
                      <w:szCs w:val="16"/>
                    </w:rPr>
                    <w:t>в 2024 году над долей мужчин/женщин в 2013 году</w:t>
                  </w:r>
                </w:p>
              </w:txbxContent>
            </v:textbox>
          </v:shape>
        </w:pict>
      </w:r>
      <w:r>
        <w:rPr>
          <w:rFonts w:ascii="Times New Roman" w:hAnsi="Times New Roman" w:cs="Times New Roman"/>
          <w:noProof/>
        </w:rPr>
        <w:pict>
          <v:rect id="Google Shape;474;p50" o:spid="_x0000_s1034" style="position:absolute;left:0;text-align:left;margin-left:321.15pt;margin-top:61.45pt;width:11.45pt;height:12.9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" fillcolor="#900" stroked="f">
            <v:path arrowok="t"/>
          </v:rect>
        </w:pict>
      </w:r>
      <w:r>
        <w:rPr>
          <w:rFonts w:ascii="Times New Roman" w:hAnsi="Times New Roman" w:cs="Times New Roman"/>
          <w:noProof/>
        </w:rPr>
        <w:pict>
          <v:rect id="Google Shape;473;p50" o:spid="_x0000_s1033" style="position:absolute;left:0;text-align:left;margin-left:299.8pt;margin-top:60.7pt;width:11.45pt;height:12.9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" fillcolor="#376092" stroked="f">
            <v:path arrowok="t"/>
          </v:rect>
        </w:pict>
      </w:r>
      <w:r w:rsidR="000D3F7A" w:rsidRPr="00577593">
        <w:rPr>
          <w:rFonts w:ascii="Times New Roman" w:hAnsi="Times New Roman" w:cs="Times New Roman"/>
          <w:noProof/>
        </w:rPr>
        <w:drawing>
          <wp:inline distT="0" distB="0" distL="0" distR="0">
            <wp:extent cx="3709035" cy="2847340"/>
            <wp:effectExtent l="0" t="0" r="5715" b="10160"/>
            <wp:docPr id="403" name="Диаграмма 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827441" w:rsidRDefault="008925FA" w:rsidP="00751C83">
      <w:pPr>
        <w:pStyle w:val="aff9"/>
        <w:spacing w:after="0"/>
        <w:jc w:val="center"/>
        <w:rPr>
          <w:rFonts w:ascii="Times New Roman" w:hAnsi="Times New Roman"/>
          <w:i w:val="0"/>
          <w:color w:val="auto"/>
          <w:sz w:val="28"/>
          <w:szCs w:val="28"/>
        </w:rPr>
      </w:pPr>
      <w:bookmarkStart w:id="13" w:name="_Ref199377027"/>
      <w:r w:rsidRPr="00577593">
        <w:rPr>
          <w:rFonts w:ascii="Times New Roman" w:hAnsi="Times New Roman"/>
          <w:i w:val="0"/>
          <w:color w:val="auto"/>
          <w:sz w:val="28"/>
          <w:szCs w:val="28"/>
        </w:rPr>
        <w:t xml:space="preserve">Рисунок </w:t>
      </w:r>
      <w:r w:rsidR="00074AE5" w:rsidRPr="00577593">
        <w:rPr>
          <w:rFonts w:ascii="Times New Roman" w:hAnsi="Times New Roman"/>
          <w:i w:val="0"/>
          <w:color w:val="auto"/>
          <w:sz w:val="28"/>
          <w:szCs w:val="28"/>
        </w:rPr>
        <w:fldChar w:fldCharType="begin"/>
      </w:r>
      <w:r w:rsidRPr="00577593">
        <w:rPr>
          <w:rFonts w:ascii="Times New Roman" w:hAnsi="Times New Roman"/>
          <w:i w:val="0"/>
          <w:color w:val="auto"/>
          <w:sz w:val="28"/>
          <w:szCs w:val="28"/>
        </w:rPr>
        <w:instrText xml:space="preserve"> SEQ Рисунок \* ARABIC </w:instrText>
      </w:r>
      <w:r w:rsidR="00074AE5" w:rsidRPr="00577593">
        <w:rPr>
          <w:rFonts w:ascii="Times New Roman" w:hAnsi="Times New Roman"/>
          <w:i w:val="0"/>
          <w:color w:val="auto"/>
          <w:sz w:val="28"/>
          <w:szCs w:val="28"/>
        </w:rPr>
        <w:fldChar w:fldCharType="separate"/>
      </w:r>
      <w:r w:rsidR="00071499">
        <w:rPr>
          <w:rFonts w:ascii="Times New Roman" w:hAnsi="Times New Roman"/>
          <w:i w:val="0"/>
          <w:noProof/>
          <w:color w:val="auto"/>
          <w:sz w:val="28"/>
          <w:szCs w:val="28"/>
        </w:rPr>
        <w:t>3</w:t>
      </w:r>
      <w:r w:rsidR="00074AE5" w:rsidRPr="00577593">
        <w:rPr>
          <w:rFonts w:ascii="Times New Roman" w:hAnsi="Times New Roman"/>
          <w:i w:val="0"/>
          <w:color w:val="auto"/>
          <w:sz w:val="28"/>
          <w:szCs w:val="28"/>
        </w:rPr>
        <w:fldChar w:fldCharType="end"/>
      </w:r>
      <w:bookmarkEnd w:id="13"/>
      <w:r w:rsidRPr="00577593">
        <w:rPr>
          <w:rFonts w:ascii="Times New Roman" w:hAnsi="Times New Roman"/>
          <w:i w:val="0"/>
          <w:color w:val="auto"/>
          <w:sz w:val="28"/>
          <w:szCs w:val="28"/>
        </w:rPr>
        <w:t xml:space="preserve"> </w:t>
      </w:r>
      <w:r w:rsidR="00E34E37" w:rsidRPr="00577593">
        <w:rPr>
          <w:rFonts w:ascii="Times New Roman" w:hAnsi="Times New Roman"/>
          <w:i w:val="0"/>
          <w:color w:val="auto"/>
          <w:sz w:val="28"/>
          <w:szCs w:val="28"/>
        </w:rPr>
        <w:t>–</w:t>
      </w:r>
      <w:r w:rsidRPr="00577593">
        <w:rPr>
          <w:rFonts w:ascii="Times New Roman" w:hAnsi="Times New Roman"/>
          <w:i w:val="0"/>
          <w:color w:val="auto"/>
          <w:sz w:val="28"/>
          <w:szCs w:val="28"/>
        </w:rPr>
        <w:t xml:space="preserve"> Сравнение половозрастной структуры населения </w:t>
      </w:r>
      <w:r w:rsidR="005D340D" w:rsidRPr="00577593">
        <w:rPr>
          <w:rFonts w:ascii="Times New Roman" w:hAnsi="Times New Roman"/>
          <w:i w:val="0"/>
          <w:color w:val="auto"/>
          <w:sz w:val="28"/>
          <w:szCs w:val="28"/>
        </w:rPr>
        <w:br/>
      </w:r>
      <w:r w:rsidR="00D678EE">
        <w:rPr>
          <w:rFonts w:ascii="Times New Roman" w:hAnsi="Times New Roman"/>
          <w:i w:val="0"/>
          <w:color w:val="auto"/>
          <w:sz w:val="28"/>
          <w:szCs w:val="28"/>
        </w:rPr>
        <w:t>города</w:t>
      </w:r>
      <w:r w:rsidR="005D340D" w:rsidRPr="00577593">
        <w:rPr>
          <w:rFonts w:ascii="Times New Roman" w:hAnsi="Times New Roman"/>
          <w:i w:val="0"/>
          <w:color w:val="auto"/>
          <w:sz w:val="28"/>
          <w:szCs w:val="28"/>
        </w:rPr>
        <w:t xml:space="preserve"> Барнаула </w:t>
      </w:r>
      <w:r w:rsidRPr="00577593">
        <w:rPr>
          <w:rFonts w:ascii="Times New Roman" w:hAnsi="Times New Roman"/>
          <w:i w:val="0"/>
          <w:color w:val="auto"/>
          <w:sz w:val="28"/>
          <w:szCs w:val="28"/>
        </w:rPr>
        <w:t>на 01.01.2024 / на 01.01.2013</w:t>
      </w:r>
    </w:p>
    <w:p w:rsidR="00827441" w:rsidRPr="00751C83" w:rsidRDefault="00827441" w:rsidP="00751C83">
      <w:pPr>
        <w:pStyle w:val="aff9"/>
        <w:spacing w:after="0"/>
        <w:rPr>
          <w:rFonts w:ascii="Times New Roman" w:hAnsi="Times New Roman"/>
          <w:i w:val="0"/>
          <w:color w:val="auto"/>
          <w:sz w:val="28"/>
          <w:szCs w:val="28"/>
        </w:rPr>
      </w:pPr>
      <w:r w:rsidRPr="00577593">
        <w:rPr>
          <w:rFonts w:ascii="Times New Roman" w:hAnsi="Times New Roman"/>
          <w:i w:val="0"/>
          <w:color w:val="auto"/>
          <w:sz w:val="28"/>
          <w:szCs w:val="28"/>
        </w:rPr>
        <w:t>Примечание – Источник: данные Росстата</w:t>
      </w:r>
    </w:p>
    <w:p w:rsidR="00FC41F4" w:rsidRPr="00577593" w:rsidRDefault="0016050E" w:rsidP="002000D4">
      <w:pPr>
        <w:pStyle w:val="my-2"/>
        <w:spacing w:before="0" w:beforeAutospacing="0" w:after="0" w:afterAutospacing="0"/>
        <w:ind w:firstLine="709"/>
        <w:jc w:val="both"/>
        <w:rPr>
          <w:rFonts w:eastAsia="SimSun"/>
          <w:sz w:val="28"/>
          <w:szCs w:val="28"/>
          <w:lang w:eastAsia="en-US"/>
        </w:rPr>
      </w:pPr>
      <w:r w:rsidRPr="00577593">
        <w:rPr>
          <w:rFonts w:eastAsia="SimSun"/>
          <w:sz w:val="28"/>
          <w:szCs w:val="28"/>
          <w:lang w:eastAsia="en-US"/>
        </w:rPr>
        <w:lastRenderedPageBreak/>
        <w:t xml:space="preserve">В </w:t>
      </w:r>
      <w:r w:rsidR="00C63E0A">
        <w:rPr>
          <w:rFonts w:eastAsia="SimSun"/>
          <w:sz w:val="28"/>
          <w:szCs w:val="28"/>
          <w:lang w:eastAsia="en-US"/>
        </w:rPr>
        <w:t xml:space="preserve">городе </w:t>
      </w:r>
      <w:r w:rsidRPr="00577593">
        <w:rPr>
          <w:rFonts w:eastAsia="SimSun"/>
          <w:sz w:val="28"/>
          <w:szCs w:val="28"/>
          <w:lang w:eastAsia="en-US"/>
        </w:rPr>
        <w:t xml:space="preserve">Барнауле, по сравнению с Алтайским краем в целом, выше доля </w:t>
      </w:r>
      <w:r w:rsidRPr="00577593">
        <w:rPr>
          <w:sz w:val="28"/>
          <w:szCs w:val="28"/>
        </w:rPr>
        <w:t>молодого населения (20</w:t>
      </w:r>
      <w:r w:rsidR="00E34E37" w:rsidRPr="00577593">
        <w:rPr>
          <w:sz w:val="28"/>
          <w:szCs w:val="28"/>
        </w:rPr>
        <w:t>-</w:t>
      </w:r>
      <w:r w:rsidRPr="00577593">
        <w:rPr>
          <w:sz w:val="28"/>
          <w:szCs w:val="28"/>
        </w:rPr>
        <w:t>39 лет)</w:t>
      </w:r>
      <w:r w:rsidRPr="00577593">
        <w:rPr>
          <w:rFonts w:eastAsia="SimSun"/>
          <w:sz w:val="28"/>
          <w:szCs w:val="28"/>
          <w:lang w:eastAsia="en-US"/>
        </w:rPr>
        <w:t xml:space="preserve">, тогда как доля населения в возрастной группе 40 лет и старше ниже среднекраевых значений (рисунок 4). </w:t>
      </w:r>
    </w:p>
    <w:p w:rsidR="00FC41F4" w:rsidRPr="00577593" w:rsidRDefault="00200597" w:rsidP="002000D4">
      <w:pPr>
        <w:spacing w:after="0" w:line="240" w:lineRule="auto"/>
        <w:jc w:val="both"/>
        <w:rPr>
          <w:rFonts w:ascii="Times New Roman" w:hAnsi="Times New Roman"/>
          <w:sz w:val="24"/>
          <w:szCs w:val="24"/>
        </w:rPr>
      </w:pPr>
      <w:r>
        <w:rPr>
          <w:rFonts w:ascii="Times New Roman" w:hAnsi="Times New Roman"/>
          <w:noProof/>
          <w:lang w:eastAsia="ru-RU"/>
        </w:rPr>
        <w:pict>
          <v:rect id="_x0000_s1032" style="position:absolute;left:0;text-align:left;margin-left:335.7pt;margin-top:78.75pt;width:11.45pt;height:12.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" fillcolor="#376092" stroked="f">
            <v:path arrowok="t"/>
          </v:rect>
        </w:pict>
      </w:r>
      <w:r>
        <w:rPr>
          <w:rFonts w:ascii="Times New Roman" w:hAnsi="Times New Roman"/>
          <w:noProof/>
          <w:lang w:eastAsia="ru-RU"/>
        </w:rPr>
        <w:pict>
          <v:rect id="_x0000_s1031" style="position:absolute;left:0;text-align:left;margin-left:365.3pt;margin-top:78.75pt;width:11.45pt;height:12.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" fillcolor="#900" stroked="f">
            <v:path arrowok="t"/>
          </v:rect>
        </w:pict>
      </w:r>
      <w:r>
        <w:rPr>
          <w:rFonts w:ascii="Times New Roman" w:hAnsi="Times New Roman"/>
          <w:noProof/>
          <w:lang w:eastAsia="ru-RU"/>
        </w:rPr>
        <w:pict>
          <v:shape id="_x0000_s1028" type="#_x0000_t202" style="position:absolute;left:0;text-align:left;margin-left:335.6pt;margin-top:99pt;width:141.65pt;height:48.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" filled="f" stroked="f">
            <v:path arrowok="t"/>
            <v:textbox style="mso-fit-shape-to-text:t" inset="0,,0">
              <w:txbxContent>
                <w:p w:rsidR="00200597" w:rsidRPr="00AE5791" w:rsidRDefault="00200597">
                  <w:pPr>
                    <w:rPr>
                      <w:rFonts w:ascii="PT Astra Serif" w:hAnsi="PT Astra Serif"/>
                    </w:rPr>
                  </w:pPr>
                  <w:r w:rsidRPr="00AE5791">
                    <w:rPr>
                      <w:rFonts w:ascii="PT Astra Serif" w:hAnsi="PT Astra Serif"/>
                      <w:color w:val="000000"/>
                      <w:sz w:val="16"/>
                      <w:szCs w:val="16"/>
                    </w:rPr>
                    <w:t xml:space="preserve">Превышение доли мужчин/женщин </w:t>
                  </w:r>
                  <w:r w:rsidRPr="00AE5791">
                    <w:rPr>
                      <w:rFonts w:ascii="PT Astra Serif" w:hAnsi="PT Astra Serif"/>
                      <w:color w:val="000000"/>
                      <w:sz w:val="16"/>
                      <w:szCs w:val="16"/>
                    </w:rPr>
                    <w:br/>
                    <w:t xml:space="preserve">в Барнауле над долей мужчин/женщин </w:t>
                  </w:r>
                  <w:r w:rsidRPr="00AE5791">
                    <w:rPr>
                      <w:rFonts w:ascii="PT Astra Serif" w:hAnsi="PT Astra Serif"/>
                      <w:color w:val="000000"/>
                      <w:sz w:val="16"/>
                      <w:szCs w:val="16"/>
                    </w:rPr>
                    <w:br/>
                    <w:t>в Алтайском крае</w:t>
                  </w:r>
                </w:p>
              </w:txbxContent>
            </v:textbox>
          </v:shape>
        </w:pict>
      </w:r>
      <w:r>
        <w:rPr>
          <w:rFonts w:ascii="Times New Roman" w:hAnsi="Times New Roman"/>
          <w:noProof/>
          <w:lang w:eastAsia="ru-RU"/>
        </w:rPr>
        <w:pict>
          <v:rect id="_x0000_s1030" style="position:absolute;left:0;text-align:left;margin-left:335.7pt;margin-top:158.25pt;width:11.45pt;height:12.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" fillcolor="#d9d9d9" stroked="f">
            <v:path arrowok="t"/>
          </v:rect>
        </w:pict>
      </w:r>
      <w:r>
        <w:rPr>
          <w:rFonts w:ascii="Times New Roman" w:hAnsi="Times New Roman"/>
          <w:noProof/>
          <w:lang w:eastAsia="ru-RU"/>
        </w:rPr>
        <w:pict>
          <v:shape id="_x0000_s1029" type="#_x0000_t202" style="position:absolute;left:0;text-align:left;margin-left:335.6pt;margin-top:178pt;width:141.65pt;height:48.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" filled="f" stroked="f">
            <v:path arrowok="t"/>
            <v:textbox style="mso-fit-shape-to-text:t" inset="0,,0">
              <w:txbxContent>
                <w:p w:rsidR="00200597" w:rsidRPr="00AE5791" w:rsidRDefault="00200597">
                  <w:pPr>
                    <w:rPr>
                      <w:rFonts w:ascii="PT Astra Serif" w:hAnsi="PT Astra Serif"/>
                    </w:rPr>
                  </w:pPr>
                  <w:r w:rsidRPr="00AE5791">
                    <w:rPr>
                      <w:rFonts w:ascii="PT Astra Serif" w:hAnsi="PT Astra Serif"/>
                      <w:color w:val="000000"/>
                      <w:sz w:val="16"/>
                      <w:szCs w:val="16"/>
                    </w:rPr>
                    <w:t xml:space="preserve">Превышение доли мужчин/женщин </w:t>
                  </w:r>
                  <w:r w:rsidRPr="00AE5791">
                    <w:rPr>
                      <w:rFonts w:ascii="PT Astra Serif" w:hAnsi="PT Astra Serif"/>
                      <w:color w:val="000000"/>
                      <w:sz w:val="16"/>
                      <w:szCs w:val="16"/>
                    </w:rPr>
                    <w:br/>
                    <w:t>в Алтайском крае над долей мужчин/женщин в Барнауле</w:t>
                  </w:r>
                </w:p>
              </w:txbxContent>
            </v:textbox>
          </v:shape>
        </w:pict>
      </w:r>
      <w:r w:rsidR="000D3F7A" w:rsidRPr="00577593">
        <w:rPr>
          <w:rFonts w:ascii="Times New Roman" w:hAnsi="Times New Roman"/>
          <w:noProof/>
          <w:lang w:eastAsia="ru-RU"/>
        </w:rPr>
        <w:drawing>
          <wp:inline distT="0" distB="0" distL="0" distR="0">
            <wp:extent cx="4178935" cy="3038475"/>
            <wp:effectExtent l="0" t="0" r="12065" b="9525"/>
            <wp:docPr id="4" name="Диаграмма 6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FC41F4" w:rsidRDefault="008925FA" w:rsidP="00827441">
      <w:pPr>
        <w:pStyle w:val="aff9"/>
        <w:spacing w:after="0"/>
        <w:jc w:val="center"/>
        <w:rPr>
          <w:rFonts w:ascii="Times New Roman" w:hAnsi="Times New Roman"/>
          <w:i w:val="0"/>
          <w:color w:val="auto"/>
          <w:sz w:val="28"/>
          <w:szCs w:val="28"/>
        </w:rPr>
      </w:pPr>
      <w:bookmarkStart w:id="14" w:name="_Ref199377320"/>
      <w:r w:rsidRPr="00577593">
        <w:rPr>
          <w:rFonts w:ascii="Times New Roman" w:hAnsi="Times New Roman"/>
          <w:i w:val="0"/>
          <w:color w:val="auto"/>
          <w:sz w:val="28"/>
          <w:szCs w:val="28"/>
        </w:rPr>
        <w:t xml:space="preserve">Рисунок </w:t>
      </w:r>
      <w:r w:rsidR="00074AE5" w:rsidRPr="00577593">
        <w:rPr>
          <w:rFonts w:ascii="Times New Roman" w:hAnsi="Times New Roman"/>
          <w:i w:val="0"/>
          <w:color w:val="auto"/>
          <w:sz w:val="28"/>
          <w:szCs w:val="28"/>
        </w:rPr>
        <w:fldChar w:fldCharType="begin"/>
      </w:r>
      <w:r w:rsidRPr="00577593">
        <w:rPr>
          <w:rFonts w:ascii="Times New Roman" w:hAnsi="Times New Roman"/>
          <w:i w:val="0"/>
          <w:color w:val="auto"/>
          <w:sz w:val="28"/>
          <w:szCs w:val="28"/>
        </w:rPr>
        <w:instrText xml:space="preserve"> SEQ Рисунок \* ARABIC </w:instrText>
      </w:r>
      <w:r w:rsidR="00074AE5" w:rsidRPr="00577593">
        <w:rPr>
          <w:rFonts w:ascii="Times New Roman" w:hAnsi="Times New Roman"/>
          <w:i w:val="0"/>
          <w:color w:val="auto"/>
          <w:sz w:val="28"/>
          <w:szCs w:val="28"/>
        </w:rPr>
        <w:fldChar w:fldCharType="separate"/>
      </w:r>
      <w:r w:rsidR="00071499">
        <w:rPr>
          <w:rFonts w:ascii="Times New Roman" w:hAnsi="Times New Roman"/>
          <w:i w:val="0"/>
          <w:noProof/>
          <w:color w:val="auto"/>
          <w:sz w:val="28"/>
          <w:szCs w:val="28"/>
        </w:rPr>
        <w:t>4</w:t>
      </w:r>
      <w:r w:rsidR="00074AE5" w:rsidRPr="00577593">
        <w:rPr>
          <w:rFonts w:ascii="Times New Roman" w:hAnsi="Times New Roman"/>
          <w:i w:val="0"/>
          <w:color w:val="auto"/>
          <w:sz w:val="28"/>
          <w:szCs w:val="28"/>
        </w:rPr>
        <w:fldChar w:fldCharType="end"/>
      </w:r>
      <w:bookmarkEnd w:id="14"/>
      <w:r w:rsidRPr="00577593">
        <w:rPr>
          <w:rFonts w:ascii="Times New Roman" w:hAnsi="Times New Roman"/>
          <w:i w:val="0"/>
          <w:color w:val="auto"/>
          <w:sz w:val="28"/>
          <w:szCs w:val="28"/>
        </w:rPr>
        <w:t xml:space="preserve"> </w:t>
      </w:r>
      <w:r w:rsidR="00E34E37" w:rsidRPr="00577593">
        <w:rPr>
          <w:rFonts w:ascii="Times New Roman" w:hAnsi="Times New Roman"/>
          <w:i w:val="0"/>
          <w:color w:val="auto"/>
          <w:sz w:val="28"/>
          <w:szCs w:val="28"/>
        </w:rPr>
        <w:t>–</w:t>
      </w:r>
      <w:r w:rsidRPr="00577593">
        <w:rPr>
          <w:rFonts w:ascii="Times New Roman" w:hAnsi="Times New Roman"/>
          <w:i w:val="0"/>
          <w:color w:val="auto"/>
          <w:sz w:val="28"/>
          <w:szCs w:val="28"/>
        </w:rPr>
        <w:t xml:space="preserve"> Сравнение половозрастной структуры населения </w:t>
      </w:r>
      <w:r w:rsidR="00D678EE">
        <w:rPr>
          <w:rFonts w:ascii="Times New Roman" w:hAnsi="Times New Roman"/>
          <w:i w:val="0"/>
          <w:color w:val="auto"/>
          <w:sz w:val="28"/>
          <w:szCs w:val="28"/>
        </w:rPr>
        <w:t xml:space="preserve">города </w:t>
      </w:r>
      <w:r w:rsidR="005D340D" w:rsidRPr="00577593">
        <w:rPr>
          <w:rFonts w:ascii="Times New Roman" w:hAnsi="Times New Roman"/>
          <w:i w:val="0"/>
          <w:color w:val="auto"/>
          <w:sz w:val="28"/>
          <w:szCs w:val="28"/>
        </w:rPr>
        <w:t xml:space="preserve">Барнаула </w:t>
      </w:r>
      <w:r w:rsidR="00827441">
        <w:rPr>
          <w:rFonts w:ascii="Times New Roman" w:hAnsi="Times New Roman"/>
          <w:i w:val="0"/>
          <w:color w:val="auto"/>
          <w:sz w:val="28"/>
          <w:szCs w:val="28"/>
        </w:rPr>
        <w:t>и</w:t>
      </w:r>
      <w:r w:rsidRPr="00577593">
        <w:rPr>
          <w:rFonts w:ascii="Times New Roman" w:hAnsi="Times New Roman"/>
          <w:i w:val="0"/>
          <w:color w:val="auto"/>
          <w:sz w:val="28"/>
          <w:szCs w:val="28"/>
        </w:rPr>
        <w:t xml:space="preserve"> Алтайского края</w:t>
      </w:r>
      <w:r w:rsidR="00827441">
        <w:rPr>
          <w:rFonts w:ascii="Times New Roman" w:hAnsi="Times New Roman"/>
          <w:i w:val="0"/>
          <w:color w:val="auto"/>
          <w:sz w:val="28"/>
          <w:szCs w:val="28"/>
        </w:rPr>
        <w:t xml:space="preserve"> на 01.01.2024</w:t>
      </w:r>
    </w:p>
    <w:p w:rsidR="00827441" w:rsidRPr="00577593" w:rsidRDefault="00827441" w:rsidP="00827441">
      <w:pPr>
        <w:pStyle w:val="aff9"/>
        <w:spacing w:after="0"/>
        <w:rPr>
          <w:rFonts w:ascii="Times New Roman" w:hAnsi="Times New Roman"/>
          <w:i w:val="0"/>
          <w:color w:val="auto"/>
          <w:sz w:val="28"/>
          <w:szCs w:val="28"/>
        </w:rPr>
      </w:pPr>
      <w:r w:rsidRPr="00577593">
        <w:rPr>
          <w:rFonts w:ascii="Times New Roman" w:hAnsi="Times New Roman"/>
          <w:i w:val="0"/>
          <w:color w:val="auto"/>
          <w:sz w:val="28"/>
          <w:szCs w:val="28"/>
        </w:rPr>
        <w:t>Примечание – Источник: данные Росстата</w:t>
      </w:r>
    </w:p>
    <w:p w:rsidR="00827441" w:rsidRDefault="00827441" w:rsidP="00827441">
      <w:pPr>
        <w:spacing w:after="0" w:line="240" w:lineRule="auto"/>
        <w:ind w:firstLine="709"/>
        <w:jc w:val="both"/>
        <w:rPr>
          <w:rFonts w:ascii="Times New Roman" w:hAnsi="Times New Roman"/>
          <w:sz w:val="28"/>
          <w:szCs w:val="28"/>
        </w:rPr>
      </w:pPr>
    </w:p>
    <w:p w:rsidR="00FC41F4" w:rsidRPr="00577593" w:rsidRDefault="008925FA" w:rsidP="00827441">
      <w:pPr>
        <w:spacing w:after="0" w:line="240" w:lineRule="auto"/>
        <w:ind w:firstLine="709"/>
        <w:jc w:val="both"/>
        <w:rPr>
          <w:rFonts w:ascii="Times New Roman" w:hAnsi="Times New Roman"/>
          <w:sz w:val="28"/>
          <w:szCs w:val="28"/>
        </w:rPr>
      </w:pPr>
      <w:r w:rsidRPr="00D678EE">
        <w:rPr>
          <w:rFonts w:ascii="Times New Roman" w:hAnsi="Times New Roman"/>
          <w:sz w:val="28"/>
          <w:szCs w:val="28"/>
        </w:rPr>
        <w:t xml:space="preserve">Медианный возраст населения </w:t>
      </w:r>
      <w:r w:rsidR="00C63E0A" w:rsidRPr="00D678EE">
        <w:rPr>
          <w:rFonts w:ascii="Times New Roman" w:hAnsi="Times New Roman"/>
          <w:sz w:val="28"/>
          <w:szCs w:val="28"/>
        </w:rPr>
        <w:t xml:space="preserve">города </w:t>
      </w:r>
      <w:r w:rsidRPr="00D678EE">
        <w:rPr>
          <w:rFonts w:ascii="Times New Roman" w:hAnsi="Times New Roman"/>
          <w:sz w:val="28"/>
          <w:szCs w:val="28"/>
        </w:rPr>
        <w:t xml:space="preserve">Барнаула на 01.01.2024 составил 37,5 лет (Алтайский край </w:t>
      </w:r>
      <w:r w:rsidR="00E34E37" w:rsidRPr="00D678EE">
        <w:rPr>
          <w:rFonts w:ascii="Times New Roman" w:hAnsi="Times New Roman"/>
          <w:sz w:val="28"/>
          <w:szCs w:val="28"/>
        </w:rPr>
        <w:t>–</w:t>
      </w:r>
      <w:r w:rsidRPr="00D678EE">
        <w:rPr>
          <w:rFonts w:ascii="Times New Roman" w:hAnsi="Times New Roman"/>
          <w:sz w:val="28"/>
          <w:szCs w:val="28"/>
        </w:rPr>
        <w:t xml:space="preserve"> 41 год, </w:t>
      </w:r>
      <w:r w:rsidR="002B10DC">
        <w:rPr>
          <w:rFonts w:ascii="Times New Roman" w:hAnsi="Times New Roman"/>
          <w:sz w:val="28"/>
          <w:szCs w:val="28"/>
        </w:rPr>
        <w:t>Российская Федерация</w:t>
      </w:r>
      <w:r w:rsidRPr="00D678EE">
        <w:rPr>
          <w:rFonts w:ascii="Times New Roman" w:hAnsi="Times New Roman"/>
          <w:sz w:val="28"/>
          <w:szCs w:val="28"/>
        </w:rPr>
        <w:t xml:space="preserve"> </w:t>
      </w:r>
      <w:r w:rsidR="00E34E37" w:rsidRPr="00D678EE">
        <w:rPr>
          <w:rFonts w:ascii="Times New Roman" w:hAnsi="Times New Roman"/>
          <w:sz w:val="28"/>
          <w:szCs w:val="28"/>
        </w:rPr>
        <w:t>–</w:t>
      </w:r>
      <w:r w:rsidR="00C63E0A" w:rsidRPr="00D678EE">
        <w:rPr>
          <w:rFonts w:ascii="Times New Roman" w:hAnsi="Times New Roman"/>
          <w:sz w:val="28"/>
          <w:szCs w:val="28"/>
        </w:rPr>
        <w:t xml:space="preserve"> 41 год) и п</w:t>
      </w:r>
      <w:r w:rsidRPr="00D678EE">
        <w:rPr>
          <w:rFonts w:ascii="Times New Roman" w:hAnsi="Times New Roman"/>
          <w:sz w:val="28"/>
          <w:szCs w:val="28"/>
        </w:rPr>
        <w:t>о сравнению с 01.01.2013 вырос на 1,9 года.</w:t>
      </w:r>
    </w:p>
    <w:p w:rsidR="00FC41F4" w:rsidRPr="00577593" w:rsidRDefault="008925FA" w:rsidP="00827441">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Доля населения </w:t>
      </w:r>
      <w:r w:rsidR="00962BDD">
        <w:rPr>
          <w:rFonts w:ascii="Times New Roman" w:hAnsi="Times New Roman"/>
          <w:sz w:val="28"/>
          <w:szCs w:val="28"/>
        </w:rPr>
        <w:t>города</w:t>
      </w:r>
      <w:r w:rsidRPr="00577593">
        <w:rPr>
          <w:rFonts w:ascii="Times New Roman" w:hAnsi="Times New Roman"/>
          <w:sz w:val="28"/>
          <w:szCs w:val="28"/>
        </w:rPr>
        <w:t xml:space="preserve"> в трудоспособном возрасте </w:t>
      </w:r>
      <w:r w:rsidR="00E34E37" w:rsidRPr="00577593">
        <w:rPr>
          <w:rFonts w:ascii="Times New Roman" w:hAnsi="Times New Roman"/>
          <w:sz w:val="28"/>
          <w:szCs w:val="28"/>
        </w:rPr>
        <w:t>–</w:t>
      </w:r>
      <w:r w:rsidRPr="00577593">
        <w:rPr>
          <w:rFonts w:ascii="Times New Roman" w:hAnsi="Times New Roman"/>
          <w:sz w:val="28"/>
          <w:szCs w:val="28"/>
        </w:rPr>
        <w:t xml:space="preserve"> 59,4% </w:t>
      </w:r>
      <w:r w:rsidR="00E34E37" w:rsidRPr="00577593">
        <w:rPr>
          <w:rFonts w:ascii="Times New Roman" w:hAnsi="Times New Roman"/>
          <w:sz w:val="28"/>
          <w:szCs w:val="28"/>
        </w:rPr>
        <w:t>–</w:t>
      </w:r>
      <w:r w:rsidR="002B10DC">
        <w:rPr>
          <w:rFonts w:ascii="Times New Roman" w:hAnsi="Times New Roman"/>
          <w:sz w:val="28"/>
          <w:szCs w:val="28"/>
        </w:rPr>
        <w:t xml:space="preserve"> выше, чем в </w:t>
      </w:r>
      <w:r w:rsidRPr="00577593">
        <w:rPr>
          <w:rFonts w:ascii="Times New Roman" w:hAnsi="Times New Roman"/>
          <w:sz w:val="28"/>
          <w:szCs w:val="28"/>
        </w:rPr>
        <w:t xml:space="preserve">среднем по Алтайскому краю и в </w:t>
      </w:r>
      <w:r w:rsidR="002B10DC">
        <w:rPr>
          <w:rFonts w:ascii="Times New Roman" w:hAnsi="Times New Roman"/>
          <w:sz w:val="28"/>
          <w:szCs w:val="28"/>
        </w:rPr>
        <w:t>Российской Федерации</w:t>
      </w:r>
      <w:r w:rsidRPr="00577593">
        <w:rPr>
          <w:rFonts w:ascii="Times New Roman" w:hAnsi="Times New Roman"/>
          <w:sz w:val="28"/>
          <w:szCs w:val="28"/>
        </w:rPr>
        <w:t xml:space="preserve">. </w:t>
      </w:r>
      <w:r w:rsidR="002B10DC">
        <w:rPr>
          <w:rFonts w:ascii="Times New Roman" w:hAnsi="Times New Roman"/>
          <w:sz w:val="28"/>
          <w:szCs w:val="28"/>
        </w:rPr>
        <w:br/>
      </w:r>
      <w:r w:rsidRPr="00577593">
        <w:rPr>
          <w:rFonts w:ascii="Times New Roman" w:hAnsi="Times New Roman"/>
          <w:sz w:val="28"/>
          <w:szCs w:val="28"/>
        </w:rPr>
        <w:t>Доля населения в трудоспособном возрасте сократилась п</w:t>
      </w:r>
      <w:r w:rsidR="001C59E5" w:rsidRPr="00577593">
        <w:rPr>
          <w:rFonts w:ascii="Times New Roman" w:hAnsi="Times New Roman"/>
          <w:sz w:val="28"/>
          <w:szCs w:val="28"/>
        </w:rPr>
        <w:t>о сравнению с 2013 годом на 4,2 п.п.</w:t>
      </w:r>
      <w:r w:rsidRPr="00577593">
        <w:rPr>
          <w:rFonts w:ascii="Times New Roman" w:hAnsi="Times New Roman"/>
          <w:sz w:val="28"/>
          <w:szCs w:val="28"/>
        </w:rPr>
        <w:t xml:space="preserve">, в то время как доля населения моложе трудоспособного возраста увеличилась на </w:t>
      </w:r>
      <w:r w:rsidR="00A97B43" w:rsidRPr="00577593">
        <w:rPr>
          <w:rFonts w:ascii="Times New Roman" w:hAnsi="Times New Roman"/>
          <w:sz w:val="28"/>
          <w:szCs w:val="28"/>
        </w:rPr>
        <w:t>4,1 п.п.</w:t>
      </w:r>
      <w:r w:rsidRPr="00577593">
        <w:rPr>
          <w:rFonts w:ascii="Times New Roman" w:hAnsi="Times New Roman"/>
          <w:sz w:val="28"/>
          <w:szCs w:val="28"/>
        </w:rPr>
        <w:t xml:space="preserve"> (</w:t>
      </w:r>
      <w:r w:rsidR="00D558A5">
        <w:fldChar w:fldCharType="begin"/>
      </w:r>
      <w:r w:rsidR="00D558A5">
        <w:instrText xml:space="preserve"> REF _Ref199377561 \h  \* MERGEFORMAT </w:instrText>
      </w:r>
      <w:r w:rsidR="00D558A5">
        <w:fldChar w:fldCharType="separate"/>
      </w:r>
      <w:r w:rsidR="00071499" w:rsidRPr="00577593">
        <w:rPr>
          <w:rFonts w:ascii="Times New Roman" w:eastAsia="Times New Roman" w:hAnsi="Times New Roman"/>
          <w:iCs/>
          <w:sz w:val="28"/>
          <w:szCs w:val="28"/>
          <w:lang w:eastAsia="ru-RU"/>
        </w:rPr>
        <w:t xml:space="preserve">Таблица </w:t>
      </w:r>
      <w:r w:rsidR="00071499">
        <w:rPr>
          <w:rFonts w:ascii="Times New Roman" w:eastAsia="Times New Roman" w:hAnsi="Times New Roman"/>
          <w:iCs/>
          <w:sz w:val="28"/>
          <w:szCs w:val="28"/>
          <w:lang w:eastAsia="ru-RU"/>
        </w:rPr>
        <w:t>1</w:t>
      </w:r>
      <w:r w:rsidR="00D558A5">
        <w:fldChar w:fldCharType="end"/>
      </w:r>
      <w:r w:rsidRPr="00577593">
        <w:rPr>
          <w:rFonts w:ascii="Times New Roman" w:hAnsi="Times New Roman"/>
          <w:sz w:val="28"/>
          <w:szCs w:val="28"/>
        </w:rPr>
        <w:t xml:space="preserve">). Коэффициент демографической нагрузки составил в 2013 году 574 человека на 1000 человек населения, в 2024 году </w:t>
      </w:r>
      <w:r w:rsidR="00E34E37" w:rsidRPr="00577593">
        <w:rPr>
          <w:rFonts w:ascii="Times New Roman" w:hAnsi="Times New Roman"/>
          <w:sz w:val="28"/>
          <w:szCs w:val="28"/>
        </w:rPr>
        <w:t>–</w:t>
      </w:r>
      <w:r w:rsidRPr="00577593">
        <w:rPr>
          <w:rFonts w:ascii="Times New Roman" w:hAnsi="Times New Roman"/>
          <w:sz w:val="28"/>
          <w:szCs w:val="28"/>
        </w:rPr>
        <w:t xml:space="preserve"> 683 человека на 1000 человек населения.</w:t>
      </w:r>
    </w:p>
    <w:p w:rsidR="004369BA" w:rsidRPr="00751C83" w:rsidRDefault="004369BA" w:rsidP="002000D4">
      <w:pPr>
        <w:spacing w:after="0" w:line="240" w:lineRule="auto"/>
        <w:ind w:firstLine="709"/>
        <w:jc w:val="both"/>
        <w:rPr>
          <w:rFonts w:ascii="Times New Roman" w:hAnsi="Times New Roman"/>
          <w:sz w:val="28"/>
          <w:szCs w:val="28"/>
        </w:rPr>
      </w:pPr>
    </w:p>
    <w:p w:rsidR="00FC41F4" w:rsidRPr="00577593" w:rsidRDefault="008925FA" w:rsidP="00D678EE">
      <w:pPr>
        <w:spacing w:after="0" w:line="240" w:lineRule="auto"/>
        <w:jc w:val="both"/>
        <w:rPr>
          <w:rFonts w:ascii="Times New Roman" w:eastAsia="Times New Roman" w:hAnsi="Times New Roman"/>
          <w:iCs/>
          <w:sz w:val="24"/>
          <w:szCs w:val="24"/>
          <w:lang w:eastAsia="ru-RU"/>
        </w:rPr>
      </w:pPr>
      <w:bookmarkStart w:id="15" w:name="_Ref199377561"/>
      <w:r w:rsidRPr="00577593">
        <w:rPr>
          <w:rFonts w:ascii="Times New Roman" w:eastAsia="Times New Roman" w:hAnsi="Times New Roman"/>
          <w:iCs/>
          <w:sz w:val="28"/>
          <w:szCs w:val="28"/>
          <w:lang w:eastAsia="ru-RU"/>
        </w:rPr>
        <w:t xml:space="preserve">Таблица </w:t>
      </w:r>
      <w:r w:rsidR="00074AE5" w:rsidRPr="00577593">
        <w:rPr>
          <w:rFonts w:ascii="Times New Roman" w:eastAsia="Times New Roman" w:hAnsi="Times New Roman"/>
          <w:iCs/>
          <w:sz w:val="28"/>
          <w:szCs w:val="28"/>
          <w:lang w:eastAsia="ru-RU"/>
        </w:rPr>
        <w:fldChar w:fldCharType="begin"/>
      </w:r>
      <w:r w:rsidRPr="00577593">
        <w:rPr>
          <w:rFonts w:ascii="Times New Roman" w:eastAsia="Times New Roman" w:hAnsi="Times New Roman"/>
          <w:iCs/>
          <w:sz w:val="28"/>
          <w:szCs w:val="28"/>
          <w:lang w:eastAsia="ru-RU"/>
        </w:rPr>
        <w:instrText xml:space="preserve"> SEQ Таблица \* ARABIC </w:instrText>
      </w:r>
      <w:r w:rsidR="00074AE5" w:rsidRPr="00577593">
        <w:rPr>
          <w:rFonts w:ascii="Times New Roman" w:eastAsia="Times New Roman" w:hAnsi="Times New Roman"/>
          <w:iCs/>
          <w:sz w:val="28"/>
          <w:szCs w:val="28"/>
          <w:lang w:eastAsia="ru-RU"/>
        </w:rPr>
        <w:fldChar w:fldCharType="separate"/>
      </w:r>
      <w:r w:rsidR="00071499">
        <w:rPr>
          <w:rFonts w:ascii="Times New Roman" w:eastAsia="Times New Roman" w:hAnsi="Times New Roman"/>
          <w:iCs/>
          <w:noProof/>
          <w:sz w:val="28"/>
          <w:szCs w:val="28"/>
          <w:lang w:eastAsia="ru-RU"/>
        </w:rPr>
        <w:t>1</w:t>
      </w:r>
      <w:r w:rsidR="00074AE5" w:rsidRPr="00577593">
        <w:rPr>
          <w:rFonts w:ascii="Times New Roman" w:eastAsia="Times New Roman" w:hAnsi="Times New Roman"/>
          <w:iCs/>
          <w:sz w:val="28"/>
          <w:szCs w:val="28"/>
          <w:lang w:eastAsia="ru-RU"/>
        </w:rPr>
        <w:fldChar w:fldCharType="end"/>
      </w:r>
      <w:bookmarkEnd w:id="15"/>
      <w:r w:rsidRPr="00577593">
        <w:rPr>
          <w:rFonts w:ascii="Times New Roman" w:eastAsia="Times New Roman" w:hAnsi="Times New Roman"/>
          <w:iCs/>
          <w:sz w:val="28"/>
          <w:szCs w:val="28"/>
          <w:lang w:eastAsia="ru-RU"/>
        </w:rPr>
        <w:t xml:space="preserve"> </w:t>
      </w:r>
      <w:r w:rsidR="00E34E37" w:rsidRPr="00577593">
        <w:rPr>
          <w:rFonts w:ascii="Times New Roman" w:hAnsi="Times New Roman"/>
          <w:i/>
          <w:sz w:val="28"/>
          <w:szCs w:val="28"/>
        </w:rPr>
        <w:t>–</w:t>
      </w:r>
      <w:r w:rsidRPr="00577593">
        <w:rPr>
          <w:rFonts w:ascii="Times New Roman" w:eastAsia="Times New Roman" w:hAnsi="Times New Roman"/>
          <w:iCs/>
          <w:sz w:val="28"/>
          <w:szCs w:val="28"/>
          <w:lang w:eastAsia="ru-RU"/>
        </w:rPr>
        <w:t xml:space="preserve"> Доля возрастных групп в численности населения </w:t>
      </w:r>
      <w:r w:rsidR="00962BDD">
        <w:rPr>
          <w:rFonts w:ascii="Times New Roman" w:eastAsia="Times New Roman" w:hAnsi="Times New Roman"/>
          <w:iCs/>
          <w:sz w:val="28"/>
          <w:szCs w:val="28"/>
          <w:lang w:eastAsia="ru-RU"/>
        </w:rPr>
        <w:t xml:space="preserve">города </w:t>
      </w:r>
      <w:r w:rsidRPr="00577593">
        <w:rPr>
          <w:rFonts w:ascii="Times New Roman" w:eastAsia="Times New Roman" w:hAnsi="Times New Roman"/>
          <w:iCs/>
          <w:sz w:val="28"/>
          <w:szCs w:val="28"/>
          <w:lang w:eastAsia="ru-RU"/>
        </w:rPr>
        <w:t xml:space="preserve">Барнаула, Алтайского края и </w:t>
      </w:r>
      <w:r w:rsidR="002B10DC" w:rsidRPr="002B10DC">
        <w:rPr>
          <w:rFonts w:ascii="Times New Roman" w:eastAsia="Times New Roman" w:hAnsi="Times New Roman"/>
          <w:iCs/>
          <w:sz w:val="28"/>
          <w:szCs w:val="28"/>
          <w:lang w:eastAsia="ru-RU"/>
        </w:rPr>
        <w:t>Российской Федерации</w:t>
      </w:r>
      <w:r w:rsidRPr="00577593">
        <w:rPr>
          <w:rFonts w:ascii="Times New Roman" w:eastAsia="Times New Roman" w:hAnsi="Times New Roman"/>
          <w:iCs/>
          <w:sz w:val="28"/>
          <w:szCs w:val="28"/>
          <w:lang w:eastAsia="ru-RU"/>
        </w:rPr>
        <w:t>, %</w:t>
      </w:r>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18"/>
        <w:gridCol w:w="1417"/>
        <w:gridCol w:w="1418"/>
        <w:gridCol w:w="1701"/>
        <w:gridCol w:w="2268"/>
      </w:tblGrid>
      <w:tr w:rsidR="00FC41F4" w:rsidRPr="00577593" w:rsidTr="002B10DC">
        <w:tc>
          <w:tcPr>
            <w:tcW w:w="2518" w:type="dxa"/>
            <w:vMerge w:val="restart"/>
            <w:shd w:val="clear" w:color="auto" w:fill="auto"/>
          </w:tcPr>
          <w:p w:rsidR="00FC41F4" w:rsidRPr="00577593" w:rsidRDefault="00FC41F4" w:rsidP="004369BA">
            <w:pPr>
              <w:widowControl w:val="0"/>
              <w:spacing w:after="0" w:line="240" w:lineRule="auto"/>
              <w:jc w:val="both"/>
              <w:rPr>
                <w:rFonts w:ascii="Times New Roman" w:eastAsia="Times New Roman" w:hAnsi="Times New Roman"/>
                <w:sz w:val="20"/>
                <w:szCs w:val="20"/>
                <w:lang w:eastAsia="ru-RU"/>
              </w:rPr>
            </w:pPr>
          </w:p>
        </w:tc>
        <w:tc>
          <w:tcPr>
            <w:tcW w:w="2835" w:type="dxa"/>
            <w:gridSpan w:val="2"/>
            <w:shd w:val="clear" w:color="auto" w:fill="auto"/>
          </w:tcPr>
          <w:p w:rsidR="00FC41F4" w:rsidRPr="00577593" w:rsidRDefault="002B10DC" w:rsidP="004369BA">
            <w:pPr>
              <w:widowControl w:val="0"/>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город </w:t>
            </w:r>
            <w:r w:rsidR="008925FA" w:rsidRPr="00577593">
              <w:rPr>
                <w:rFonts w:ascii="Times New Roman" w:eastAsia="Times New Roman" w:hAnsi="Times New Roman"/>
                <w:sz w:val="20"/>
                <w:szCs w:val="20"/>
                <w:lang w:eastAsia="ru-RU"/>
              </w:rPr>
              <w:t>Барнаул</w:t>
            </w:r>
          </w:p>
        </w:tc>
        <w:tc>
          <w:tcPr>
            <w:tcW w:w="1701" w:type="dxa"/>
            <w:vMerge w:val="restart"/>
            <w:shd w:val="clear" w:color="auto" w:fill="auto"/>
          </w:tcPr>
          <w:p w:rsidR="00FC41F4" w:rsidRPr="00577593" w:rsidRDefault="008925FA" w:rsidP="004369BA">
            <w:pPr>
              <w:widowControl w:val="0"/>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Алтайский край</w:t>
            </w:r>
          </w:p>
          <w:p w:rsidR="00FC41F4" w:rsidRPr="00577593" w:rsidRDefault="008925FA" w:rsidP="004369BA">
            <w:pPr>
              <w:widowControl w:val="0"/>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01.01.2024</w:t>
            </w:r>
          </w:p>
        </w:tc>
        <w:tc>
          <w:tcPr>
            <w:tcW w:w="2268" w:type="dxa"/>
            <w:vMerge w:val="restart"/>
            <w:shd w:val="clear" w:color="auto" w:fill="auto"/>
          </w:tcPr>
          <w:p w:rsidR="00FC41F4" w:rsidRPr="00577593" w:rsidRDefault="002B10DC" w:rsidP="004369BA">
            <w:pPr>
              <w:widowControl w:val="0"/>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Российская Федерация</w:t>
            </w:r>
          </w:p>
          <w:p w:rsidR="00FC41F4" w:rsidRPr="00577593" w:rsidRDefault="008925FA" w:rsidP="004369BA">
            <w:pPr>
              <w:widowControl w:val="0"/>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01.01.2024</w:t>
            </w:r>
          </w:p>
        </w:tc>
      </w:tr>
      <w:tr w:rsidR="00FC41F4" w:rsidRPr="00577593" w:rsidTr="002B10DC">
        <w:tc>
          <w:tcPr>
            <w:tcW w:w="2518" w:type="dxa"/>
            <w:vMerge/>
            <w:shd w:val="clear" w:color="auto" w:fill="auto"/>
          </w:tcPr>
          <w:p w:rsidR="00FC41F4" w:rsidRPr="00577593" w:rsidRDefault="00FC41F4" w:rsidP="002000D4">
            <w:pPr>
              <w:widowControl w:val="0"/>
              <w:spacing w:after="0" w:line="240" w:lineRule="auto"/>
              <w:jc w:val="both"/>
              <w:rPr>
                <w:rFonts w:ascii="Times New Roman" w:eastAsia="Times New Roman" w:hAnsi="Times New Roman"/>
                <w:sz w:val="20"/>
                <w:szCs w:val="20"/>
                <w:lang w:eastAsia="ru-RU"/>
              </w:rPr>
            </w:pPr>
          </w:p>
        </w:tc>
        <w:tc>
          <w:tcPr>
            <w:tcW w:w="1417" w:type="dxa"/>
            <w:shd w:val="clear" w:color="auto" w:fill="auto"/>
          </w:tcPr>
          <w:p w:rsidR="00FC41F4" w:rsidRPr="00577593" w:rsidRDefault="008925FA" w:rsidP="002000D4">
            <w:pPr>
              <w:widowControl w:val="0"/>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01.01.2013</w:t>
            </w:r>
          </w:p>
        </w:tc>
        <w:tc>
          <w:tcPr>
            <w:tcW w:w="1418" w:type="dxa"/>
            <w:shd w:val="clear" w:color="auto" w:fill="auto"/>
          </w:tcPr>
          <w:p w:rsidR="00FC41F4" w:rsidRPr="00577593" w:rsidRDefault="008925FA" w:rsidP="002000D4">
            <w:pPr>
              <w:widowControl w:val="0"/>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01.01.2024</w:t>
            </w:r>
          </w:p>
        </w:tc>
        <w:tc>
          <w:tcPr>
            <w:tcW w:w="1701" w:type="dxa"/>
            <w:vMerge/>
            <w:shd w:val="clear" w:color="auto" w:fill="auto"/>
          </w:tcPr>
          <w:p w:rsidR="00FC41F4" w:rsidRPr="00577593" w:rsidRDefault="00FC41F4" w:rsidP="002000D4">
            <w:pPr>
              <w:widowControl w:val="0"/>
              <w:spacing w:after="0" w:line="240" w:lineRule="auto"/>
              <w:jc w:val="both"/>
              <w:rPr>
                <w:rFonts w:ascii="Times New Roman" w:eastAsia="Times New Roman" w:hAnsi="Times New Roman"/>
                <w:sz w:val="20"/>
                <w:szCs w:val="20"/>
                <w:lang w:eastAsia="ru-RU"/>
              </w:rPr>
            </w:pPr>
          </w:p>
        </w:tc>
        <w:tc>
          <w:tcPr>
            <w:tcW w:w="2268" w:type="dxa"/>
            <w:vMerge/>
            <w:shd w:val="clear" w:color="auto" w:fill="auto"/>
          </w:tcPr>
          <w:p w:rsidR="00FC41F4" w:rsidRPr="00577593" w:rsidRDefault="00FC41F4" w:rsidP="002000D4">
            <w:pPr>
              <w:widowControl w:val="0"/>
              <w:spacing w:after="0" w:line="240" w:lineRule="auto"/>
              <w:jc w:val="both"/>
              <w:rPr>
                <w:rFonts w:ascii="Times New Roman" w:eastAsia="Times New Roman" w:hAnsi="Times New Roman"/>
                <w:sz w:val="20"/>
                <w:szCs w:val="20"/>
                <w:lang w:eastAsia="ru-RU"/>
              </w:rPr>
            </w:pPr>
          </w:p>
        </w:tc>
      </w:tr>
      <w:tr w:rsidR="00FC41F4" w:rsidRPr="00577593" w:rsidTr="002B10DC">
        <w:tc>
          <w:tcPr>
            <w:tcW w:w="2518" w:type="dxa"/>
            <w:shd w:val="clear" w:color="auto" w:fill="auto"/>
            <w:vAlign w:val="bottom"/>
          </w:tcPr>
          <w:p w:rsidR="00FC41F4" w:rsidRPr="00577593" w:rsidRDefault="008925FA" w:rsidP="002000D4">
            <w:pPr>
              <w:spacing w:after="0" w:line="240" w:lineRule="auto"/>
              <w:rPr>
                <w:rFonts w:ascii="Times New Roman" w:eastAsia="MS Mincho" w:hAnsi="Times New Roman"/>
                <w:sz w:val="20"/>
                <w:szCs w:val="20"/>
              </w:rPr>
            </w:pPr>
            <w:r w:rsidRPr="00577593">
              <w:rPr>
                <w:rFonts w:ascii="Times New Roman" w:eastAsia="MS Mincho" w:hAnsi="Times New Roman"/>
                <w:sz w:val="20"/>
                <w:szCs w:val="20"/>
              </w:rPr>
              <w:t>Моложе трудоспособного возраста</w:t>
            </w:r>
          </w:p>
        </w:tc>
        <w:tc>
          <w:tcPr>
            <w:tcW w:w="1417" w:type="dxa"/>
            <w:shd w:val="clear" w:color="auto" w:fill="auto"/>
            <w:vAlign w:val="center"/>
          </w:tcPr>
          <w:p w:rsidR="00FC41F4" w:rsidRPr="00577593" w:rsidRDefault="008925FA" w:rsidP="002000D4">
            <w:pPr>
              <w:widowControl w:val="0"/>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15,</w:t>
            </w:r>
            <w:r w:rsidR="00B54A4E" w:rsidRPr="00577593">
              <w:rPr>
                <w:rFonts w:ascii="Times New Roman" w:eastAsia="Times New Roman" w:hAnsi="Times New Roman"/>
                <w:sz w:val="20"/>
                <w:szCs w:val="20"/>
                <w:lang w:eastAsia="ru-RU"/>
              </w:rPr>
              <w:t>2</w:t>
            </w:r>
          </w:p>
        </w:tc>
        <w:tc>
          <w:tcPr>
            <w:tcW w:w="1418" w:type="dxa"/>
            <w:shd w:val="clear" w:color="auto" w:fill="auto"/>
            <w:vAlign w:val="center"/>
          </w:tcPr>
          <w:p w:rsidR="00FC41F4" w:rsidRPr="00577593" w:rsidRDefault="008925FA" w:rsidP="002000D4">
            <w:pPr>
              <w:widowControl w:val="0"/>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19,</w:t>
            </w:r>
            <w:r w:rsidR="001C59E5" w:rsidRPr="00577593">
              <w:rPr>
                <w:rFonts w:ascii="Times New Roman" w:eastAsia="Times New Roman" w:hAnsi="Times New Roman"/>
                <w:sz w:val="20"/>
                <w:szCs w:val="20"/>
                <w:lang w:eastAsia="ru-RU"/>
              </w:rPr>
              <w:t>3</w:t>
            </w:r>
          </w:p>
        </w:tc>
        <w:tc>
          <w:tcPr>
            <w:tcW w:w="1701" w:type="dxa"/>
            <w:shd w:val="clear" w:color="auto" w:fill="auto"/>
            <w:vAlign w:val="center"/>
          </w:tcPr>
          <w:p w:rsidR="00FC41F4" w:rsidRPr="00577593" w:rsidRDefault="008925FA" w:rsidP="002000D4">
            <w:pPr>
              <w:widowControl w:val="0"/>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19,3</w:t>
            </w:r>
          </w:p>
        </w:tc>
        <w:tc>
          <w:tcPr>
            <w:tcW w:w="2268" w:type="dxa"/>
            <w:shd w:val="clear" w:color="auto" w:fill="auto"/>
            <w:vAlign w:val="center"/>
          </w:tcPr>
          <w:p w:rsidR="00FC41F4" w:rsidRPr="00577593" w:rsidRDefault="008925FA" w:rsidP="002000D4">
            <w:pPr>
              <w:widowControl w:val="0"/>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18,4</w:t>
            </w:r>
          </w:p>
        </w:tc>
      </w:tr>
      <w:tr w:rsidR="00FC41F4" w:rsidRPr="00577593" w:rsidTr="002B10DC">
        <w:tc>
          <w:tcPr>
            <w:tcW w:w="2518" w:type="dxa"/>
            <w:shd w:val="clear" w:color="auto" w:fill="auto"/>
            <w:vAlign w:val="bottom"/>
          </w:tcPr>
          <w:p w:rsidR="00FC41F4" w:rsidRPr="00577593" w:rsidRDefault="008925FA" w:rsidP="002000D4">
            <w:pPr>
              <w:spacing w:after="0" w:line="240" w:lineRule="auto"/>
              <w:rPr>
                <w:rFonts w:ascii="Times New Roman" w:eastAsia="MS Mincho" w:hAnsi="Times New Roman"/>
                <w:sz w:val="20"/>
                <w:szCs w:val="20"/>
              </w:rPr>
            </w:pPr>
            <w:r w:rsidRPr="00577593">
              <w:rPr>
                <w:rFonts w:ascii="Times New Roman" w:eastAsia="MS Mincho" w:hAnsi="Times New Roman"/>
                <w:sz w:val="20"/>
                <w:szCs w:val="20"/>
              </w:rPr>
              <w:t>Трудоспособный возраст</w:t>
            </w:r>
          </w:p>
        </w:tc>
        <w:tc>
          <w:tcPr>
            <w:tcW w:w="1417" w:type="dxa"/>
            <w:shd w:val="clear" w:color="auto" w:fill="auto"/>
            <w:vAlign w:val="center"/>
          </w:tcPr>
          <w:p w:rsidR="00FC41F4" w:rsidRPr="00577593" w:rsidRDefault="008925FA" w:rsidP="002000D4">
            <w:pPr>
              <w:widowControl w:val="0"/>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63,6</w:t>
            </w:r>
          </w:p>
        </w:tc>
        <w:tc>
          <w:tcPr>
            <w:tcW w:w="1418" w:type="dxa"/>
            <w:shd w:val="clear" w:color="auto" w:fill="auto"/>
            <w:vAlign w:val="center"/>
          </w:tcPr>
          <w:p w:rsidR="00FC41F4" w:rsidRPr="00577593" w:rsidRDefault="008925FA" w:rsidP="002000D4">
            <w:pPr>
              <w:widowControl w:val="0"/>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59,4</w:t>
            </w:r>
          </w:p>
        </w:tc>
        <w:tc>
          <w:tcPr>
            <w:tcW w:w="1701" w:type="dxa"/>
            <w:shd w:val="clear" w:color="auto" w:fill="auto"/>
            <w:vAlign w:val="center"/>
          </w:tcPr>
          <w:p w:rsidR="00FC41F4" w:rsidRPr="00577593" w:rsidRDefault="008925FA" w:rsidP="002000D4">
            <w:pPr>
              <w:widowControl w:val="0"/>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55,8</w:t>
            </w:r>
          </w:p>
        </w:tc>
        <w:tc>
          <w:tcPr>
            <w:tcW w:w="2268" w:type="dxa"/>
            <w:shd w:val="clear" w:color="auto" w:fill="auto"/>
            <w:vAlign w:val="center"/>
          </w:tcPr>
          <w:p w:rsidR="00FC41F4" w:rsidRPr="00577593" w:rsidRDefault="008925FA" w:rsidP="002000D4">
            <w:pPr>
              <w:widowControl w:val="0"/>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58,0</w:t>
            </w:r>
          </w:p>
        </w:tc>
      </w:tr>
      <w:tr w:rsidR="00FC41F4" w:rsidRPr="00577593" w:rsidTr="002B10DC">
        <w:tc>
          <w:tcPr>
            <w:tcW w:w="2518" w:type="dxa"/>
            <w:shd w:val="clear" w:color="auto" w:fill="auto"/>
            <w:vAlign w:val="bottom"/>
          </w:tcPr>
          <w:p w:rsidR="00FC41F4" w:rsidRPr="00577593" w:rsidRDefault="008925FA" w:rsidP="002000D4">
            <w:pPr>
              <w:spacing w:after="0" w:line="240" w:lineRule="auto"/>
              <w:rPr>
                <w:rFonts w:ascii="Times New Roman" w:eastAsia="MS Mincho" w:hAnsi="Times New Roman"/>
                <w:sz w:val="20"/>
                <w:szCs w:val="20"/>
              </w:rPr>
            </w:pPr>
            <w:r w:rsidRPr="00577593">
              <w:rPr>
                <w:rFonts w:ascii="Times New Roman" w:eastAsia="MS Mincho" w:hAnsi="Times New Roman"/>
                <w:sz w:val="20"/>
                <w:szCs w:val="20"/>
              </w:rPr>
              <w:t>Старше трудоспособного возраста</w:t>
            </w:r>
          </w:p>
        </w:tc>
        <w:tc>
          <w:tcPr>
            <w:tcW w:w="1417" w:type="dxa"/>
            <w:shd w:val="clear" w:color="auto" w:fill="auto"/>
            <w:vAlign w:val="center"/>
          </w:tcPr>
          <w:p w:rsidR="00FC41F4" w:rsidRPr="00577593" w:rsidRDefault="008925FA" w:rsidP="002000D4">
            <w:pPr>
              <w:widowControl w:val="0"/>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21,2</w:t>
            </w:r>
          </w:p>
        </w:tc>
        <w:tc>
          <w:tcPr>
            <w:tcW w:w="1418" w:type="dxa"/>
            <w:shd w:val="clear" w:color="auto" w:fill="auto"/>
            <w:vAlign w:val="center"/>
          </w:tcPr>
          <w:p w:rsidR="00FC41F4" w:rsidRPr="00577593" w:rsidRDefault="008925FA" w:rsidP="002000D4">
            <w:pPr>
              <w:widowControl w:val="0"/>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21,3</w:t>
            </w:r>
          </w:p>
        </w:tc>
        <w:tc>
          <w:tcPr>
            <w:tcW w:w="1701" w:type="dxa"/>
            <w:shd w:val="clear" w:color="auto" w:fill="auto"/>
            <w:vAlign w:val="center"/>
          </w:tcPr>
          <w:p w:rsidR="00FC41F4" w:rsidRPr="00577593" w:rsidRDefault="008925FA" w:rsidP="002000D4">
            <w:pPr>
              <w:widowControl w:val="0"/>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24,9</w:t>
            </w:r>
          </w:p>
        </w:tc>
        <w:tc>
          <w:tcPr>
            <w:tcW w:w="2268" w:type="dxa"/>
            <w:shd w:val="clear" w:color="auto" w:fill="auto"/>
            <w:vAlign w:val="center"/>
          </w:tcPr>
          <w:p w:rsidR="00FC41F4" w:rsidRPr="00577593" w:rsidRDefault="008925FA" w:rsidP="002000D4">
            <w:pPr>
              <w:widowControl w:val="0"/>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23,6</w:t>
            </w:r>
          </w:p>
        </w:tc>
      </w:tr>
    </w:tbl>
    <w:p w:rsidR="00FC41F4" w:rsidRDefault="008925FA" w:rsidP="002000D4">
      <w:pPr>
        <w:pStyle w:val="aff9"/>
        <w:spacing w:after="0"/>
        <w:rPr>
          <w:rFonts w:ascii="Times New Roman" w:hAnsi="Times New Roman"/>
          <w:i w:val="0"/>
          <w:color w:val="auto"/>
          <w:sz w:val="28"/>
          <w:szCs w:val="28"/>
        </w:rPr>
      </w:pPr>
      <w:r w:rsidRPr="00577593">
        <w:rPr>
          <w:rFonts w:ascii="Times New Roman" w:hAnsi="Times New Roman"/>
          <w:i w:val="0"/>
          <w:color w:val="auto"/>
          <w:sz w:val="28"/>
          <w:szCs w:val="28"/>
        </w:rPr>
        <w:t xml:space="preserve">Примечание </w:t>
      </w:r>
      <w:r w:rsidR="00E34E37" w:rsidRPr="00577593">
        <w:rPr>
          <w:rFonts w:ascii="Times New Roman" w:hAnsi="Times New Roman"/>
          <w:i w:val="0"/>
          <w:color w:val="auto"/>
          <w:sz w:val="28"/>
          <w:szCs w:val="28"/>
        </w:rPr>
        <w:t>–</w:t>
      </w:r>
      <w:r w:rsidRPr="00577593">
        <w:rPr>
          <w:rFonts w:ascii="Times New Roman" w:hAnsi="Times New Roman"/>
          <w:i w:val="0"/>
          <w:color w:val="auto"/>
          <w:sz w:val="28"/>
          <w:szCs w:val="28"/>
        </w:rPr>
        <w:t xml:space="preserve"> Источник: данные </w:t>
      </w:r>
      <w:r w:rsidR="00AE5791" w:rsidRPr="00577593">
        <w:rPr>
          <w:rFonts w:ascii="Times New Roman" w:hAnsi="Times New Roman"/>
          <w:i w:val="0"/>
          <w:color w:val="auto"/>
          <w:sz w:val="28"/>
          <w:szCs w:val="28"/>
        </w:rPr>
        <w:t>Росстата</w:t>
      </w:r>
    </w:p>
    <w:p w:rsidR="00751C83" w:rsidRPr="00751C83" w:rsidRDefault="00751C83" w:rsidP="00751C83"/>
    <w:p w:rsidR="00751C83"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lastRenderedPageBreak/>
        <w:t xml:space="preserve">Население </w:t>
      </w:r>
      <w:r w:rsidR="00962BDD">
        <w:rPr>
          <w:rFonts w:ascii="Times New Roman" w:hAnsi="Times New Roman"/>
          <w:sz w:val="28"/>
          <w:szCs w:val="28"/>
        </w:rPr>
        <w:t xml:space="preserve">города </w:t>
      </w:r>
      <w:r w:rsidRPr="00577593">
        <w:rPr>
          <w:rFonts w:ascii="Times New Roman" w:hAnsi="Times New Roman"/>
          <w:sz w:val="28"/>
          <w:szCs w:val="28"/>
        </w:rPr>
        <w:t xml:space="preserve">Барнаула мононациональное, доля русских </w:t>
      </w:r>
      <w:r w:rsidR="00E34E37" w:rsidRPr="00577593">
        <w:rPr>
          <w:rFonts w:ascii="Times New Roman" w:hAnsi="Times New Roman"/>
          <w:sz w:val="28"/>
          <w:szCs w:val="28"/>
        </w:rPr>
        <w:t>–</w:t>
      </w:r>
      <w:r w:rsidRPr="00577593">
        <w:rPr>
          <w:rFonts w:ascii="Times New Roman" w:hAnsi="Times New Roman"/>
          <w:sz w:val="28"/>
          <w:szCs w:val="28"/>
        </w:rPr>
        <w:t xml:space="preserve"> 96%. 0,5% населения идентифицируют себя как немцы, 0,5% </w:t>
      </w:r>
      <w:r w:rsidR="00E34E37" w:rsidRPr="00577593">
        <w:rPr>
          <w:rFonts w:ascii="Times New Roman" w:hAnsi="Times New Roman"/>
          <w:sz w:val="28"/>
          <w:szCs w:val="28"/>
        </w:rPr>
        <w:t>–</w:t>
      </w:r>
      <w:r w:rsidRPr="00577593">
        <w:rPr>
          <w:rFonts w:ascii="Times New Roman" w:hAnsi="Times New Roman"/>
          <w:sz w:val="28"/>
          <w:szCs w:val="28"/>
        </w:rPr>
        <w:t xml:space="preserve"> таджики, 0,3% </w:t>
      </w:r>
      <w:r w:rsidR="00E34E37" w:rsidRPr="00577593">
        <w:rPr>
          <w:rFonts w:ascii="Times New Roman" w:hAnsi="Times New Roman"/>
          <w:sz w:val="28"/>
          <w:szCs w:val="28"/>
        </w:rPr>
        <w:t>–</w:t>
      </w:r>
      <w:r w:rsidRPr="00577593">
        <w:rPr>
          <w:rFonts w:ascii="Times New Roman" w:hAnsi="Times New Roman"/>
          <w:sz w:val="28"/>
          <w:szCs w:val="28"/>
        </w:rPr>
        <w:t xml:space="preserve"> украинцы, 0,3% </w:t>
      </w:r>
      <w:r w:rsidR="00E34E37" w:rsidRPr="00577593">
        <w:rPr>
          <w:rFonts w:ascii="Times New Roman" w:hAnsi="Times New Roman"/>
          <w:sz w:val="28"/>
          <w:szCs w:val="28"/>
        </w:rPr>
        <w:t>–</w:t>
      </w:r>
      <w:r w:rsidRPr="00577593">
        <w:rPr>
          <w:rFonts w:ascii="Times New Roman" w:hAnsi="Times New Roman"/>
          <w:sz w:val="28"/>
          <w:szCs w:val="28"/>
        </w:rPr>
        <w:t xml:space="preserve"> армяне.</w:t>
      </w:r>
    </w:p>
    <w:p w:rsidR="00FC41F4" w:rsidRPr="00577593" w:rsidRDefault="00271B5B" w:rsidP="002000D4">
      <w:pPr>
        <w:spacing w:after="0" w:line="240" w:lineRule="auto"/>
        <w:ind w:firstLine="709"/>
        <w:jc w:val="both"/>
        <w:rPr>
          <w:rFonts w:ascii="Times New Roman" w:hAnsi="Times New Roman"/>
          <w:b/>
          <w:sz w:val="28"/>
          <w:szCs w:val="28"/>
        </w:rPr>
      </w:pPr>
      <w:r w:rsidRPr="00577593">
        <w:rPr>
          <w:rFonts w:ascii="Times New Roman" w:hAnsi="Times New Roman"/>
          <w:b/>
          <w:sz w:val="28"/>
          <w:szCs w:val="28"/>
        </w:rPr>
        <w:t xml:space="preserve">2.3.3. </w:t>
      </w:r>
      <w:r w:rsidR="008925FA" w:rsidRPr="00577593">
        <w:rPr>
          <w:rFonts w:ascii="Times New Roman" w:hAnsi="Times New Roman"/>
          <w:b/>
          <w:sz w:val="28"/>
          <w:szCs w:val="28"/>
        </w:rPr>
        <w:t>Естественное движение населения</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Динамика рождаемости в </w:t>
      </w:r>
      <w:r w:rsidR="00962BDD">
        <w:rPr>
          <w:rFonts w:ascii="Times New Roman" w:hAnsi="Times New Roman"/>
          <w:sz w:val="28"/>
          <w:szCs w:val="28"/>
        </w:rPr>
        <w:t xml:space="preserve">городе </w:t>
      </w:r>
      <w:r w:rsidRPr="00577593">
        <w:rPr>
          <w:rFonts w:ascii="Times New Roman" w:hAnsi="Times New Roman"/>
          <w:sz w:val="28"/>
          <w:szCs w:val="28"/>
        </w:rPr>
        <w:t xml:space="preserve">Барнауле близка к общероссийскому тренду, повторяя демографические волны. При этом с 2015 года рождаемость в </w:t>
      </w:r>
      <w:r w:rsidR="00962BDD">
        <w:rPr>
          <w:rFonts w:ascii="Times New Roman" w:hAnsi="Times New Roman"/>
          <w:sz w:val="28"/>
          <w:szCs w:val="28"/>
        </w:rPr>
        <w:t>городе</w:t>
      </w:r>
      <w:r w:rsidRPr="00577593">
        <w:rPr>
          <w:rFonts w:ascii="Times New Roman" w:hAnsi="Times New Roman"/>
          <w:sz w:val="28"/>
          <w:szCs w:val="28"/>
        </w:rPr>
        <w:t xml:space="preserve"> превышает средний уровень по Алтайскому краю (</w:t>
      </w:r>
      <w:r w:rsidR="00D558A5">
        <w:fldChar w:fldCharType="begin"/>
      </w:r>
      <w:r w:rsidR="00D558A5">
        <w:instrText xml:space="preserve"> REF _Ref199377685 \h  \* MERGEFORMAT </w:instrText>
      </w:r>
      <w:r w:rsidR="00D558A5">
        <w:fldChar w:fldCharType="separate"/>
      </w:r>
      <w:r w:rsidR="00071499" w:rsidRPr="00827441">
        <w:rPr>
          <w:rFonts w:ascii="Times New Roman" w:hAnsi="Times New Roman"/>
          <w:sz w:val="28"/>
          <w:szCs w:val="28"/>
        </w:rPr>
        <w:t xml:space="preserve">Рисунок </w:t>
      </w:r>
      <w:r w:rsidR="00071499">
        <w:rPr>
          <w:rFonts w:ascii="Times New Roman" w:hAnsi="Times New Roman"/>
          <w:sz w:val="28"/>
          <w:szCs w:val="28"/>
        </w:rPr>
        <w:t>5</w:t>
      </w:r>
      <w:r w:rsidR="00D558A5">
        <w:fldChar w:fldCharType="end"/>
      </w:r>
      <w:r w:rsidRPr="00577593">
        <w:rPr>
          <w:rFonts w:ascii="Times New Roman" w:hAnsi="Times New Roman"/>
          <w:sz w:val="28"/>
          <w:szCs w:val="28"/>
        </w:rPr>
        <w:t>).</w:t>
      </w:r>
    </w:p>
    <w:p w:rsidR="00FC41F4" w:rsidRDefault="000D3F7A" w:rsidP="00827441">
      <w:pPr>
        <w:spacing w:after="0" w:line="240" w:lineRule="auto"/>
        <w:ind w:firstLine="142"/>
        <w:jc w:val="center"/>
        <w:rPr>
          <w:rFonts w:ascii="Times New Roman" w:hAnsi="Times New Roman"/>
          <w:sz w:val="28"/>
          <w:szCs w:val="28"/>
        </w:rPr>
      </w:pPr>
      <w:r w:rsidRPr="00827441">
        <w:rPr>
          <w:rFonts w:ascii="Times New Roman" w:hAnsi="Times New Roman"/>
          <w:noProof/>
          <w:sz w:val="24"/>
          <w:szCs w:val="24"/>
          <w:lang w:eastAsia="ru-RU"/>
        </w:rPr>
        <w:drawing>
          <wp:inline distT="0" distB="0" distL="0" distR="0">
            <wp:extent cx="5943600" cy="1920240"/>
            <wp:effectExtent l="0" t="0" r="0" b="0"/>
            <wp:docPr id="84928" name="Диаграмма 9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bookmarkStart w:id="16" w:name="_Ref199377685"/>
      <w:r w:rsidR="008925FA" w:rsidRPr="00827441">
        <w:rPr>
          <w:rFonts w:ascii="Times New Roman" w:hAnsi="Times New Roman"/>
          <w:sz w:val="28"/>
          <w:szCs w:val="28"/>
        </w:rPr>
        <w:t xml:space="preserve">Рисунок </w:t>
      </w:r>
      <w:r w:rsidR="00074AE5" w:rsidRPr="00827441">
        <w:rPr>
          <w:rFonts w:ascii="Times New Roman" w:hAnsi="Times New Roman"/>
          <w:sz w:val="28"/>
          <w:szCs w:val="28"/>
        </w:rPr>
        <w:fldChar w:fldCharType="begin"/>
      </w:r>
      <w:r w:rsidR="008925FA" w:rsidRPr="00827441">
        <w:rPr>
          <w:rFonts w:ascii="Times New Roman" w:hAnsi="Times New Roman"/>
          <w:sz w:val="28"/>
          <w:szCs w:val="28"/>
        </w:rPr>
        <w:instrText xml:space="preserve"> SEQ Рисунок \* ARABIC </w:instrText>
      </w:r>
      <w:r w:rsidR="00074AE5" w:rsidRPr="00827441">
        <w:rPr>
          <w:rFonts w:ascii="Times New Roman" w:hAnsi="Times New Roman"/>
          <w:sz w:val="28"/>
          <w:szCs w:val="28"/>
        </w:rPr>
        <w:fldChar w:fldCharType="separate"/>
      </w:r>
      <w:r w:rsidR="00071499">
        <w:rPr>
          <w:rFonts w:ascii="Times New Roman" w:hAnsi="Times New Roman"/>
          <w:noProof/>
          <w:sz w:val="28"/>
          <w:szCs w:val="28"/>
        </w:rPr>
        <w:t>5</w:t>
      </w:r>
      <w:r w:rsidR="00074AE5" w:rsidRPr="00827441">
        <w:rPr>
          <w:rFonts w:ascii="Times New Roman" w:hAnsi="Times New Roman"/>
          <w:sz w:val="28"/>
          <w:szCs w:val="28"/>
        </w:rPr>
        <w:fldChar w:fldCharType="end"/>
      </w:r>
      <w:bookmarkEnd w:id="16"/>
      <w:r w:rsidR="008925FA" w:rsidRPr="00827441">
        <w:rPr>
          <w:rFonts w:ascii="Times New Roman" w:hAnsi="Times New Roman"/>
          <w:sz w:val="28"/>
          <w:szCs w:val="28"/>
        </w:rPr>
        <w:t xml:space="preserve"> </w:t>
      </w:r>
      <w:r w:rsidR="00E34E37" w:rsidRPr="00827441">
        <w:rPr>
          <w:rFonts w:ascii="Times New Roman" w:hAnsi="Times New Roman"/>
          <w:sz w:val="28"/>
          <w:szCs w:val="28"/>
        </w:rPr>
        <w:t>–</w:t>
      </w:r>
      <w:r w:rsidR="008925FA" w:rsidRPr="00827441">
        <w:rPr>
          <w:rFonts w:ascii="Times New Roman" w:hAnsi="Times New Roman"/>
          <w:sz w:val="28"/>
          <w:szCs w:val="28"/>
        </w:rPr>
        <w:t xml:space="preserve"> Общий коэффициент рождаемости</w:t>
      </w:r>
      <w:r w:rsidR="005F6A9C" w:rsidRPr="00827441">
        <w:rPr>
          <w:rFonts w:ascii="Times New Roman" w:hAnsi="Times New Roman"/>
          <w:sz w:val="28"/>
          <w:szCs w:val="28"/>
        </w:rPr>
        <w:t xml:space="preserve"> за январь-декабрь</w:t>
      </w:r>
      <w:r w:rsidR="008925FA" w:rsidRPr="00827441">
        <w:rPr>
          <w:rFonts w:ascii="Times New Roman" w:hAnsi="Times New Roman"/>
          <w:sz w:val="28"/>
          <w:szCs w:val="28"/>
        </w:rPr>
        <w:t>, промилле</w:t>
      </w:r>
    </w:p>
    <w:p w:rsidR="00827441" w:rsidRPr="00577593" w:rsidRDefault="00827441" w:rsidP="00827441">
      <w:pPr>
        <w:spacing w:after="0" w:line="240" w:lineRule="auto"/>
        <w:rPr>
          <w:rFonts w:ascii="Times New Roman" w:hAnsi="Times New Roman"/>
          <w:sz w:val="28"/>
          <w:szCs w:val="28"/>
        </w:rPr>
      </w:pPr>
      <w:r w:rsidRPr="00577593">
        <w:rPr>
          <w:rFonts w:ascii="Times New Roman" w:hAnsi="Times New Roman"/>
          <w:sz w:val="28"/>
          <w:szCs w:val="28"/>
        </w:rPr>
        <w:t>Примечание – Источник: данные Росстата</w:t>
      </w:r>
    </w:p>
    <w:p w:rsidR="00827441" w:rsidRPr="00827441" w:rsidRDefault="00827441" w:rsidP="00827441">
      <w:pPr>
        <w:spacing w:after="0" w:line="240" w:lineRule="auto"/>
        <w:ind w:firstLine="142"/>
        <w:jc w:val="both"/>
        <w:rPr>
          <w:rFonts w:ascii="Times New Roman" w:hAnsi="Times New Roman"/>
          <w:sz w:val="28"/>
          <w:szCs w:val="28"/>
        </w:rPr>
      </w:pPr>
    </w:p>
    <w:p w:rsidR="00FC41F4" w:rsidRPr="00577593" w:rsidRDefault="008925FA" w:rsidP="002000D4">
      <w:pPr>
        <w:spacing w:after="0" w:line="240" w:lineRule="auto"/>
        <w:ind w:firstLine="709"/>
        <w:jc w:val="both"/>
        <w:rPr>
          <w:rFonts w:ascii="Times New Roman" w:hAnsi="Times New Roman"/>
          <w:sz w:val="28"/>
          <w:szCs w:val="28"/>
        </w:rPr>
      </w:pPr>
      <w:r w:rsidRPr="00827441">
        <w:rPr>
          <w:rFonts w:ascii="Times New Roman" w:hAnsi="Times New Roman"/>
          <w:sz w:val="28"/>
          <w:szCs w:val="28"/>
        </w:rPr>
        <w:t xml:space="preserve">Уровень смертности в </w:t>
      </w:r>
      <w:r w:rsidR="00962BDD" w:rsidRPr="00827441">
        <w:rPr>
          <w:rFonts w:ascii="Times New Roman" w:hAnsi="Times New Roman"/>
          <w:sz w:val="28"/>
          <w:szCs w:val="28"/>
        </w:rPr>
        <w:t xml:space="preserve">городе </w:t>
      </w:r>
      <w:r w:rsidRPr="00827441">
        <w:rPr>
          <w:rFonts w:ascii="Times New Roman" w:hAnsi="Times New Roman"/>
          <w:sz w:val="28"/>
          <w:szCs w:val="28"/>
        </w:rPr>
        <w:t>Барнауле в среднем на 2–3 промилле</w:t>
      </w:r>
      <w:r w:rsidRPr="00577593">
        <w:rPr>
          <w:rFonts w:ascii="Times New Roman" w:hAnsi="Times New Roman"/>
          <w:sz w:val="28"/>
          <w:szCs w:val="28"/>
        </w:rPr>
        <w:t xml:space="preserve"> ниже среднерегионального, пик COVID-19 проявился в городе мягче (</w:t>
      </w:r>
      <w:r w:rsidR="00D558A5">
        <w:fldChar w:fldCharType="begin"/>
      </w:r>
      <w:r w:rsidR="00D558A5">
        <w:instrText xml:space="preserve"> REF _Ref199377783 \h  \* MERGEFORMAT </w:instrText>
      </w:r>
      <w:r w:rsidR="00D558A5">
        <w:fldChar w:fldCharType="separate"/>
      </w:r>
      <w:r w:rsidR="00071499" w:rsidRPr="00827441">
        <w:rPr>
          <w:rFonts w:ascii="Times New Roman" w:hAnsi="Times New Roman"/>
          <w:sz w:val="28"/>
          <w:szCs w:val="28"/>
        </w:rPr>
        <w:t xml:space="preserve">Рисунок </w:t>
      </w:r>
      <w:r w:rsidR="00071499">
        <w:rPr>
          <w:rFonts w:ascii="Times New Roman" w:hAnsi="Times New Roman"/>
          <w:sz w:val="28"/>
          <w:szCs w:val="28"/>
        </w:rPr>
        <w:t>6</w:t>
      </w:r>
      <w:r w:rsidR="00D558A5">
        <w:fldChar w:fldCharType="end"/>
      </w:r>
      <w:r w:rsidRPr="00577593">
        <w:rPr>
          <w:rFonts w:ascii="Times New Roman" w:hAnsi="Times New Roman"/>
          <w:sz w:val="28"/>
          <w:szCs w:val="28"/>
        </w:rPr>
        <w:t>).</w:t>
      </w:r>
    </w:p>
    <w:p w:rsidR="00DC4780" w:rsidRPr="00577593" w:rsidRDefault="00DC4780" w:rsidP="002000D4">
      <w:pPr>
        <w:spacing w:after="0" w:line="240" w:lineRule="auto"/>
        <w:ind w:firstLine="709"/>
        <w:jc w:val="both"/>
        <w:rPr>
          <w:rFonts w:ascii="Times New Roman" w:hAnsi="Times New Roman"/>
          <w:sz w:val="24"/>
          <w:szCs w:val="24"/>
        </w:rPr>
      </w:pPr>
    </w:p>
    <w:p w:rsidR="00FC41F4" w:rsidRPr="00827441" w:rsidRDefault="000D3F7A" w:rsidP="00827441">
      <w:pPr>
        <w:spacing w:after="0" w:line="240" w:lineRule="auto"/>
        <w:ind w:firstLine="142"/>
        <w:jc w:val="center"/>
        <w:rPr>
          <w:rFonts w:ascii="Times New Roman" w:hAnsi="Times New Roman"/>
          <w:sz w:val="28"/>
          <w:szCs w:val="28"/>
        </w:rPr>
      </w:pPr>
      <w:r w:rsidRPr="00827441">
        <w:rPr>
          <w:rFonts w:ascii="Times New Roman" w:hAnsi="Times New Roman"/>
          <w:noProof/>
          <w:sz w:val="24"/>
          <w:szCs w:val="24"/>
          <w:lang w:eastAsia="ru-RU"/>
        </w:rPr>
        <w:drawing>
          <wp:inline distT="0" distB="0" distL="0" distR="0">
            <wp:extent cx="5943600" cy="1920240"/>
            <wp:effectExtent l="0" t="0" r="0" b="0"/>
            <wp:docPr id="6" name="Диаграмма 9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bookmarkStart w:id="17" w:name="_Ref199377783"/>
      <w:r w:rsidR="008925FA" w:rsidRPr="00827441">
        <w:rPr>
          <w:rFonts w:ascii="Times New Roman" w:hAnsi="Times New Roman"/>
          <w:sz w:val="28"/>
          <w:szCs w:val="28"/>
        </w:rPr>
        <w:t xml:space="preserve">Рисунок </w:t>
      </w:r>
      <w:r w:rsidR="00074AE5" w:rsidRPr="00827441">
        <w:rPr>
          <w:rFonts w:ascii="Times New Roman" w:hAnsi="Times New Roman"/>
          <w:sz w:val="28"/>
          <w:szCs w:val="28"/>
        </w:rPr>
        <w:fldChar w:fldCharType="begin"/>
      </w:r>
      <w:r w:rsidR="008925FA" w:rsidRPr="00827441">
        <w:rPr>
          <w:rFonts w:ascii="Times New Roman" w:hAnsi="Times New Roman"/>
          <w:sz w:val="28"/>
          <w:szCs w:val="28"/>
        </w:rPr>
        <w:instrText xml:space="preserve"> SEQ Рисунок \* ARABIC </w:instrText>
      </w:r>
      <w:r w:rsidR="00074AE5" w:rsidRPr="00827441">
        <w:rPr>
          <w:rFonts w:ascii="Times New Roman" w:hAnsi="Times New Roman"/>
          <w:sz w:val="28"/>
          <w:szCs w:val="28"/>
        </w:rPr>
        <w:fldChar w:fldCharType="separate"/>
      </w:r>
      <w:r w:rsidR="00071499">
        <w:rPr>
          <w:rFonts w:ascii="Times New Roman" w:hAnsi="Times New Roman"/>
          <w:noProof/>
          <w:sz w:val="28"/>
          <w:szCs w:val="28"/>
        </w:rPr>
        <w:t>6</w:t>
      </w:r>
      <w:r w:rsidR="00074AE5" w:rsidRPr="00827441">
        <w:rPr>
          <w:rFonts w:ascii="Times New Roman" w:hAnsi="Times New Roman"/>
          <w:sz w:val="28"/>
          <w:szCs w:val="28"/>
        </w:rPr>
        <w:fldChar w:fldCharType="end"/>
      </w:r>
      <w:bookmarkEnd w:id="17"/>
      <w:r w:rsidR="008925FA" w:rsidRPr="00827441">
        <w:rPr>
          <w:rFonts w:ascii="Times New Roman" w:hAnsi="Times New Roman"/>
          <w:sz w:val="28"/>
          <w:szCs w:val="28"/>
        </w:rPr>
        <w:t xml:space="preserve"> </w:t>
      </w:r>
      <w:r w:rsidR="00E34E37" w:rsidRPr="00827441">
        <w:rPr>
          <w:rFonts w:ascii="Times New Roman" w:hAnsi="Times New Roman"/>
          <w:sz w:val="28"/>
          <w:szCs w:val="28"/>
        </w:rPr>
        <w:t>–</w:t>
      </w:r>
      <w:r w:rsidR="008925FA" w:rsidRPr="00827441">
        <w:rPr>
          <w:rFonts w:ascii="Times New Roman" w:hAnsi="Times New Roman"/>
          <w:sz w:val="28"/>
          <w:szCs w:val="28"/>
        </w:rPr>
        <w:t xml:space="preserve"> Общий коэффициент смертности</w:t>
      </w:r>
      <w:r w:rsidR="00DC4780" w:rsidRPr="00827441">
        <w:rPr>
          <w:rFonts w:ascii="Times New Roman" w:hAnsi="Times New Roman"/>
          <w:sz w:val="28"/>
          <w:szCs w:val="28"/>
        </w:rPr>
        <w:t xml:space="preserve"> за январь-декабрь</w:t>
      </w:r>
      <w:r w:rsidR="008925FA" w:rsidRPr="00827441">
        <w:rPr>
          <w:rFonts w:ascii="Times New Roman" w:hAnsi="Times New Roman"/>
          <w:sz w:val="28"/>
          <w:szCs w:val="28"/>
        </w:rPr>
        <w:t>, промилле</w:t>
      </w:r>
    </w:p>
    <w:p w:rsidR="004369BA" w:rsidRPr="00577593" w:rsidRDefault="00827441" w:rsidP="004369BA">
      <w:pPr>
        <w:spacing w:after="0"/>
        <w:rPr>
          <w:rFonts w:ascii="Times New Roman" w:hAnsi="Times New Roman"/>
        </w:rPr>
      </w:pPr>
      <w:r w:rsidRPr="00577593">
        <w:rPr>
          <w:rFonts w:ascii="Times New Roman" w:hAnsi="Times New Roman"/>
          <w:sz w:val="28"/>
          <w:szCs w:val="28"/>
        </w:rPr>
        <w:t>Примечание – Источник: данные Росстата</w:t>
      </w:r>
    </w:p>
    <w:p w:rsidR="00827441" w:rsidRDefault="00827441" w:rsidP="004369BA">
      <w:pPr>
        <w:spacing w:after="0" w:line="240" w:lineRule="auto"/>
        <w:ind w:firstLine="709"/>
        <w:jc w:val="both"/>
        <w:rPr>
          <w:rFonts w:ascii="Times New Roman" w:hAnsi="Times New Roman"/>
          <w:sz w:val="28"/>
          <w:szCs w:val="28"/>
        </w:rPr>
      </w:pPr>
    </w:p>
    <w:p w:rsidR="00FC41F4" w:rsidRPr="00577593" w:rsidRDefault="008925FA" w:rsidP="004369BA">
      <w:pPr>
        <w:spacing w:after="0" w:line="240" w:lineRule="auto"/>
        <w:ind w:firstLine="709"/>
        <w:jc w:val="both"/>
        <w:rPr>
          <w:rFonts w:ascii="Times New Roman" w:hAnsi="Times New Roman"/>
          <w:sz w:val="28"/>
          <w:szCs w:val="28"/>
        </w:rPr>
      </w:pPr>
      <w:r w:rsidRPr="00577593">
        <w:rPr>
          <w:rFonts w:ascii="Times New Roman" w:hAnsi="Times New Roman"/>
          <w:sz w:val="28"/>
          <w:szCs w:val="28"/>
        </w:rPr>
        <w:t>С 2018 года наблюдается естественная убыль, которая ускоряется главным образом за счет снижения рождаемости. В ср</w:t>
      </w:r>
      <w:r w:rsidR="00E34E37" w:rsidRPr="00577593">
        <w:rPr>
          <w:rFonts w:ascii="Times New Roman" w:hAnsi="Times New Roman"/>
          <w:sz w:val="28"/>
          <w:szCs w:val="28"/>
        </w:rPr>
        <w:t xml:space="preserve">еднем </w:t>
      </w:r>
      <w:r w:rsidR="00542CCA" w:rsidRPr="00577593">
        <w:rPr>
          <w:rFonts w:ascii="Times New Roman" w:hAnsi="Times New Roman"/>
          <w:sz w:val="28"/>
          <w:szCs w:val="28"/>
        </w:rPr>
        <w:t xml:space="preserve">с 2022 </w:t>
      </w:r>
      <w:r w:rsidR="00E34E37" w:rsidRPr="00577593">
        <w:rPr>
          <w:rFonts w:ascii="Times New Roman" w:hAnsi="Times New Roman"/>
          <w:sz w:val="28"/>
          <w:szCs w:val="28"/>
        </w:rPr>
        <w:t>год</w:t>
      </w:r>
      <w:r w:rsidR="00542CCA" w:rsidRPr="00577593">
        <w:rPr>
          <w:rFonts w:ascii="Times New Roman" w:hAnsi="Times New Roman"/>
          <w:sz w:val="28"/>
          <w:szCs w:val="28"/>
        </w:rPr>
        <w:t>а</w:t>
      </w:r>
      <w:r w:rsidRPr="00577593">
        <w:rPr>
          <w:rFonts w:ascii="Times New Roman" w:hAnsi="Times New Roman"/>
          <w:sz w:val="28"/>
          <w:szCs w:val="28"/>
        </w:rPr>
        <w:t xml:space="preserve"> коэффициент естественной убыли составил -3,7 промилле (</w:t>
      </w:r>
      <w:r w:rsidR="00D558A5">
        <w:fldChar w:fldCharType="begin"/>
      </w:r>
      <w:r w:rsidR="00D558A5">
        <w:instrText xml:space="preserve"> REF _Ref199377866 \h  \* MERGEFORMAT </w:instrText>
      </w:r>
      <w:r w:rsidR="00D558A5">
        <w:fldChar w:fldCharType="separate"/>
      </w:r>
      <w:r w:rsidR="00071499" w:rsidRPr="00827441">
        <w:rPr>
          <w:rFonts w:ascii="Times New Roman" w:hAnsi="Times New Roman"/>
          <w:sz w:val="28"/>
          <w:szCs w:val="28"/>
        </w:rPr>
        <w:t xml:space="preserve">Рисунок </w:t>
      </w:r>
      <w:r w:rsidR="00071499">
        <w:rPr>
          <w:rFonts w:ascii="Times New Roman" w:hAnsi="Times New Roman"/>
          <w:sz w:val="28"/>
          <w:szCs w:val="28"/>
        </w:rPr>
        <w:t>7</w:t>
      </w:r>
      <w:r w:rsidR="00D558A5">
        <w:fldChar w:fldCharType="end"/>
      </w:r>
      <w:r w:rsidRPr="00577593">
        <w:rPr>
          <w:rFonts w:ascii="Times New Roman" w:hAnsi="Times New Roman"/>
          <w:sz w:val="28"/>
          <w:szCs w:val="28"/>
        </w:rPr>
        <w:t>).</w:t>
      </w:r>
    </w:p>
    <w:p w:rsidR="00827441" w:rsidRDefault="000D3F7A" w:rsidP="00827441">
      <w:pPr>
        <w:spacing w:after="0" w:line="240" w:lineRule="auto"/>
        <w:ind w:firstLine="142"/>
        <w:jc w:val="center"/>
        <w:rPr>
          <w:rFonts w:ascii="Times New Roman" w:hAnsi="Times New Roman"/>
          <w:sz w:val="28"/>
          <w:szCs w:val="28"/>
        </w:rPr>
      </w:pPr>
      <w:r w:rsidRPr="00577593">
        <w:rPr>
          <w:rFonts w:ascii="Times New Roman" w:hAnsi="Times New Roman"/>
          <w:noProof/>
          <w:sz w:val="24"/>
          <w:szCs w:val="24"/>
          <w:lang w:eastAsia="ru-RU"/>
        </w:rPr>
        <w:lastRenderedPageBreak/>
        <w:drawing>
          <wp:inline distT="0" distB="0" distL="0" distR="0">
            <wp:extent cx="5943600" cy="1920240"/>
            <wp:effectExtent l="0" t="0" r="0" b="0"/>
            <wp:docPr id="7" name="Диаграмма 9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bookmarkStart w:id="18" w:name="_Ref199377866"/>
      <w:r w:rsidR="008925FA" w:rsidRPr="00827441">
        <w:rPr>
          <w:rFonts w:ascii="Times New Roman" w:hAnsi="Times New Roman"/>
          <w:sz w:val="28"/>
          <w:szCs w:val="28"/>
        </w:rPr>
        <w:t xml:space="preserve">Рисунок </w:t>
      </w:r>
      <w:r w:rsidR="00074AE5" w:rsidRPr="00827441">
        <w:rPr>
          <w:rFonts w:ascii="Times New Roman" w:hAnsi="Times New Roman"/>
          <w:sz w:val="28"/>
          <w:szCs w:val="28"/>
        </w:rPr>
        <w:fldChar w:fldCharType="begin"/>
      </w:r>
      <w:r w:rsidR="008925FA" w:rsidRPr="00827441">
        <w:rPr>
          <w:rFonts w:ascii="Times New Roman" w:hAnsi="Times New Roman"/>
          <w:sz w:val="28"/>
          <w:szCs w:val="28"/>
        </w:rPr>
        <w:instrText xml:space="preserve"> SEQ Рисунок \* ARABIC </w:instrText>
      </w:r>
      <w:r w:rsidR="00074AE5" w:rsidRPr="00827441">
        <w:rPr>
          <w:rFonts w:ascii="Times New Roman" w:hAnsi="Times New Roman"/>
          <w:sz w:val="28"/>
          <w:szCs w:val="28"/>
        </w:rPr>
        <w:fldChar w:fldCharType="separate"/>
      </w:r>
      <w:r w:rsidR="00071499">
        <w:rPr>
          <w:rFonts w:ascii="Times New Roman" w:hAnsi="Times New Roman"/>
          <w:noProof/>
          <w:sz w:val="28"/>
          <w:szCs w:val="28"/>
        </w:rPr>
        <w:t>7</w:t>
      </w:r>
      <w:r w:rsidR="00074AE5" w:rsidRPr="00827441">
        <w:rPr>
          <w:rFonts w:ascii="Times New Roman" w:hAnsi="Times New Roman"/>
          <w:sz w:val="28"/>
          <w:szCs w:val="28"/>
        </w:rPr>
        <w:fldChar w:fldCharType="end"/>
      </w:r>
      <w:bookmarkEnd w:id="18"/>
      <w:r w:rsidR="008925FA" w:rsidRPr="00827441">
        <w:rPr>
          <w:rFonts w:ascii="Times New Roman" w:hAnsi="Times New Roman"/>
          <w:sz w:val="28"/>
          <w:szCs w:val="28"/>
        </w:rPr>
        <w:t xml:space="preserve"> </w:t>
      </w:r>
      <w:r w:rsidR="00E34E37" w:rsidRPr="00827441">
        <w:rPr>
          <w:rFonts w:ascii="Times New Roman" w:hAnsi="Times New Roman"/>
          <w:sz w:val="28"/>
          <w:szCs w:val="28"/>
        </w:rPr>
        <w:t>–</w:t>
      </w:r>
      <w:r w:rsidR="008925FA" w:rsidRPr="00827441">
        <w:rPr>
          <w:rFonts w:ascii="Times New Roman" w:hAnsi="Times New Roman"/>
          <w:sz w:val="28"/>
          <w:szCs w:val="28"/>
        </w:rPr>
        <w:t xml:space="preserve"> Коэффициент естественного прироста (естественной убыли)</w:t>
      </w:r>
      <w:r w:rsidR="004A4A64" w:rsidRPr="00827441">
        <w:rPr>
          <w:rFonts w:ascii="Times New Roman" w:hAnsi="Times New Roman"/>
          <w:sz w:val="28"/>
          <w:szCs w:val="28"/>
        </w:rPr>
        <w:t xml:space="preserve"> </w:t>
      </w:r>
      <w:r w:rsidR="00D75BCA" w:rsidRPr="00827441">
        <w:rPr>
          <w:rFonts w:ascii="Times New Roman" w:hAnsi="Times New Roman"/>
          <w:sz w:val="28"/>
          <w:szCs w:val="28"/>
        </w:rPr>
        <w:br/>
      </w:r>
      <w:r w:rsidR="004A4A64" w:rsidRPr="00827441">
        <w:rPr>
          <w:rFonts w:ascii="Times New Roman" w:hAnsi="Times New Roman"/>
          <w:sz w:val="28"/>
          <w:szCs w:val="28"/>
        </w:rPr>
        <w:t>за январь-декабрь</w:t>
      </w:r>
      <w:r w:rsidR="008925FA" w:rsidRPr="00827441">
        <w:rPr>
          <w:rFonts w:ascii="Times New Roman" w:hAnsi="Times New Roman"/>
          <w:sz w:val="28"/>
          <w:szCs w:val="28"/>
        </w:rPr>
        <w:t>, промилле</w:t>
      </w:r>
    </w:p>
    <w:p w:rsidR="00FC41F4" w:rsidRPr="00577593" w:rsidRDefault="00827441" w:rsidP="00827441">
      <w:pPr>
        <w:spacing w:after="0" w:line="240" w:lineRule="auto"/>
        <w:jc w:val="both"/>
        <w:rPr>
          <w:rFonts w:ascii="Times New Roman" w:hAnsi="Times New Roman"/>
          <w:i/>
          <w:sz w:val="28"/>
          <w:szCs w:val="28"/>
        </w:rPr>
      </w:pPr>
      <w:r w:rsidRPr="00827441">
        <w:rPr>
          <w:rFonts w:ascii="Times New Roman" w:hAnsi="Times New Roman"/>
          <w:sz w:val="28"/>
          <w:szCs w:val="28"/>
        </w:rPr>
        <w:t>Примечание – Источник: данные Росстата</w:t>
      </w:r>
    </w:p>
    <w:p w:rsidR="00FC41F4"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В абсолютных значениях естественная убыль населения </w:t>
      </w:r>
      <w:r w:rsidR="0016050E" w:rsidRPr="00577593">
        <w:rPr>
          <w:rFonts w:ascii="Times New Roman" w:hAnsi="Times New Roman"/>
          <w:sz w:val="28"/>
          <w:szCs w:val="28"/>
        </w:rPr>
        <w:t>города</w:t>
      </w:r>
      <w:r w:rsidRPr="00577593">
        <w:rPr>
          <w:rFonts w:ascii="Times New Roman" w:hAnsi="Times New Roman"/>
          <w:sz w:val="28"/>
          <w:szCs w:val="28"/>
        </w:rPr>
        <w:t xml:space="preserve"> достигла уровня более 2 тысяч человек </w:t>
      </w:r>
      <w:r w:rsidR="00A97B43" w:rsidRPr="00577593">
        <w:rPr>
          <w:rFonts w:ascii="Times New Roman" w:hAnsi="Times New Roman"/>
          <w:sz w:val="28"/>
          <w:szCs w:val="28"/>
        </w:rPr>
        <w:t xml:space="preserve">с 2020 года </w:t>
      </w:r>
      <w:r w:rsidRPr="00577593">
        <w:rPr>
          <w:rFonts w:ascii="Times New Roman" w:hAnsi="Times New Roman"/>
          <w:sz w:val="28"/>
          <w:szCs w:val="28"/>
        </w:rPr>
        <w:t>ежегодно. Показатели естественной убыли более благоприятные, чем в среднем по региону (</w:t>
      </w:r>
      <w:r w:rsidR="00D558A5">
        <w:fldChar w:fldCharType="begin"/>
      </w:r>
      <w:r w:rsidR="00D558A5">
        <w:instrText xml:space="preserve"> REF _Ref199377973 \h  \* MERGEFORMAT </w:instrText>
      </w:r>
      <w:r w:rsidR="00D558A5">
        <w:fldChar w:fldCharType="separate"/>
      </w:r>
      <w:r w:rsidR="00071499" w:rsidRPr="00577593">
        <w:rPr>
          <w:rFonts w:ascii="Times New Roman" w:eastAsia="Times New Roman" w:hAnsi="Times New Roman"/>
          <w:iCs/>
          <w:sz w:val="28"/>
          <w:szCs w:val="28"/>
          <w:lang w:eastAsia="ru-RU"/>
        </w:rPr>
        <w:t xml:space="preserve">Таблица </w:t>
      </w:r>
      <w:r w:rsidR="00071499">
        <w:rPr>
          <w:rFonts w:ascii="Times New Roman" w:eastAsia="Times New Roman" w:hAnsi="Times New Roman"/>
          <w:iCs/>
          <w:sz w:val="28"/>
          <w:szCs w:val="28"/>
          <w:lang w:eastAsia="ru-RU"/>
        </w:rPr>
        <w:t>2</w:t>
      </w:r>
      <w:r w:rsidR="00D558A5">
        <w:fldChar w:fldCharType="end"/>
      </w:r>
      <w:r w:rsidRPr="00577593">
        <w:rPr>
          <w:rFonts w:ascii="Times New Roman" w:hAnsi="Times New Roman"/>
          <w:sz w:val="28"/>
          <w:szCs w:val="28"/>
        </w:rPr>
        <w:t>).</w:t>
      </w:r>
    </w:p>
    <w:p w:rsidR="00751C83" w:rsidRPr="00577593" w:rsidRDefault="00751C83" w:rsidP="002000D4">
      <w:pPr>
        <w:spacing w:after="0" w:line="240" w:lineRule="auto"/>
        <w:ind w:firstLine="709"/>
        <w:jc w:val="both"/>
        <w:rPr>
          <w:rFonts w:ascii="Times New Roman" w:hAnsi="Times New Roman"/>
          <w:sz w:val="28"/>
          <w:szCs w:val="28"/>
        </w:rPr>
      </w:pPr>
    </w:p>
    <w:p w:rsidR="00FC41F4" w:rsidRPr="00577593" w:rsidRDefault="008925FA" w:rsidP="002000D4">
      <w:pPr>
        <w:spacing w:after="0" w:line="240" w:lineRule="auto"/>
        <w:jc w:val="both"/>
        <w:rPr>
          <w:rFonts w:ascii="Times New Roman" w:eastAsia="Times New Roman" w:hAnsi="Times New Roman"/>
          <w:iCs/>
          <w:sz w:val="28"/>
          <w:szCs w:val="28"/>
          <w:lang w:eastAsia="ru-RU"/>
        </w:rPr>
      </w:pPr>
      <w:bookmarkStart w:id="19" w:name="_Ref199377973"/>
      <w:r w:rsidRPr="00577593">
        <w:rPr>
          <w:rFonts w:ascii="Times New Roman" w:eastAsia="Times New Roman" w:hAnsi="Times New Roman"/>
          <w:iCs/>
          <w:sz w:val="28"/>
          <w:szCs w:val="28"/>
          <w:lang w:eastAsia="ru-RU"/>
        </w:rPr>
        <w:t xml:space="preserve">Таблица </w:t>
      </w:r>
      <w:r w:rsidR="00074AE5" w:rsidRPr="00577593">
        <w:rPr>
          <w:rFonts w:ascii="Times New Roman" w:eastAsia="Times New Roman" w:hAnsi="Times New Roman"/>
          <w:iCs/>
          <w:sz w:val="28"/>
          <w:szCs w:val="28"/>
          <w:lang w:eastAsia="ru-RU"/>
        </w:rPr>
        <w:fldChar w:fldCharType="begin"/>
      </w:r>
      <w:r w:rsidRPr="00577593">
        <w:rPr>
          <w:rFonts w:ascii="Times New Roman" w:eastAsia="Times New Roman" w:hAnsi="Times New Roman"/>
          <w:iCs/>
          <w:sz w:val="28"/>
          <w:szCs w:val="28"/>
          <w:lang w:eastAsia="ru-RU"/>
        </w:rPr>
        <w:instrText xml:space="preserve"> SEQ Таблица \* ARABIC </w:instrText>
      </w:r>
      <w:r w:rsidR="00074AE5" w:rsidRPr="00577593">
        <w:rPr>
          <w:rFonts w:ascii="Times New Roman" w:eastAsia="Times New Roman" w:hAnsi="Times New Roman"/>
          <w:iCs/>
          <w:sz w:val="28"/>
          <w:szCs w:val="28"/>
          <w:lang w:eastAsia="ru-RU"/>
        </w:rPr>
        <w:fldChar w:fldCharType="separate"/>
      </w:r>
      <w:r w:rsidR="00071499">
        <w:rPr>
          <w:rFonts w:ascii="Times New Roman" w:eastAsia="Times New Roman" w:hAnsi="Times New Roman"/>
          <w:iCs/>
          <w:noProof/>
          <w:sz w:val="28"/>
          <w:szCs w:val="28"/>
          <w:lang w:eastAsia="ru-RU"/>
        </w:rPr>
        <w:t>2</w:t>
      </w:r>
      <w:r w:rsidR="00074AE5" w:rsidRPr="00577593">
        <w:rPr>
          <w:rFonts w:ascii="Times New Roman" w:eastAsia="Times New Roman" w:hAnsi="Times New Roman"/>
          <w:iCs/>
          <w:sz w:val="28"/>
          <w:szCs w:val="28"/>
          <w:lang w:eastAsia="ru-RU"/>
        </w:rPr>
        <w:fldChar w:fldCharType="end"/>
      </w:r>
      <w:bookmarkEnd w:id="19"/>
      <w:r w:rsidRPr="00577593">
        <w:rPr>
          <w:rFonts w:ascii="Times New Roman" w:eastAsia="Times New Roman" w:hAnsi="Times New Roman"/>
          <w:iCs/>
          <w:sz w:val="28"/>
          <w:szCs w:val="28"/>
          <w:lang w:eastAsia="ru-RU"/>
        </w:rPr>
        <w:t xml:space="preserve"> </w:t>
      </w:r>
      <w:r w:rsidR="00484779" w:rsidRPr="00577593">
        <w:rPr>
          <w:rFonts w:ascii="Times New Roman" w:hAnsi="Times New Roman"/>
          <w:i/>
          <w:sz w:val="28"/>
          <w:szCs w:val="28"/>
        </w:rPr>
        <w:t>–</w:t>
      </w:r>
      <w:r w:rsidRPr="00577593">
        <w:rPr>
          <w:rFonts w:ascii="Times New Roman" w:eastAsia="Times New Roman" w:hAnsi="Times New Roman"/>
          <w:iCs/>
          <w:sz w:val="28"/>
          <w:szCs w:val="28"/>
          <w:lang w:eastAsia="ru-RU"/>
        </w:rPr>
        <w:t xml:space="preserve"> Естественное движение населения </w:t>
      </w:r>
      <w:r w:rsidR="00D678EE">
        <w:rPr>
          <w:rFonts w:ascii="Times New Roman" w:eastAsia="Times New Roman" w:hAnsi="Times New Roman"/>
          <w:iCs/>
          <w:sz w:val="28"/>
          <w:szCs w:val="28"/>
          <w:lang w:eastAsia="ru-RU"/>
        </w:rPr>
        <w:t xml:space="preserve">города </w:t>
      </w:r>
      <w:r w:rsidR="004A4A64" w:rsidRPr="00577593">
        <w:rPr>
          <w:rFonts w:ascii="Times New Roman" w:eastAsia="Times New Roman" w:hAnsi="Times New Roman"/>
          <w:iCs/>
          <w:sz w:val="28"/>
          <w:szCs w:val="28"/>
          <w:lang w:eastAsia="ru-RU"/>
        </w:rPr>
        <w:t>Барнаула, человек</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413"/>
        <w:gridCol w:w="621"/>
        <w:gridCol w:w="643"/>
        <w:gridCol w:w="616"/>
        <w:gridCol w:w="658"/>
        <w:gridCol w:w="616"/>
        <w:gridCol w:w="616"/>
        <w:gridCol w:w="766"/>
        <w:gridCol w:w="709"/>
        <w:gridCol w:w="708"/>
        <w:gridCol w:w="709"/>
        <w:gridCol w:w="633"/>
        <w:gridCol w:w="637"/>
      </w:tblGrid>
      <w:tr w:rsidR="00FC41F4" w:rsidRPr="00577593" w:rsidTr="00EE2F1D">
        <w:tc>
          <w:tcPr>
            <w:tcW w:w="1413" w:type="dxa"/>
            <w:shd w:val="clear" w:color="auto" w:fill="auto"/>
          </w:tcPr>
          <w:p w:rsidR="00FC41F4" w:rsidRPr="00577593" w:rsidRDefault="00FC41F4" w:rsidP="002000D4">
            <w:pPr>
              <w:widowControl w:val="0"/>
              <w:spacing w:after="0" w:line="240" w:lineRule="auto"/>
              <w:jc w:val="both"/>
              <w:rPr>
                <w:rFonts w:ascii="Times New Roman" w:eastAsia="Times New Roman" w:hAnsi="Times New Roman"/>
                <w:sz w:val="20"/>
                <w:szCs w:val="20"/>
                <w:lang w:eastAsia="ru-RU"/>
              </w:rPr>
            </w:pPr>
          </w:p>
        </w:tc>
        <w:tc>
          <w:tcPr>
            <w:tcW w:w="621" w:type="dxa"/>
            <w:shd w:val="clear" w:color="auto" w:fill="auto"/>
          </w:tcPr>
          <w:p w:rsidR="00FC41F4" w:rsidRPr="00577593" w:rsidRDefault="008925FA" w:rsidP="002000D4">
            <w:pPr>
              <w:widowControl w:val="0"/>
              <w:spacing w:after="0" w:line="240" w:lineRule="auto"/>
              <w:jc w:val="center"/>
              <w:rPr>
                <w:rFonts w:ascii="Times New Roman" w:eastAsia="Times New Roman" w:hAnsi="Times New Roman"/>
                <w:sz w:val="18"/>
                <w:szCs w:val="18"/>
                <w:lang w:eastAsia="ru-RU"/>
              </w:rPr>
            </w:pPr>
            <w:r w:rsidRPr="00577593">
              <w:rPr>
                <w:rFonts w:ascii="Times New Roman" w:eastAsia="Times New Roman" w:hAnsi="Times New Roman"/>
                <w:sz w:val="18"/>
                <w:szCs w:val="18"/>
                <w:lang w:eastAsia="ru-RU"/>
              </w:rPr>
              <w:t>2013</w:t>
            </w:r>
            <w:r w:rsidR="006D3135" w:rsidRPr="00577593">
              <w:rPr>
                <w:rFonts w:ascii="Times New Roman" w:eastAsia="Times New Roman" w:hAnsi="Times New Roman"/>
                <w:sz w:val="18"/>
                <w:szCs w:val="18"/>
                <w:lang w:eastAsia="ru-RU"/>
              </w:rPr>
              <w:t xml:space="preserve"> г.</w:t>
            </w:r>
          </w:p>
        </w:tc>
        <w:tc>
          <w:tcPr>
            <w:tcW w:w="643" w:type="dxa"/>
            <w:shd w:val="clear" w:color="auto" w:fill="auto"/>
          </w:tcPr>
          <w:p w:rsidR="00FC41F4" w:rsidRPr="00577593" w:rsidRDefault="008925FA" w:rsidP="002000D4">
            <w:pPr>
              <w:widowControl w:val="0"/>
              <w:spacing w:after="0" w:line="240" w:lineRule="auto"/>
              <w:jc w:val="center"/>
              <w:rPr>
                <w:rFonts w:ascii="Times New Roman" w:eastAsia="Times New Roman" w:hAnsi="Times New Roman"/>
                <w:sz w:val="18"/>
                <w:szCs w:val="18"/>
                <w:lang w:eastAsia="ru-RU"/>
              </w:rPr>
            </w:pPr>
            <w:r w:rsidRPr="00577593">
              <w:rPr>
                <w:rFonts w:ascii="Times New Roman" w:eastAsia="Times New Roman" w:hAnsi="Times New Roman"/>
                <w:sz w:val="18"/>
                <w:szCs w:val="18"/>
                <w:lang w:eastAsia="ru-RU"/>
              </w:rPr>
              <w:t>2014</w:t>
            </w:r>
            <w:r w:rsidR="006D3135" w:rsidRPr="00577593">
              <w:rPr>
                <w:rFonts w:ascii="Times New Roman" w:eastAsia="Times New Roman" w:hAnsi="Times New Roman"/>
                <w:sz w:val="18"/>
                <w:szCs w:val="18"/>
                <w:lang w:eastAsia="ru-RU"/>
              </w:rPr>
              <w:t xml:space="preserve"> г.</w:t>
            </w:r>
          </w:p>
        </w:tc>
        <w:tc>
          <w:tcPr>
            <w:tcW w:w="616" w:type="dxa"/>
            <w:shd w:val="clear" w:color="auto" w:fill="auto"/>
          </w:tcPr>
          <w:p w:rsidR="00FC41F4" w:rsidRPr="00577593" w:rsidRDefault="008925FA" w:rsidP="002000D4">
            <w:pPr>
              <w:widowControl w:val="0"/>
              <w:spacing w:after="0" w:line="240" w:lineRule="auto"/>
              <w:jc w:val="center"/>
              <w:rPr>
                <w:rFonts w:ascii="Times New Roman" w:eastAsia="Times New Roman" w:hAnsi="Times New Roman"/>
                <w:sz w:val="18"/>
                <w:szCs w:val="18"/>
                <w:lang w:eastAsia="ru-RU"/>
              </w:rPr>
            </w:pPr>
            <w:r w:rsidRPr="00577593">
              <w:rPr>
                <w:rFonts w:ascii="Times New Roman" w:eastAsia="Times New Roman" w:hAnsi="Times New Roman"/>
                <w:sz w:val="18"/>
                <w:szCs w:val="18"/>
                <w:lang w:eastAsia="ru-RU"/>
              </w:rPr>
              <w:t>2015</w:t>
            </w:r>
            <w:r w:rsidR="006D3135" w:rsidRPr="00577593">
              <w:rPr>
                <w:rFonts w:ascii="Times New Roman" w:eastAsia="Times New Roman" w:hAnsi="Times New Roman"/>
                <w:sz w:val="18"/>
                <w:szCs w:val="18"/>
                <w:lang w:eastAsia="ru-RU"/>
              </w:rPr>
              <w:t xml:space="preserve"> г.</w:t>
            </w:r>
          </w:p>
        </w:tc>
        <w:tc>
          <w:tcPr>
            <w:tcW w:w="658" w:type="dxa"/>
            <w:shd w:val="clear" w:color="auto" w:fill="auto"/>
          </w:tcPr>
          <w:p w:rsidR="00FC41F4" w:rsidRPr="00577593" w:rsidRDefault="008925FA" w:rsidP="002000D4">
            <w:pPr>
              <w:widowControl w:val="0"/>
              <w:spacing w:after="0" w:line="240" w:lineRule="auto"/>
              <w:jc w:val="center"/>
              <w:rPr>
                <w:rFonts w:ascii="Times New Roman" w:eastAsia="Times New Roman" w:hAnsi="Times New Roman"/>
                <w:sz w:val="18"/>
                <w:szCs w:val="18"/>
                <w:lang w:eastAsia="ru-RU"/>
              </w:rPr>
            </w:pPr>
            <w:r w:rsidRPr="00577593">
              <w:rPr>
                <w:rFonts w:ascii="Times New Roman" w:eastAsia="Times New Roman" w:hAnsi="Times New Roman"/>
                <w:sz w:val="18"/>
                <w:szCs w:val="18"/>
                <w:lang w:eastAsia="ru-RU"/>
              </w:rPr>
              <w:t>2016</w:t>
            </w:r>
            <w:r w:rsidR="006D3135" w:rsidRPr="00577593">
              <w:rPr>
                <w:rFonts w:ascii="Times New Roman" w:eastAsia="Times New Roman" w:hAnsi="Times New Roman"/>
                <w:sz w:val="18"/>
                <w:szCs w:val="18"/>
                <w:lang w:eastAsia="ru-RU"/>
              </w:rPr>
              <w:t xml:space="preserve"> г.</w:t>
            </w:r>
          </w:p>
        </w:tc>
        <w:tc>
          <w:tcPr>
            <w:tcW w:w="616" w:type="dxa"/>
            <w:shd w:val="clear" w:color="auto" w:fill="auto"/>
          </w:tcPr>
          <w:p w:rsidR="00FC41F4" w:rsidRPr="00577593" w:rsidRDefault="008925FA" w:rsidP="002000D4">
            <w:pPr>
              <w:widowControl w:val="0"/>
              <w:spacing w:after="0" w:line="240" w:lineRule="auto"/>
              <w:jc w:val="center"/>
              <w:rPr>
                <w:rFonts w:ascii="Times New Roman" w:eastAsia="Times New Roman" w:hAnsi="Times New Roman"/>
                <w:sz w:val="18"/>
                <w:szCs w:val="18"/>
                <w:lang w:eastAsia="ru-RU"/>
              </w:rPr>
            </w:pPr>
            <w:r w:rsidRPr="00577593">
              <w:rPr>
                <w:rFonts w:ascii="Times New Roman" w:eastAsia="Times New Roman" w:hAnsi="Times New Roman"/>
                <w:sz w:val="18"/>
                <w:szCs w:val="18"/>
                <w:lang w:eastAsia="ru-RU"/>
              </w:rPr>
              <w:t>2017</w:t>
            </w:r>
            <w:r w:rsidR="006D3135" w:rsidRPr="00577593">
              <w:rPr>
                <w:rFonts w:ascii="Times New Roman" w:eastAsia="Times New Roman" w:hAnsi="Times New Roman"/>
                <w:sz w:val="18"/>
                <w:szCs w:val="18"/>
                <w:lang w:eastAsia="ru-RU"/>
              </w:rPr>
              <w:t xml:space="preserve"> г.</w:t>
            </w:r>
          </w:p>
        </w:tc>
        <w:tc>
          <w:tcPr>
            <w:tcW w:w="616" w:type="dxa"/>
            <w:shd w:val="clear" w:color="auto" w:fill="auto"/>
          </w:tcPr>
          <w:p w:rsidR="00FC41F4" w:rsidRPr="00577593" w:rsidRDefault="008925FA" w:rsidP="002000D4">
            <w:pPr>
              <w:widowControl w:val="0"/>
              <w:spacing w:after="0" w:line="240" w:lineRule="auto"/>
              <w:jc w:val="center"/>
              <w:rPr>
                <w:rFonts w:ascii="Times New Roman" w:eastAsia="Times New Roman" w:hAnsi="Times New Roman"/>
                <w:sz w:val="18"/>
                <w:szCs w:val="18"/>
                <w:lang w:eastAsia="ru-RU"/>
              </w:rPr>
            </w:pPr>
            <w:r w:rsidRPr="00577593">
              <w:rPr>
                <w:rFonts w:ascii="Times New Roman" w:eastAsia="Times New Roman" w:hAnsi="Times New Roman"/>
                <w:sz w:val="18"/>
                <w:szCs w:val="18"/>
                <w:lang w:eastAsia="ru-RU"/>
              </w:rPr>
              <w:t>2018</w:t>
            </w:r>
            <w:r w:rsidR="006D3135" w:rsidRPr="00577593">
              <w:rPr>
                <w:rFonts w:ascii="Times New Roman" w:eastAsia="Times New Roman" w:hAnsi="Times New Roman"/>
                <w:sz w:val="18"/>
                <w:szCs w:val="18"/>
                <w:lang w:eastAsia="ru-RU"/>
              </w:rPr>
              <w:t xml:space="preserve"> г.</w:t>
            </w:r>
          </w:p>
        </w:tc>
        <w:tc>
          <w:tcPr>
            <w:tcW w:w="766" w:type="dxa"/>
            <w:shd w:val="clear" w:color="auto" w:fill="auto"/>
          </w:tcPr>
          <w:p w:rsidR="00FC41F4" w:rsidRPr="00577593" w:rsidRDefault="008925FA" w:rsidP="002000D4">
            <w:pPr>
              <w:widowControl w:val="0"/>
              <w:spacing w:after="0" w:line="240" w:lineRule="auto"/>
              <w:jc w:val="center"/>
              <w:rPr>
                <w:rFonts w:ascii="Times New Roman" w:eastAsia="Times New Roman" w:hAnsi="Times New Roman"/>
                <w:sz w:val="18"/>
                <w:szCs w:val="18"/>
                <w:lang w:eastAsia="ru-RU"/>
              </w:rPr>
            </w:pPr>
            <w:r w:rsidRPr="00577593">
              <w:rPr>
                <w:rFonts w:ascii="Times New Roman" w:eastAsia="Times New Roman" w:hAnsi="Times New Roman"/>
                <w:sz w:val="18"/>
                <w:szCs w:val="18"/>
                <w:lang w:eastAsia="ru-RU"/>
              </w:rPr>
              <w:t>2019</w:t>
            </w:r>
            <w:r w:rsidR="006D3135" w:rsidRPr="00577593">
              <w:rPr>
                <w:rFonts w:ascii="Times New Roman" w:eastAsia="Times New Roman" w:hAnsi="Times New Roman"/>
                <w:sz w:val="18"/>
                <w:szCs w:val="18"/>
                <w:lang w:eastAsia="ru-RU"/>
              </w:rPr>
              <w:t xml:space="preserve"> г.</w:t>
            </w:r>
          </w:p>
        </w:tc>
        <w:tc>
          <w:tcPr>
            <w:tcW w:w="709" w:type="dxa"/>
            <w:shd w:val="clear" w:color="auto" w:fill="auto"/>
          </w:tcPr>
          <w:p w:rsidR="00FC41F4" w:rsidRPr="00577593" w:rsidRDefault="008925FA" w:rsidP="002000D4">
            <w:pPr>
              <w:widowControl w:val="0"/>
              <w:spacing w:after="0" w:line="240" w:lineRule="auto"/>
              <w:jc w:val="center"/>
              <w:rPr>
                <w:rFonts w:ascii="Times New Roman" w:eastAsia="Times New Roman" w:hAnsi="Times New Roman"/>
                <w:sz w:val="18"/>
                <w:szCs w:val="18"/>
                <w:lang w:eastAsia="ru-RU"/>
              </w:rPr>
            </w:pPr>
            <w:r w:rsidRPr="00577593">
              <w:rPr>
                <w:rFonts w:ascii="Times New Roman" w:eastAsia="Times New Roman" w:hAnsi="Times New Roman"/>
                <w:sz w:val="18"/>
                <w:szCs w:val="18"/>
                <w:lang w:eastAsia="ru-RU"/>
              </w:rPr>
              <w:t>2020</w:t>
            </w:r>
            <w:r w:rsidR="006D3135" w:rsidRPr="00577593">
              <w:rPr>
                <w:rFonts w:ascii="Times New Roman" w:eastAsia="Times New Roman" w:hAnsi="Times New Roman"/>
                <w:sz w:val="18"/>
                <w:szCs w:val="18"/>
                <w:lang w:eastAsia="ru-RU"/>
              </w:rPr>
              <w:t xml:space="preserve"> г.</w:t>
            </w:r>
          </w:p>
        </w:tc>
        <w:tc>
          <w:tcPr>
            <w:tcW w:w="708" w:type="dxa"/>
            <w:shd w:val="clear" w:color="auto" w:fill="auto"/>
          </w:tcPr>
          <w:p w:rsidR="00FC41F4" w:rsidRPr="00577593" w:rsidRDefault="008925FA" w:rsidP="002000D4">
            <w:pPr>
              <w:widowControl w:val="0"/>
              <w:spacing w:after="0" w:line="240" w:lineRule="auto"/>
              <w:jc w:val="center"/>
              <w:rPr>
                <w:rFonts w:ascii="Times New Roman" w:eastAsia="Times New Roman" w:hAnsi="Times New Roman"/>
                <w:sz w:val="18"/>
                <w:szCs w:val="18"/>
                <w:lang w:eastAsia="ru-RU"/>
              </w:rPr>
            </w:pPr>
            <w:r w:rsidRPr="00577593">
              <w:rPr>
                <w:rFonts w:ascii="Times New Roman" w:eastAsia="Times New Roman" w:hAnsi="Times New Roman"/>
                <w:sz w:val="18"/>
                <w:szCs w:val="18"/>
                <w:lang w:eastAsia="ru-RU"/>
              </w:rPr>
              <w:t>2021</w:t>
            </w:r>
            <w:r w:rsidR="006D3135" w:rsidRPr="00577593">
              <w:rPr>
                <w:rFonts w:ascii="Times New Roman" w:eastAsia="Times New Roman" w:hAnsi="Times New Roman"/>
                <w:sz w:val="18"/>
                <w:szCs w:val="18"/>
                <w:lang w:eastAsia="ru-RU"/>
              </w:rPr>
              <w:t xml:space="preserve"> г.</w:t>
            </w:r>
          </w:p>
        </w:tc>
        <w:tc>
          <w:tcPr>
            <w:tcW w:w="709" w:type="dxa"/>
            <w:shd w:val="clear" w:color="auto" w:fill="auto"/>
          </w:tcPr>
          <w:p w:rsidR="00FC41F4" w:rsidRPr="00577593" w:rsidRDefault="008925FA" w:rsidP="002000D4">
            <w:pPr>
              <w:widowControl w:val="0"/>
              <w:spacing w:after="0" w:line="240" w:lineRule="auto"/>
              <w:jc w:val="center"/>
              <w:rPr>
                <w:rFonts w:ascii="Times New Roman" w:eastAsia="Times New Roman" w:hAnsi="Times New Roman"/>
                <w:sz w:val="18"/>
                <w:szCs w:val="18"/>
                <w:lang w:eastAsia="ru-RU"/>
              </w:rPr>
            </w:pPr>
            <w:r w:rsidRPr="00577593">
              <w:rPr>
                <w:rFonts w:ascii="Times New Roman" w:eastAsia="Times New Roman" w:hAnsi="Times New Roman"/>
                <w:sz w:val="18"/>
                <w:szCs w:val="18"/>
                <w:lang w:eastAsia="ru-RU"/>
              </w:rPr>
              <w:t>2022</w:t>
            </w:r>
            <w:r w:rsidR="006D3135" w:rsidRPr="00577593">
              <w:rPr>
                <w:rFonts w:ascii="Times New Roman" w:eastAsia="Times New Roman" w:hAnsi="Times New Roman"/>
                <w:sz w:val="18"/>
                <w:szCs w:val="18"/>
                <w:lang w:eastAsia="ru-RU"/>
              </w:rPr>
              <w:t xml:space="preserve"> г.</w:t>
            </w:r>
          </w:p>
        </w:tc>
        <w:tc>
          <w:tcPr>
            <w:tcW w:w="633" w:type="dxa"/>
            <w:shd w:val="clear" w:color="auto" w:fill="auto"/>
          </w:tcPr>
          <w:p w:rsidR="00FC41F4" w:rsidRPr="00577593" w:rsidRDefault="008925FA" w:rsidP="002000D4">
            <w:pPr>
              <w:widowControl w:val="0"/>
              <w:spacing w:after="0" w:line="240" w:lineRule="auto"/>
              <w:jc w:val="center"/>
              <w:rPr>
                <w:rFonts w:ascii="Times New Roman" w:eastAsia="Times New Roman" w:hAnsi="Times New Roman"/>
                <w:sz w:val="18"/>
                <w:szCs w:val="18"/>
                <w:lang w:eastAsia="ru-RU"/>
              </w:rPr>
            </w:pPr>
            <w:r w:rsidRPr="00577593">
              <w:rPr>
                <w:rFonts w:ascii="Times New Roman" w:eastAsia="Times New Roman" w:hAnsi="Times New Roman"/>
                <w:sz w:val="18"/>
                <w:szCs w:val="18"/>
                <w:lang w:eastAsia="ru-RU"/>
              </w:rPr>
              <w:t>2023</w:t>
            </w:r>
            <w:r w:rsidR="006D3135" w:rsidRPr="00577593">
              <w:rPr>
                <w:rFonts w:ascii="Times New Roman" w:eastAsia="Times New Roman" w:hAnsi="Times New Roman"/>
                <w:sz w:val="18"/>
                <w:szCs w:val="18"/>
                <w:lang w:eastAsia="ru-RU"/>
              </w:rPr>
              <w:t xml:space="preserve"> г.</w:t>
            </w:r>
          </w:p>
        </w:tc>
        <w:tc>
          <w:tcPr>
            <w:tcW w:w="637" w:type="dxa"/>
            <w:shd w:val="clear" w:color="auto" w:fill="auto"/>
          </w:tcPr>
          <w:p w:rsidR="00FC41F4" w:rsidRPr="00577593" w:rsidRDefault="008925FA" w:rsidP="002000D4">
            <w:pPr>
              <w:widowControl w:val="0"/>
              <w:spacing w:after="0" w:line="240" w:lineRule="auto"/>
              <w:jc w:val="center"/>
              <w:rPr>
                <w:rFonts w:ascii="Times New Roman" w:eastAsia="Times New Roman" w:hAnsi="Times New Roman"/>
                <w:sz w:val="18"/>
                <w:szCs w:val="18"/>
                <w:lang w:eastAsia="ru-RU"/>
              </w:rPr>
            </w:pPr>
            <w:r w:rsidRPr="00577593">
              <w:rPr>
                <w:rFonts w:ascii="Times New Roman" w:eastAsia="Times New Roman" w:hAnsi="Times New Roman"/>
                <w:sz w:val="18"/>
                <w:szCs w:val="18"/>
                <w:lang w:eastAsia="ru-RU"/>
              </w:rPr>
              <w:t>2024</w:t>
            </w:r>
            <w:r w:rsidR="006D3135" w:rsidRPr="00577593">
              <w:rPr>
                <w:rFonts w:ascii="Times New Roman" w:eastAsia="Times New Roman" w:hAnsi="Times New Roman"/>
                <w:sz w:val="18"/>
                <w:szCs w:val="18"/>
                <w:lang w:eastAsia="ru-RU"/>
              </w:rPr>
              <w:t xml:space="preserve"> г.</w:t>
            </w:r>
          </w:p>
        </w:tc>
      </w:tr>
      <w:tr w:rsidR="00FC41F4" w:rsidRPr="00577593" w:rsidTr="00EE2F1D">
        <w:tc>
          <w:tcPr>
            <w:tcW w:w="1413" w:type="dxa"/>
            <w:shd w:val="clear" w:color="auto" w:fill="auto"/>
          </w:tcPr>
          <w:p w:rsidR="00FC41F4" w:rsidRPr="00577593" w:rsidRDefault="008925FA" w:rsidP="002000D4">
            <w:pPr>
              <w:widowControl w:val="0"/>
              <w:spacing w:after="0" w:line="240" w:lineRule="auto"/>
              <w:jc w:val="both"/>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Родившихся</w:t>
            </w:r>
          </w:p>
        </w:tc>
        <w:tc>
          <w:tcPr>
            <w:tcW w:w="621" w:type="dxa"/>
            <w:shd w:val="clear" w:color="auto" w:fill="auto"/>
            <w:vAlign w:val="bottom"/>
          </w:tcPr>
          <w:p w:rsidR="00FC41F4" w:rsidRPr="00577593" w:rsidRDefault="008925FA" w:rsidP="002000D4">
            <w:pPr>
              <w:spacing w:after="0" w:line="240" w:lineRule="auto"/>
              <w:jc w:val="center"/>
              <w:rPr>
                <w:rFonts w:ascii="Times New Roman" w:eastAsia="MS Mincho" w:hAnsi="Times New Roman"/>
                <w:sz w:val="20"/>
                <w:szCs w:val="20"/>
              </w:rPr>
            </w:pPr>
            <w:r w:rsidRPr="00577593">
              <w:rPr>
                <w:rFonts w:ascii="Times New Roman" w:eastAsia="MS Mincho" w:hAnsi="Times New Roman"/>
                <w:sz w:val="20"/>
                <w:szCs w:val="20"/>
              </w:rPr>
              <w:t>9027</w:t>
            </w:r>
          </w:p>
        </w:tc>
        <w:tc>
          <w:tcPr>
            <w:tcW w:w="643" w:type="dxa"/>
            <w:shd w:val="clear" w:color="auto" w:fill="auto"/>
            <w:vAlign w:val="bottom"/>
          </w:tcPr>
          <w:p w:rsidR="00FC41F4" w:rsidRPr="00577593" w:rsidRDefault="008925FA" w:rsidP="002000D4">
            <w:pPr>
              <w:spacing w:after="0" w:line="240" w:lineRule="auto"/>
              <w:jc w:val="center"/>
              <w:rPr>
                <w:rFonts w:ascii="Times New Roman" w:eastAsia="MS Mincho" w:hAnsi="Times New Roman"/>
                <w:sz w:val="20"/>
                <w:szCs w:val="20"/>
              </w:rPr>
            </w:pPr>
            <w:r w:rsidRPr="00577593">
              <w:rPr>
                <w:rFonts w:ascii="Times New Roman" w:eastAsia="MS Mincho" w:hAnsi="Times New Roman"/>
                <w:sz w:val="20"/>
                <w:szCs w:val="20"/>
              </w:rPr>
              <w:t>8976</w:t>
            </w:r>
          </w:p>
        </w:tc>
        <w:tc>
          <w:tcPr>
            <w:tcW w:w="616" w:type="dxa"/>
            <w:shd w:val="clear" w:color="auto" w:fill="auto"/>
            <w:vAlign w:val="bottom"/>
          </w:tcPr>
          <w:p w:rsidR="00FC41F4" w:rsidRPr="00577593" w:rsidRDefault="008925FA" w:rsidP="002000D4">
            <w:pPr>
              <w:spacing w:after="0" w:line="240" w:lineRule="auto"/>
              <w:jc w:val="center"/>
              <w:rPr>
                <w:rFonts w:ascii="Times New Roman" w:eastAsia="MS Mincho" w:hAnsi="Times New Roman"/>
                <w:sz w:val="20"/>
                <w:szCs w:val="20"/>
              </w:rPr>
            </w:pPr>
            <w:r w:rsidRPr="00577593">
              <w:rPr>
                <w:rFonts w:ascii="Times New Roman" w:eastAsia="MS Mincho" w:hAnsi="Times New Roman"/>
                <w:sz w:val="20"/>
                <w:szCs w:val="20"/>
              </w:rPr>
              <w:t>9599</w:t>
            </w:r>
          </w:p>
        </w:tc>
        <w:tc>
          <w:tcPr>
            <w:tcW w:w="658" w:type="dxa"/>
            <w:shd w:val="clear" w:color="auto" w:fill="auto"/>
            <w:vAlign w:val="bottom"/>
          </w:tcPr>
          <w:p w:rsidR="00FC41F4" w:rsidRPr="00577593" w:rsidRDefault="008925FA" w:rsidP="002000D4">
            <w:pPr>
              <w:spacing w:after="0" w:line="240" w:lineRule="auto"/>
              <w:jc w:val="center"/>
              <w:rPr>
                <w:rFonts w:ascii="Times New Roman" w:eastAsia="MS Mincho" w:hAnsi="Times New Roman"/>
                <w:sz w:val="20"/>
                <w:szCs w:val="20"/>
              </w:rPr>
            </w:pPr>
            <w:r w:rsidRPr="00577593">
              <w:rPr>
                <w:rFonts w:ascii="Times New Roman" w:eastAsia="MS Mincho" w:hAnsi="Times New Roman"/>
                <w:sz w:val="20"/>
                <w:szCs w:val="20"/>
              </w:rPr>
              <w:t>9278</w:t>
            </w:r>
          </w:p>
        </w:tc>
        <w:tc>
          <w:tcPr>
            <w:tcW w:w="616" w:type="dxa"/>
            <w:shd w:val="clear" w:color="auto" w:fill="auto"/>
            <w:vAlign w:val="bottom"/>
          </w:tcPr>
          <w:p w:rsidR="00FC41F4" w:rsidRPr="00577593" w:rsidRDefault="008925FA" w:rsidP="002000D4">
            <w:pPr>
              <w:spacing w:after="0" w:line="240" w:lineRule="auto"/>
              <w:jc w:val="center"/>
              <w:rPr>
                <w:rFonts w:ascii="Times New Roman" w:eastAsia="MS Mincho" w:hAnsi="Times New Roman"/>
                <w:sz w:val="20"/>
                <w:szCs w:val="20"/>
              </w:rPr>
            </w:pPr>
            <w:r w:rsidRPr="00577593">
              <w:rPr>
                <w:rFonts w:ascii="Times New Roman" w:eastAsia="MS Mincho" w:hAnsi="Times New Roman"/>
                <w:sz w:val="20"/>
                <w:szCs w:val="20"/>
              </w:rPr>
              <w:t>8333</w:t>
            </w:r>
          </w:p>
        </w:tc>
        <w:tc>
          <w:tcPr>
            <w:tcW w:w="616" w:type="dxa"/>
            <w:shd w:val="clear" w:color="auto" w:fill="auto"/>
            <w:vAlign w:val="bottom"/>
          </w:tcPr>
          <w:p w:rsidR="00FC41F4" w:rsidRPr="00577593" w:rsidRDefault="008925FA" w:rsidP="002000D4">
            <w:pPr>
              <w:spacing w:after="0" w:line="240" w:lineRule="auto"/>
              <w:jc w:val="center"/>
              <w:rPr>
                <w:rFonts w:ascii="Times New Roman" w:eastAsia="MS Mincho" w:hAnsi="Times New Roman"/>
                <w:sz w:val="20"/>
                <w:szCs w:val="20"/>
              </w:rPr>
            </w:pPr>
            <w:r w:rsidRPr="00577593">
              <w:rPr>
                <w:rFonts w:ascii="Times New Roman" w:eastAsia="MS Mincho" w:hAnsi="Times New Roman"/>
                <w:sz w:val="20"/>
                <w:szCs w:val="20"/>
              </w:rPr>
              <w:t>7517</w:t>
            </w:r>
          </w:p>
        </w:tc>
        <w:tc>
          <w:tcPr>
            <w:tcW w:w="766" w:type="dxa"/>
            <w:shd w:val="clear" w:color="auto" w:fill="auto"/>
            <w:vAlign w:val="bottom"/>
          </w:tcPr>
          <w:p w:rsidR="00FC41F4" w:rsidRPr="00577593" w:rsidRDefault="008925FA" w:rsidP="002000D4">
            <w:pPr>
              <w:spacing w:after="0" w:line="240" w:lineRule="auto"/>
              <w:jc w:val="center"/>
              <w:rPr>
                <w:rFonts w:ascii="Times New Roman" w:eastAsia="MS Mincho" w:hAnsi="Times New Roman"/>
                <w:sz w:val="20"/>
                <w:szCs w:val="20"/>
              </w:rPr>
            </w:pPr>
            <w:r w:rsidRPr="00577593">
              <w:rPr>
                <w:rFonts w:ascii="Times New Roman" w:eastAsia="MS Mincho" w:hAnsi="Times New Roman"/>
                <w:sz w:val="20"/>
                <w:szCs w:val="20"/>
              </w:rPr>
              <w:t>6849</w:t>
            </w:r>
          </w:p>
        </w:tc>
        <w:tc>
          <w:tcPr>
            <w:tcW w:w="709" w:type="dxa"/>
            <w:shd w:val="clear" w:color="auto" w:fill="auto"/>
            <w:vAlign w:val="bottom"/>
          </w:tcPr>
          <w:p w:rsidR="00FC41F4" w:rsidRPr="00577593" w:rsidRDefault="008925FA" w:rsidP="002000D4">
            <w:pPr>
              <w:spacing w:after="0" w:line="240" w:lineRule="auto"/>
              <w:jc w:val="center"/>
              <w:rPr>
                <w:rFonts w:ascii="Times New Roman" w:eastAsia="MS Mincho" w:hAnsi="Times New Roman"/>
                <w:sz w:val="20"/>
                <w:szCs w:val="20"/>
              </w:rPr>
            </w:pPr>
            <w:r w:rsidRPr="00577593">
              <w:rPr>
                <w:rFonts w:ascii="Times New Roman" w:eastAsia="MS Mincho" w:hAnsi="Times New Roman"/>
                <w:sz w:val="20"/>
                <w:szCs w:val="20"/>
              </w:rPr>
              <w:t>6460</w:t>
            </w:r>
          </w:p>
        </w:tc>
        <w:tc>
          <w:tcPr>
            <w:tcW w:w="708" w:type="dxa"/>
            <w:shd w:val="clear" w:color="auto" w:fill="auto"/>
            <w:vAlign w:val="bottom"/>
          </w:tcPr>
          <w:p w:rsidR="00FC41F4" w:rsidRPr="00577593" w:rsidRDefault="008925FA" w:rsidP="002000D4">
            <w:pPr>
              <w:spacing w:after="0" w:line="240" w:lineRule="auto"/>
              <w:jc w:val="center"/>
              <w:rPr>
                <w:rFonts w:ascii="Times New Roman" w:eastAsia="MS Mincho" w:hAnsi="Times New Roman"/>
                <w:sz w:val="20"/>
                <w:szCs w:val="20"/>
              </w:rPr>
            </w:pPr>
            <w:r w:rsidRPr="00577593">
              <w:rPr>
                <w:rFonts w:ascii="Times New Roman" w:eastAsia="MS Mincho" w:hAnsi="Times New Roman"/>
                <w:sz w:val="20"/>
                <w:szCs w:val="20"/>
              </w:rPr>
              <w:t>6362</w:t>
            </w:r>
          </w:p>
        </w:tc>
        <w:tc>
          <w:tcPr>
            <w:tcW w:w="709" w:type="dxa"/>
            <w:shd w:val="clear" w:color="auto" w:fill="auto"/>
            <w:vAlign w:val="bottom"/>
          </w:tcPr>
          <w:p w:rsidR="00FC41F4" w:rsidRPr="00577593" w:rsidRDefault="008925FA" w:rsidP="002000D4">
            <w:pPr>
              <w:spacing w:after="0" w:line="240" w:lineRule="auto"/>
              <w:jc w:val="center"/>
              <w:rPr>
                <w:rFonts w:ascii="Times New Roman" w:eastAsia="MS Mincho" w:hAnsi="Times New Roman"/>
                <w:sz w:val="20"/>
                <w:szCs w:val="20"/>
              </w:rPr>
            </w:pPr>
            <w:r w:rsidRPr="00577593">
              <w:rPr>
                <w:rFonts w:ascii="Times New Roman" w:eastAsia="MS Mincho" w:hAnsi="Times New Roman"/>
                <w:sz w:val="20"/>
                <w:szCs w:val="20"/>
              </w:rPr>
              <w:t>5797</w:t>
            </w:r>
          </w:p>
        </w:tc>
        <w:tc>
          <w:tcPr>
            <w:tcW w:w="633" w:type="dxa"/>
            <w:shd w:val="clear" w:color="auto" w:fill="auto"/>
            <w:vAlign w:val="bottom"/>
          </w:tcPr>
          <w:p w:rsidR="00FC41F4" w:rsidRPr="00577593" w:rsidRDefault="008925FA" w:rsidP="002000D4">
            <w:pPr>
              <w:spacing w:after="0" w:line="240" w:lineRule="auto"/>
              <w:jc w:val="center"/>
              <w:rPr>
                <w:rFonts w:ascii="Times New Roman" w:eastAsia="MS Mincho" w:hAnsi="Times New Roman"/>
                <w:sz w:val="20"/>
                <w:szCs w:val="20"/>
              </w:rPr>
            </w:pPr>
            <w:r w:rsidRPr="00577593">
              <w:rPr>
                <w:rFonts w:ascii="Times New Roman" w:eastAsia="MS Mincho" w:hAnsi="Times New Roman"/>
                <w:sz w:val="20"/>
                <w:szCs w:val="20"/>
              </w:rPr>
              <w:t>5535</w:t>
            </w:r>
          </w:p>
        </w:tc>
        <w:tc>
          <w:tcPr>
            <w:tcW w:w="637" w:type="dxa"/>
            <w:shd w:val="clear" w:color="auto" w:fill="auto"/>
            <w:vAlign w:val="bottom"/>
          </w:tcPr>
          <w:p w:rsidR="00FC41F4" w:rsidRPr="00577593" w:rsidRDefault="008925FA" w:rsidP="002000D4">
            <w:pPr>
              <w:spacing w:after="0" w:line="240" w:lineRule="auto"/>
              <w:jc w:val="center"/>
              <w:rPr>
                <w:rFonts w:ascii="Times New Roman" w:eastAsia="MS Mincho" w:hAnsi="Times New Roman"/>
                <w:sz w:val="20"/>
                <w:szCs w:val="20"/>
              </w:rPr>
            </w:pPr>
            <w:r w:rsidRPr="00577593">
              <w:rPr>
                <w:rFonts w:ascii="Times New Roman" w:eastAsia="MS Mincho" w:hAnsi="Times New Roman"/>
                <w:sz w:val="20"/>
                <w:szCs w:val="20"/>
              </w:rPr>
              <w:t>5445</w:t>
            </w:r>
          </w:p>
        </w:tc>
      </w:tr>
      <w:tr w:rsidR="00FC41F4" w:rsidRPr="00577593" w:rsidTr="00EE2F1D">
        <w:tc>
          <w:tcPr>
            <w:tcW w:w="1413" w:type="dxa"/>
            <w:shd w:val="clear" w:color="auto" w:fill="auto"/>
          </w:tcPr>
          <w:p w:rsidR="00FC41F4" w:rsidRPr="00577593" w:rsidRDefault="008925FA" w:rsidP="002000D4">
            <w:pPr>
              <w:widowControl w:val="0"/>
              <w:spacing w:after="0" w:line="240" w:lineRule="auto"/>
              <w:jc w:val="both"/>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Умерших</w:t>
            </w:r>
          </w:p>
        </w:tc>
        <w:tc>
          <w:tcPr>
            <w:tcW w:w="621" w:type="dxa"/>
            <w:shd w:val="clear" w:color="auto" w:fill="auto"/>
            <w:vAlign w:val="bottom"/>
          </w:tcPr>
          <w:p w:rsidR="00FC41F4" w:rsidRPr="00577593" w:rsidRDefault="008925FA" w:rsidP="002000D4">
            <w:pPr>
              <w:spacing w:after="0" w:line="240" w:lineRule="auto"/>
              <w:jc w:val="center"/>
              <w:rPr>
                <w:rFonts w:ascii="Times New Roman" w:eastAsia="MS Mincho" w:hAnsi="Times New Roman"/>
                <w:sz w:val="20"/>
                <w:szCs w:val="20"/>
              </w:rPr>
            </w:pPr>
            <w:r w:rsidRPr="00577593">
              <w:rPr>
                <w:rFonts w:ascii="Times New Roman" w:eastAsia="MS Mincho" w:hAnsi="Times New Roman"/>
                <w:sz w:val="20"/>
                <w:szCs w:val="20"/>
              </w:rPr>
              <w:t>7712</w:t>
            </w:r>
          </w:p>
        </w:tc>
        <w:tc>
          <w:tcPr>
            <w:tcW w:w="643" w:type="dxa"/>
            <w:shd w:val="clear" w:color="auto" w:fill="auto"/>
            <w:vAlign w:val="bottom"/>
          </w:tcPr>
          <w:p w:rsidR="00FC41F4" w:rsidRPr="00577593" w:rsidRDefault="008925FA" w:rsidP="002000D4">
            <w:pPr>
              <w:spacing w:after="0" w:line="240" w:lineRule="auto"/>
              <w:jc w:val="center"/>
              <w:rPr>
                <w:rFonts w:ascii="Times New Roman" w:eastAsia="MS Mincho" w:hAnsi="Times New Roman"/>
                <w:sz w:val="20"/>
                <w:szCs w:val="20"/>
              </w:rPr>
            </w:pPr>
            <w:r w:rsidRPr="00577593">
              <w:rPr>
                <w:rFonts w:ascii="Times New Roman" w:eastAsia="MS Mincho" w:hAnsi="Times New Roman"/>
                <w:sz w:val="20"/>
                <w:szCs w:val="20"/>
              </w:rPr>
              <w:t>7574</w:t>
            </w:r>
          </w:p>
        </w:tc>
        <w:tc>
          <w:tcPr>
            <w:tcW w:w="616" w:type="dxa"/>
            <w:shd w:val="clear" w:color="auto" w:fill="auto"/>
            <w:vAlign w:val="bottom"/>
          </w:tcPr>
          <w:p w:rsidR="00FC41F4" w:rsidRPr="00577593" w:rsidRDefault="008925FA" w:rsidP="002000D4">
            <w:pPr>
              <w:spacing w:after="0" w:line="240" w:lineRule="auto"/>
              <w:jc w:val="center"/>
              <w:rPr>
                <w:rFonts w:ascii="Times New Roman" w:eastAsia="MS Mincho" w:hAnsi="Times New Roman"/>
                <w:sz w:val="20"/>
                <w:szCs w:val="20"/>
              </w:rPr>
            </w:pPr>
            <w:r w:rsidRPr="00577593">
              <w:rPr>
                <w:rFonts w:ascii="Times New Roman" w:eastAsia="MS Mincho" w:hAnsi="Times New Roman"/>
                <w:sz w:val="20"/>
                <w:szCs w:val="20"/>
              </w:rPr>
              <w:t>8199</w:t>
            </w:r>
          </w:p>
        </w:tc>
        <w:tc>
          <w:tcPr>
            <w:tcW w:w="658" w:type="dxa"/>
            <w:shd w:val="clear" w:color="auto" w:fill="auto"/>
            <w:vAlign w:val="bottom"/>
          </w:tcPr>
          <w:p w:rsidR="00FC41F4" w:rsidRPr="00577593" w:rsidRDefault="008925FA" w:rsidP="002000D4">
            <w:pPr>
              <w:spacing w:after="0" w:line="240" w:lineRule="auto"/>
              <w:jc w:val="center"/>
              <w:rPr>
                <w:rFonts w:ascii="Times New Roman" w:eastAsia="MS Mincho" w:hAnsi="Times New Roman"/>
                <w:sz w:val="20"/>
                <w:szCs w:val="20"/>
              </w:rPr>
            </w:pPr>
            <w:r w:rsidRPr="00577593">
              <w:rPr>
                <w:rFonts w:ascii="Times New Roman" w:eastAsia="MS Mincho" w:hAnsi="Times New Roman"/>
                <w:sz w:val="20"/>
                <w:szCs w:val="20"/>
              </w:rPr>
              <w:t>7747</w:t>
            </w:r>
          </w:p>
        </w:tc>
        <w:tc>
          <w:tcPr>
            <w:tcW w:w="616" w:type="dxa"/>
            <w:shd w:val="clear" w:color="auto" w:fill="auto"/>
            <w:vAlign w:val="bottom"/>
          </w:tcPr>
          <w:p w:rsidR="00FC41F4" w:rsidRPr="00577593" w:rsidRDefault="008925FA" w:rsidP="002000D4">
            <w:pPr>
              <w:spacing w:after="0" w:line="240" w:lineRule="auto"/>
              <w:jc w:val="center"/>
              <w:rPr>
                <w:rFonts w:ascii="Times New Roman" w:eastAsia="MS Mincho" w:hAnsi="Times New Roman"/>
                <w:sz w:val="20"/>
                <w:szCs w:val="20"/>
              </w:rPr>
            </w:pPr>
            <w:r w:rsidRPr="00577593">
              <w:rPr>
                <w:rFonts w:ascii="Times New Roman" w:eastAsia="MS Mincho" w:hAnsi="Times New Roman"/>
                <w:sz w:val="20"/>
                <w:szCs w:val="20"/>
              </w:rPr>
              <w:t>7819</w:t>
            </w:r>
          </w:p>
        </w:tc>
        <w:tc>
          <w:tcPr>
            <w:tcW w:w="616" w:type="dxa"/>
            <w:shd w:val="clear" w:color="auto" w:fill="auto"/>
            <w:vAlign w:val="bottom"/>
          </w:tcPr>
          <w:p w:rsidR="00FC41F4" w:rsidRPr="00577593" w:rsidRDefault="008925FA" w:rsidP="002000D4">
            <w:pPr>
              <w:spacing w:after="0" w:line="240" w:lineRule="auto"/>
              <w:jc w:val="center"/>
              <w:rPr>
                <w:rFonts w:ascii="Times New Roman" w:eastAsia="MS Mincho" w:hAnsi="Times New Roman"/>
                <w:sz w:val="20"/>
                <w:szCs w:val="20"/>
              </w:rPr>
            </w:pPr>
            <w:r w:rsidRPr="00577593">
              <w:rPr>
                <w:rFonts w:ascii="Times New Roman" w:eastAsia="MS Mincho" w:hAnsi="Times New Roman"/>
                <w:sz w:val="20"/>
                <w:szCs w:val="20"/>
              </w:rPr>
              <w:t>8090</w:t>
            </w:r>
          </w:p>
        </w:tc>
        <w:tc>
          <w:tcPr>
            <w:tcW w:w="766" w:type="dxa"/>
            <w:shd w:val="clear" w:color="auto" w:fill="auto"/>
            <w:vAlign w:val="bottom"/>
          </w:tcPr>
          <w:p w:rsidR="00FC41F4" w:rsidRPr="00577593" w:rsidRDefault="008925FA" w:rsidP="002000D4">
            <w:pPr>
              <w:spacing w:after="0" w:line="240" w:lineRule="auto"/>
              <w:jc w:val="center"/>
              <w:rPr>
                <w:rFonts w:ascii="Times New Roman" w:eastAsia="MS Mincho" w:hAnsi="Times New Roman"/>
                <w:sz w:val="20"/>
                <w:szCs w:val="20"/>
              </w:rPr>
            </w:pPr>
            <w:r w:rsidRPr="00577593">
              <w:rPr>
                <w:rFonts w:ascii="Times New Roman" w:eastAsia="MS Mincho" w:hAnsi="Times New Roman"/>
                <w:sz w:val="20"/>
                <w:szCs w:val="20"/>
              </w:rPr>
              <w:t>7971</w:t>
            </w:r>
          </w:p>
        </w:tc>
        <w:tc>
          <w:tcPr>
            <w:tcW w:w="709" w:type="dxa"/>
            <w:shd w:val="clear" w:color="auto" w:fill="auto"/>
            <w:vAlign w:val="bottom"/>
          </w:tcPr>
          <w:p w:rsidR="00FC41F4" w:rsidRPr="00577593" w:rsidRDefault="008925FA" w:rsidP="002000D4">
            <w:pPr>
              <w:spacing w:after="0" w:line="240" w:lineRule="auto"/>
              <w:jc w:val="center"/>
              <w:rPr>
                <w:rFonts w:ascii="Times New Roman" w:eastAsia="MS Mincho" w:hAnsi="Times New Roman"/>
                <w:sz w:val="20"/>
                <w:szCs w:val="20"/>
              </w:rPr>
            </w:pPr>
            <w:r w:rsidRPr="00577593">
              <w:rPr>
                <w:rFonts w:ascii="Times New Roman" w:eastAsia="MS Mincho" w:hAnsi="Times New Roman"/>
                <w:sz w:val="20"/>
                <w:szCs w:val="20"/>
              </w:rPr>
              <w:t>10441</w:t>
            </w:r>
          </w:p>
        </w:tc>
        <w:tc>
          <w:tcPr>
            <w:tcW w:w="708" w:type="dxa"/>
            <w:shd w:val="clear" w:color="auto" w:fill="auto"/>
            <w:vAlign w:val="bottom"/>
          </w:tcPr>
          <w:p w:rsidR="00FC41F4" w:rsidRPr="00577593" w:rsidRDefault="008925FA" w:rsidP="002000D4">
            <w:pPr>
              <w:spacing w:after="0" w:line="240" w:lineRule="auto"/>
              <w:jc w:val="center"/>
              <w:rPr>
                <w:rFonts w:ascii="Times New Roman" w:eastAsia="MS Mincho" w:hAnsi="Times New Roman"/>
                <w:sz w:val="20"/>
                <w:szCs w:val="20"/>
              </w:rPr>
            </w:pPr>
            <w:r w:rsidRPr="00577593">
              <w:rPr>
                <w:rFonts w:ascii="Times New Roman" w:eastAsia="MS Mincho" w:hAnsi="Times New Roman"/>
                <w:sz w:val="20"/>
                <w:szCs w:val="20"/>
              </w:rPr>
              <w:t>11157</w:t>
            </w:r>
          </w:p>
        </w:tc>
        <w:tc>
          <w:tcPr>
            <w:tcW w:w="709" w:type="dxa"/>
            <w:shd w:val="clear" w:color="auto" w:fill="auto"/>
            <w:vAlign w:val="bottom"/>
          </w:tcPr>
          <w:p w:rsidR="00FC41F4" w:rsidRPr="00577593" w:rsidRDefault="008925FA" w:rsidP="002000D4">
            <w:pPr>
              <w:spacing w:after="0" w:line="240" w:lineRule="auto"/>
              <w:jc w:val="center"/>
              <w:rPr>
                <w:rFonts w:ascii="Times New Roman" w:eastAsia="MS Mincho" w:hAnsi="Times New Roman"/>
                <w:sz w:val="20"/>
                <w:szCs w:val="20"/>
              </w:rPr>
            </w:pPr>
            <w:r w:rsidRPr="00577593">
              <w:rPr>
                <w:rFonts w:ascii="Times New Roman" w:eastAsia="MS Mincho" w:hAnsi="Times New Roman"/>
                <w:sz w:val="20"/>
                <w:szCs w:val="20"/>
              </w:rPr>
              <w:t>8622</w:t>
            </w:r>
          </w:p>
        </w:tc>
        <w:tc>
          <w:tcPr>
            <w:tcW w:w="633" w:type="dxa"/>
            <w:shd w:val="clear" w:color="auto" w:fill="auto"/>
            <w:vAlign w:val="bottom"/>
          </w:tcPr>
          <w:p w:rsidR="00FC41F4" w:rsidRPr="00577593" w:rsidRDefault="008925FA" w:rsidP="002000D4">
            <w:pPr>
              <w:spacing w:after="0" w:line="240" w:lineRule="auto"/>
              <w:jc w:val="center"/>
              <w:rPr>
                <w:rFonts w:ascii="Times New Roman" w:eastAsia="MS Mincho" w:hAnsi="Times New Roman"/>
                <w:sz w:val="20"/>
                <w:szCs w:val="20"/>
              </w:rPr>
            </w:pPr>
            <w:r w:rsidRPr="00577593">
              <w:rPr>
                <w:rFonts w:ascii="Times New Roman" w:eastAsia="MS Mincho" w:hAnsi="Times New Roman"/>
                <w:sz w:val="20"/>
                <w:szCs w:val="20"/>
              </w:rPr>
              <w:t>7779</w:t>
            </w:r>
          </w:p>
        </w:tc>
        <w:tc>
          <w:tcPr>
            <w:tcW w:w="637" w:type="dxa"/>
            <w:shd w:val="clear" w:color="auto" w:fill="auto"/>
            <w:vAlign w:val="bottom"/>
          </w:tcPr>
          <w:p w:rsidR="00FC41F4" w:rsidRPr="00577593" w:rsidRDefault="008925FA" w:rsidP="002000D4">
            <w:pPr>
              <w:spacing w:after="0" w:line="240" w:lineRule="auto"/>
              <w:jc w:val="center"/>
              <w:rPr>
                <w:rFonts w:ascii="Times New Roman" w:eastAsia="MS Mincho" w:hAnsi="Times New Roman"/>
                <w:sz w:val="20"/>
                <w:szCs w:val="20"/>
              </w:rPr>
            </w:pPr>
            <w:r w:rsidRPr="00577593">
              <w:rPr>
                <w:rFonts w:ascii="Times New Roman" w:eastAsia="MS Mincho" w:hAnsi="Times New Roman"/>
                <w:sz w:val="20"/>
                <w:szCs w:val="20"/>
              </w:rPr>
              <w:t>8122</w:t>
            </w:r>
          </w:p>
        </w:tc>
      </w:tr>
      <w:tr w:rsidR="00FC41F4" w:rsidRPr="00577593" w:rsidTr="00EE2F1D">
        <w:tc>
          <w:tcPr>
            <w:tcW w:w="1413" w:type="dxa"/>
            <w:shd w:val="clear" w:color="auto" w:fill="auto"/>
          </w:tcPr>
          <w:p w:rsidR="00FC41F4" w:rsidRPr="00577593" w:rsidRDefault="008925FA" w:rsidP="002000D4">
            <w:pPr>
              <w:widowControl w:val="0"/>
              <w:spacing w:after="0" w:line="240" w:lineRule="auto"/>
              <w:jc w:val="both"/>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Естественный прирост (убыль)</w:t>
            </w:r>
          </w:p>
        </w:tc>
        <w:tc>
          <w:tcPr>
            <w:tcW w:w="621" w:type="dxa"/>
            <w:shd w:val="clear" w:color="auto" w:fill="auto"/>
          </w:tcPr>
          <w:p w:rsidR="00FC41F4" w:rsidRPr="00577593" w:rsidRDefault="008925FA" w:rsidP="002000D4">
            <w:pPr>
              <w:spacing w:after="0" w:line="240" w:lineRule="auto"/>
              <w:jc w:val="center"/>
              <w:rPr>
                <w:rFonts w:ascii="Times New Roman" w:eastAsia="MS Mincho" w:hAnsi="Times New Roman"/>
                <w:sz w:val="20"/>
                <w:szCs w:val="20"/>
              </w:rPr>
            </w:pPr>
            <w:r w:rsidRPr="00577593">
              <w:rPr>
                <w:rFonts w:ascii="Times New Roman" w:eastAsia="MS Mincho" w:hAnsi="Times New Roman"/>
                <w:sz w:val="20"/>
                <w:szCs w:val="20"/>
              </w:rPr>
              <w:t>1315</w:t>
            </w:r>
          </w:p>
        </w:tc>
        <w:tc>
          <w:tcPr>
            <w:tcW w:w="643" w:type="dxa"/>
            <w:shd w:val="clear" w:color="auto" w:fill="auto"/>
          </w:tcPr>
          <w:p w:rsidR="00FC41F4" w:rsidRPr="00577593" w:rsidRDefault="008925FA" w:rsidP="002000D4">
            <w:pPr>
              <w:spacing w:after="0" w:line="240" w:lineRule="auto"/>
              <w:jc w:val="center"/>
              <w:rPr>
                <w:rFonts w:ascii="Times New Roman" w:eastAsia="MS Mincho" w:hAnsi="Times New Roman"/>
                <w:sz w:val="20"/>
                <w:szCs w:val="20"/>
              </w:rPr>
            </w:pPr>
            <w:r w:rsidRPr="00577593">
              <w:rPr>
                <w:rFonts w:ascii="Times New Roman" w:eastAsia="MS Mincho" w:hAnsi="Times New Roman"/>
                <w:sz w:val="20"/>
                <w:szCs w:val="20"/>
              </w:rPr>
              <w:t>1402</w:t>
            </w:r>
          </w:p>
        </w:tc>
        <w:tc>
          <w:tcPr>
            <w:tcW w:w="616" w:type="dxa"/>
            <w:shd w:val="clear" w:color="auto" w:fill="auto"/>
          </w:tcPr>
          <w:p w:rsidR="00FC41F4" w:rsidRPr="00577593" w:rsidRDefault="008925FA" w:rsidP="002000D4">
            <w:pPr>
              <w:spacing w:after="0" w:line="240" w:lineRule="auto"/>
              <w:jc w:val="center"/>
              <w:rPr>
                <w:rFonts w:ascii="Times New Roman" w:eastAsia="MS Mincho" w:hAnsi="Times New Roman"/>
                <w:sz w:val="20"/>
                <w:szCs w:val="20"/>
              </w:rPr>
            </w:pPr>
            <w:r w:rsidRPr="00577593">
              <w:rPr>
                <w:rFonts w:ascii="Times New Roman" w:eastAsia="MS Mincho" w:hAnsi="Times New Roman"/>
                <w:sz w:val="20"/>
                <w:szCs w:val="20"/>
              </w:rPr>
              <w:t>1400</w:t>
            </w:r>
          </w:p>
        </w:tc>
        <w:tc>
          <w:tcPr>
            <w:tcW w:w="658" w:type="dxa"/>
            <w:shd w:val="clear" w:color="auto" w:fill="auto"/>
          </w:tcPr>
          <w:p w:rsidR="00FC41F4" w:rsidRPr="00577593" w:rsidRDefault="008925FA" w:rsidP="002000D4">
            <w:pPr>
              <w:spacing w:after="0" w:line="240" w:lineRule="auto"/>
              <w:jc w:val="center"/>
              <w:rPr>
                <w:rFonts w:ascii="Times New Roman" w:eastAsia="MS Mincho" w:hAnsi="Times New Roman"/>
                <w:sz w:val="20"/>
                <w:szCs w:val="20"/>
              </w:rPr>
            </w:pPr>
            <w:r w:rsidRPr="00577593">
              <w:rPr>
                <w:rFonts w:ascii="Times New Roman" w:eastAsia="MS Mincho" w:hAnsi="Times New Roman"/>
                <w:sz w:val="20"/>
                <w:szCs w:val="20"/>
              </w:rPr>
              <w:t>1531</w:t>
            </w:r>
          </w:p>
        </w:tc>
        <w:tc>
          <w:tcPr>
            <w:tcW w:w="616" w:type="dxa"/>
            <w:shd w:val="clear" w:color="auto" w:fill="auto"/>
          </w:tcPr>
          <w:p w:rsidR="00FC41F4" w:rsidRPr="00577593" w:rsidRDefault="008925FA" w:rsidP="002000D4">
            <w:pPr>
              <w:spacing w:after="0" w:line="240" w:lineRule="auto"/>
              <w:jc w:val="center"/>
              <w:rPr>
                <w:rFonts w:ascii="Times New Roman" w:eastAsia="MS Mincho" w:hAnsi="Times New Roman"/>
                <w:sz w:val="20"/>
                <w:szCs w:val="20"/>
              </w:rPr>
            </w:pPr>
            <w:r w:rsidRPr="00577593">
              <w:rPr>
                <w:rFonts w:ascii="Times New Roman" w:eastAsia="MS Mincho" w:hAnsi="Times New Roman"/>
                <w:sz w:val="20"/>
                <w:szCs w:val="20"/>
              </w:rPr>
              <w:t>514</w:t>
            </w:r>
          </w:p>
        </w:tc>
        <w:tc>
          <w:tcPr>
            <w:tcW w:w="616" w:type="dxa"/>
            <w:shd w:val="clear" w:color="auto" w:fill="auto"/>
          </w:tcPr>
          <w:p w:rsidR="00FC41F4" w:rsidRPr="00577593" w:rsidRDefault="008925FA" w:rsidP="002000D4">
            <w:pPr>
              <w:spacing w:after="0" w:line="240" w:lineRule="auto"/>
              <w:jc w:val="center"/>
              <w:rPr>
                <w:rFonts w:ascii="Times New Roman" w:eastAsia="MS Mincho" w:hAnsi="Times New Roman"/>
                <w:sz w:val="20"/>
                <w:szCs w:val="20"/>
              </w:rPr>
            </w:pPr>
            <w:r w:rsidRPr="00577593">
              <w:rPr>
                <w:rFonts w:ascii="Times New Roman" w:eastAsia="MS Mincho" w:hAnsi="Times New Roman"/>
                <w:sz w:val="20"/>
                <w:szCs w:val="20"/>
              </w:rPr>
              <w:t>-573</w:t>
            </w:r>
          </w:p>
        </w:tc>
        <w:tc>
          <w:tcPr>
            <w:tcW w:w="766" w:type="dxa"/>
            <w:shd w:val="clear" w:color="auto" w:fill="auto"/>
          </w:tcPr>
          <w:p w:rsidR="00FC41F4" w:rsidRPr="00577593" w:rsidRDefault="008925FA" w:rsidP="002000D4">
            <w:pPr>
              <w:spacing w:after="0" w:line="240" w:lineRule="auto"/>
              <w:jc w:val="center"/>
              <w:rPr>
                <w:rFonts w:ascii="Times New Roman" w:eastAsia="MS Mincho" w:hAnsi="Times New Roman"/>
                <w:sz w:val="20"/>
                <w:szCs w:val="20"/>
              </w:rPr>
            </w:pPr>
            <w:r w:rsidRPr="00577593">
              <w:rPr>
                <w:rFonts w:ascii="Times New Roman" w:eastAsia="MS Mincho" w:hAnsi="Times New Roman"/>
                <w:sz w:val="20"/>
                <w:szCs w:val="20"/>
              </w:rPr>
              <w:t>-1122</w:t>
            </w:r>
          </w:p>
        </w:tc>
        <w:tc>
          <w:tcPr>
            <w:tcW w:w="709" w:type="dxa"/>
            <w:shd w:val="clear" w:color="auto" w:fill="auto"/>
          </w:tcPr>
          <w:p w:rsidR="00FC41F4" w:rsidRPr="00577593" w:rsidRDefault="008925FA" w:rsidP="002000D4">
            <w:pPr>
              <w:spacing w:after="0" w:line="240" w:lineRule="auto"/>
              <w:jc w:val="center"/>
              <w:rPr>
                <w:rFonts w:ascii="Times New Roman" w:eastAsia="MS Mincho" w:hAnsi="Times New Roman"/>
                <w:sz w:val="20"/>
                <w:szCs w:val="20"/>
              </w:rPr>
            </w:pPr>
            <w:r w:rsidRPr="00577593">
              <w:rPr>
                <w:rFonts w:ascii="Times New Roman" w:eastAsia="MS Mincho" w:hAnsi="Times New Roman"/>
                <w:sz w:val="20"/>
                <w:szCs w:val="20"/>
              </w:rPr>
              <w:t>-3981</w:t>
            </w:r>
          </w:p>
        </w:tc>
        <w:tc>
          <w:tcPr>
            <w:tcW w:w="708" w:type="dxa"/>
            <w:shd w:val="clear" w:color="auto" w:fill="auto"/>
          </w:tcPr>
          <w:p w:rsidR="00FC41F4" w:rsidRPr="00577593" w:rsidRDefault="008925FA" w:rsidP="002000D4">
            <w:pPr>
              <w:spacing w:after="0" w:line="240" w:lineRule="auto"/>
              <w:jc w:val="center"/>
              <w:rPr>
                <w:rFonts w:ascii="Times New Roman" w:eastAsia="MS Mincho" w:hAnsi="Times New Roman"/>
                <w:sz w:val="20"/>
                <w:szCs w:val="20"/>
              </w:rPr>
            </w:pPr>
            <w:r w:rsidRPr="00577593">
              <w:rPr>
                <w:rFonts w:ascii="Times New Roman" w:eastAsia="MS Mincho" w:hAnsi="Times New Roman"/>
                <w:sz w:val="20"/>
                <w:szCs w:val="20"/>
              </w:rPr>
              <w:t>-4795</w:t>
            </w:r>
          </w:p>
        </w:tc>
        <w:tc>
          <w:tcPr>
            <w:tcW w:w="709" w:type="dxa"/>
            <w:shd w:val="clear" w:color="auto" w:fill="auto"/>
          </w:tcPr>
          <w:p w:rsidR="00FC41F4" w:rsidRPr="00577593" w:rsidRDefault="008925FA" w:rsidP="002000D4">
            <w:pPr>
              <w:spacing w:after="0" w:line="240" w:lineRule="auto"/>
              <w:jc w:val="center"/>
              <w:rPr>
                <w:rFonts w:ascii="Times New Roman" w:eastAsia="MS Mincho" w:hAnsi="Times New Roman"/>
                <w:sz w:val="20"/>
                <w:szCs w:val="20"/>
              </w:rPr>
            </w:pPr>
            <w:r w:rsidRPr="00577593">
              <w:rPr>
                <w:rFonts w:ascii="Times New Roman" w:eastAsia="MS Mincho" w:hAnsi="Times New Roman"/>
                <w:sz w:val="20"/>
                <w:szCs w:val="20"/>
              </w:rPr>
              <w:t>-2825</w:t>
            </w:r>
          </w:p>
        </w:tc>
        <w:tc>
          <w:tcPr>
            <w:tcW w:w="633" w:type="dxa"/>
            <w:shd w:val="clear" w:color="auto" w:fill="auto"/>
          </w:tcPr>
          <w:p w:rsidR="00FC41F4" w:rsidRPr="00577593" w:rsidRDefault="008925FA" w:rsidP="002000D4">
            <w:pPr>
              <w:spacing w:after="0" w:line="240" w:lineRule="auto"/>
              <w:jc w:val="center"/>
              <w:rPr>
                <w:rFonts w:ascii="Times New Roman" w:eastAsia="MS Mincho" w:hAnsi="Times New Roman"/>
                <w:sz w:val="20"/>
                <w:szCs w:val="20"/>
              </w:rPr>
            </w:pPr>
            <w:r w:rsidRPr="00577593">
              <w:rPr>
                <w:rFonts w:ascii="Times New Roman" w:eastAsia="MS Mincho" w:hAnsi="Times New Roman"/>
                <w:sz w:val="20"/>
                <w:szCs w:val="20"/>
              </w:rPr>
              <w:t>-2244</w:t>
            </w:r>
          </w:p>
        </w:tc>
        <w:tc>
          <w:tcPr>
            <w:tcW w:w="637" w:type="dxa"/>
            <w:shd w:val="clear" w:color="auto" w:fill="auto"/>
          </w:tcPr>
          <w:p w:rsidR="00FC41F4" w:rsidRPr="00577593" w:rsidRDefault="008925FA" w:rsidP="002000D4">
            <w:pPr>
              <w:spacing w:after="0" w:line="240" w:lineRule="auto"/>
              <w:jc w:val="center"/>
              <w:rPr>
                <w:rFonts w:ascii="Times New Roman" w:eastAsia="MS Mincho" w:hAnsi="Times New Roman"/>
                <w:sz w:val="20"/>
                <w:szCs w:val="20"/>
              </w:rPr>
            </w:pPr>
            <w:r w:rsidRPr="00577593">
              <w:rPr>
                <w:rFonts w:ascii="Times New Roman" w:eastAsia="MS Mincho" w:hAnsi="Times New Roman"/>
                <w:sz w:val="20"/>
                <w:szCs w:val="20"/>
              </w:rPr>
              <w:t>-2677</w:t>
            </w:r>
          </w:p>
        </w:tc>
      </w:tr>
    </w:tbl>
    <w:p w:rsidR="006D3135" w:rsidRPr="00577593" w:rsidRDefault="008925FA" w:rsidP="002000D4">
      <w:pPr>
        <w:pStyle w:val="aff9"/>
        <w:spacing w:after="0"/>
        <w:rPr>
          <w:rFonts w:ascii="Times New Roman" w:hAnsi="Times New Roman"/>
          <w:i w:val="0"/>
          <w:color w:val="auto"/>
          <w:sz w:val="28"/>
          <w:szCs w:val="28"/>
        </w:rPr>
      </w:pPr>
      <w:r w:rsidRPr="00577593">
        <w:rPr>
          <w:rFonts w:ascii="Times New Roman" w:hAnsi="Times New Roman"/>
          <w:i w:val="0"/>
          <w:color w:val="auto"/>
          <w:sz w:val="28"/>
          <w:szCs w:val="28"/>
        </w:rPr>
        <w:t xml:space="preserve">Примечание </w:t>
      </w:r>
      <w:r w:rsidR="00484779" w:rsidRPr="00577593">
        <w:rPr>
          <w:rFonts w:ascii="Times New Roman" w:hAnsi="Times New Roman"/>
          <w:i w:val="0"/>
          <w:color w:val="auto"/>
          <w:sz w:val="28"/>
          <w:szCs w:val="28"/>
        </w:rPr>
        <w:t>–</w:t>
      </w:r>
      <w:r w:rsidRPr="00577593">
        <w:rPr>
          <w:rFonts w:ascii="Times New Roman" w:hAnsi="Times New Roman"/>
          <w:i w:val="0"/>
          <w:color w:val="auto"/>
          <w:sz w:val="28"/>
          <w:szCs w:val="28"/>
        </w:rPr>
        <w:t xml:space="preserve"> Источник: </w:t>
      </w:r>
      <w:r w:rsidR="009D60C4" w:rsidRPr="00577593">
        <w:rPr>
          <w:rFonts w:ascii="Times New Roman" w:hAnsi="Times New Roman"/>
          <w:i w:val="0"/>
          <w:color w:val="auto"/>
          <w:sz w:val="28"/>
          <w:szCs w:val="28"/>
        </w:rPr>
        <w:t xml:space="preserve">данные </w:t>
      </w:r>
      <w:r w:rsidR="006D3135" w:rsidRPr="00577593">
        <w:rPr>
          <w:rFonts w:ascii="Times New Roman" w:hAnsi="Times New Roman"/>
          <w:i w:val="0"/>
          <w:color w:val="auto"/>
          <w:sz w:val="28"/>
          <w:szCs w:val="28"/>
        </w:rPr>
        <w:t>Росстата</w:t>
      </w:r>
    </w:p>
    <w:p w:rsidR="004369BA" w:rsidRPr="00577593" w:rsidRDefault="004369BA" w:rsidP="002000D4">
      <w:pPr>
        <w:spacing w:after="0" w:line="240" w:lineRule="auto"/>
        <w:ind w:firstLine="709"/>
        <w:jc w:val="both"/>
        <w:rPr>
          <w:rFonts w:ascii="Times New Roman" w:hAnsi="Times New Roman"/>
          <w:b/>
          <w:sz w:val="28"/>
          <w:szCs w:val="28"/>
        </w:rPr>
      </w:pPr>
    </w:p>
    <w:p w:rsidR="00FC41F4" w:rsidRPr="00577593" w:rsidRDefault="00271B5B" w:rsidP="008D738C">
      <w:pPr>
        <w:spacing w:after="0" w:line="240" w:lineRule="auto"/>
        <w:ind w:firstLine="709"/>
        <w:jc w:val="both"/>
        <w:rPr>
          <w:rFonts w:ascii="Times New Roman" w:hAnsi="Times New Roman"/>
          <w:b/>
          <w:sz w:val="28"/>
          <w:szCs w:val="28"/>
        </w:rPr>
      </w:pPr>
      <w:r w:rsidRPr="00577593">
        <w:rPr>
          <w:rFonts w:ascii="Times New Roman" w:hAnsi="Times New Roman"/>
          <w:b/>
          <w:sz w:val="28"/>
          <w:szCs w:val="28"/>
        </w:rPr>
        <w:t xml:space="preserve">2.3.4. </w:t>
      </w:r>
      <w:r w:rsidR="008925FA" w:rsidRPr="00577593">
        <w:rPr>
          <w:rFonts w:ascii="Times New Roman" w:hAnsi="Times New Roman"/>
          <w:b/>
          <w:sz w:val="28"/>
          <w:szCs w:val="28"/>
        </w:rPr>
        <w:t>Миграционное движение населения</w:t>
      </w:r>
    </w:p>
    <w:p w:rsidR="00FC41F4" w:rsidRPr="00577593" w:rsidRDefault="00962BDD" w:rsidP="008D738C">
      <w:pPr>
        <w:spacing w:after="0" w:line="240" w:lineRule="auto"/>
        <w:ind w:firstLine="709"/>
        <w:jc w:val="both"/>
        <w:rPr>
          <w:rFonts w:ascii="Times New Roman" w:hAnsi="Times New Roman"/>
          <w:sz w:val="28"/>
          <w:szCs w:val="28"/>
        </w:rPr>
      </w:pPr>
      <w:r>
        <w:rPr>
          <w:rFonts w:ascii="Times New Roman" w:hAnsi="Times New Roman"/>
          <w:sz w:val="28"/>
          <w:szCs w:val="28"/>
        </w:rPr>
        <w:t xml:space="preserve">Город </w:t>
      </w:r>
      <w:r w:rsidR="008925FA" w:rsidRPr="00577593">
        <w:rPr>
          <w:rFonts w:ascii="Times New Roman" w:hAnsi="Times New Roman"/>
          <w:sz w:val="28"/>
          <w:szCs w:val="28"/>
        </w:rPr>
        <w:t xml:space="preserve">Барнаул </w:t>
      </w:r>
      <w:r w:rsidR="00484779" w:rsidRPr="00577593">
        <w:rPr>
          <w:rFonts w:ascii="Times New Roman" w:hAnsi="Times New Roman"/>
          <w:sz w:val="28"/>
          <w:szCs w:val="28"/>
        </w:rPr>
        <w:t>–</w:t>
      </w:r>
      <w:r w:rsidR="008925FA" w:rsidRPr="00577593">
        <w:rPr>
          <w:rFonts w:ascii="Times New Roman" w:hAnsi="Times New Roman"/>
          <w:sz w:val="28"/>
          <w:szCs w:val="28"/>
        </w:rPr>
        <w:t xml:space="preserve"> центр притяжения внутрирегиональных мигрантов. Более половины прибывающих в город приезжают из других муниципалитетов Алтайского края. По 20</w:t>
      </w:r>
      <w:r w:rsidR="00DC4780" w:rsidRPr="00577593">
        <w:rPr>
          <w:rFonts w:ascii="Times New Roman" w:hAnsi="Times New Roman"/>
          <w:sz w:val="28"/>
          <w:szCs w:val="28"/>
        </w:rPr>
        <w:t>-</w:t>
      </w:r>
      <w:r w:rsidR="008925FA" w:rsidRPr="00577593">
        <w:rPr>
          <w:rFonts w:ascii="Times New Roman" w:hAnsi="Times New Roman"/>
          <w:sz w:val="28"/>
          <w:szCs w:val="28"/>
        </w:rPr>
        <w:t>30% входящей миграции приходится на другие регионы России и зарубежные государства, в подавляющем большинстве страны СНГ.</w:t>
      </w:r>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Поток внутрирегиональной входящей миграции уменьшился </w:t>
      </w:r>
      <w:r w:rsidR="00542CCA" w:rsidRPr="00577593">
        <w:rPr>
          <w:rFonts w:ascii="Times New Roman" w:hAnsi="Times New Roman"/>
          <w:sz w:val="28"/>
          <w:szCs w:val="28"/>
        </w:rPr>
        <w:br/>
      </w:r>
      <w:r w:rsidRPr="00577593">
        <w:rPr>
          <w:rFonts w:ascii="Times New Roman" w:hAnsi="Times New Roman"/>
          <w:sz w:val="28"/>
          <w:szCs w:val="28"/>
        </w:rPr>
        <w:t xml:space="preserve">с </w:t>
      </w:r>
      <w:r w:rsidR="0074709F" w:rsidRPr="00577593">
        <w:rPr>
          <w:rFonts w:ascii="Times New Roman" w:hAnsi="Times New Roman"/>
          <w:sz w:val="28"/>
          <w:szCs w:val="28"/>
        </w:rPr>
        <w:t>18,3</w:t>
      </w:r>
      <w:r w:rsidRPr="00577593">
        <w:rPr>
          <w:rFonts w:ascii="Times New Roman" w:hAnsi="Times New Roman"/>
          <w:sz w:val="28"/>
          <w:szCs w:val="28"/>
        </w:rPr>
        <w:t xml:space="preserve"> тысяч</w:t>
      </w:r>
      <w:r w:rsidR="0074709F" w:rsidRPr="00577593">
        <w:rPr>
          <w:rFonts w:ascii="Times New Roman" w:hAnsi="Times New Roman"/>
          <w:sz w:val="28"/>
          <w:szCs w:val="28"/>
        </w:rPr>
        <w:t>и</w:t>
      </w:r>
      <w:r w:rsidRPr="00577593">
        <w:rPr>
          <w:rFonts w:ascii="Times New Roman" w:hAnsi="Times New Roman"/>
          <w:sz w:val="28"/>
          <w:szCs w:val="28"/>
        </w:rPr>
        <w:t xml:space="preserve"> человек в </w:t>
      </w:r>
      <w:r w:rsidR="00A074D0" w:rsidRPr="00577593">
        <w:rPr>
          <w:rFonts w:ascii="Times New Roman" w:hAnsi="Times New Roman"/>
          <w:sz w:val="28"/>
          <w:szCs w:val="28"/>
        </w:rPr>
        <w:t>2013 году</w:t>
      </w:r>
      <w:r w:rsidRPr="00577593">
        <w:rPr>
          <w:rFonts w:ascii="Times New Roman" w:hAnsi="Times New Roman"/>
          <w:sz w:val="28"/>
          <w:szCs w:val="28"/>
        </w:rPr>
        <w:t xml:space="preserve"> до </w:t>
      </w:r>
      <w:r w:rsidR="00C678ED" w:rsidRPr="00577593">
        <w:rPr>
          <w:rFonts w:ascii="Times New Roman" w:hAnsi="Times New Roman"/>
          <w:sz w:val="28"/>
          <w:szCs w:val="28"/>
        </w:rPr>
        <w:t>7-9</w:t>
      </w:r>
      <w:r w:rsidR="00484779" w:rsidRPr="00577593">
        <w:rPr>
          <w:rFonts w:ascii="Times New Roman" w:hAnsi="Times New Roman"/>
          <w:sz w:val="28"/>
          <w:szCs w:val="28"/>
        </w:rPr>
        <w:t xml:space="preserve"> тысяч человек в 2020-2023 годы</w:t>
      </w:r>
      <w:r w:rsidRPr="00577593">
        <w:rPr>
          <w:rFonts w:ascii="Times New Roman" w:hAnsi="Times New Roman"/>
          <w:sz w:val="28"/>
          <w:szCs w:val="28"/>
        </w:rPr>
        <w:t xml:space="preserve">. Это может быть связано как с сокращением численности населения </w:t>
      </w:r>
      <w:r w:rsidR="002B10DC">
        <w:rPr>
          <w:rFonts w:ascii="Times New Roman" w:hAnsi="Times New Roman"/>
          <w:sz w:val="28"/>
          <w:szCs w:val="28"/>
        </w:rPr>
        <w:br/>
      </w:r>
      <w:r w:rsidRPr="00577593">
        <w:rPr>
          <w:rFonts w:ascii="Times New Roman" w:hAnsi="Times New Roman"/>
          <w:sz w:val="28"/>
          <w:szCs w:val="28"/>
        </w:rPr>
        <w:t xml:space="preserve">в активно мигрирующих возрастах, так и со снижением привлекательности </w:t>
      </w:r>
      <w:r w:rsidR="00962BDD">
        <w:rPr>
          <w:rFonts w:ascii="Times New Roman" w:hAnsi="Times New Roman"/>
          <w:sz w:val="28"/>
          <w:szCs w:val="28"/>
        </w:rPr>
        <w:t>города</w:t>
      </w:r>
      <w:r w:rsidRPr="00577593">
        <w:rPr>
          <w:rFonts w:ascii="Times New Roman" w:hAnsi="Times New Roman"/>
          <w:sz w:val="28"/>
          <w:szCs w:val="28"/>
        </w:rPr>
        <w:t xml:space="preserve"> как направления миграции. Вместе с тем количество мигрантов </w:t>
      </w:r>
      <w:r w:rsidR="002B10DC">
        <w:rPr>
          <w:rFonts w:ascii="Times New Roman" w:hAnsi="Times New Roman"/>
          <w:sz w:val="28"/>
          <w:szCs w:val="28"/>
        </w:rPr>
        <w:br/>
      </w:r>
      <w:r w:rsidRPr="00577593">
        <w:rPr>
          <w:rFonts w:ascii="Times New Roman" w:hAnsi="Times New Roman"/>
          <w:sz w:val="28"/>
          <w:szCs w:val="28"/>
        </w:rPr>
        <w:t>из других субъектов РФ стабильно находится на уровне 3-4 тысяч человек</w:t>
      </w:r>
      <w:r w:rsidR="00962BDD">
        <w:rPr>
          <w:rFonts w:ascii="Times New Roman" w:hAnsi="Times New Roman"/>
          <w:sz w:val="28"/>
          <w:szCs w:val="28"/>
        </w:rPr>
        <w:t xml:space="preserve"> </w:t>
      </w:r>
      <w:r w:rsidR="002B10DC">
        <w:rPr>
          <w:rFonts w:ascii="Times New Roman" w:hAnsi="Times New Roman"/>
          <w:sz w:val="28"/>
          <w:szCs w:val="28"/>
        </w:rPr>
        <w:br/>
      </w:r>
      <w:r w:rsidRPr="00577593">
        <w:rPr>
          <w:rFonts w:ascii="Times New Roman" w:hAnsi="Times New Roman"/>
          <w:sz w:val="28"/>
          <w:szCs w:val="28"/>
        </w:rPr>
        <w:t xml:space="preserve">в год, а входящий поток из-за рубежа, достигнув максимума в 2018 году </w:t>
      </w:r>
      <w:r w:rsidR="00484779" w:rsidRPr="00577593">
        <w:rPr>
          <w:rFonts w:ascii="Times New Roman" w:hAnsi="Times New Roman"/>
          <w:sz w:val="28"/>
          <w:szCs w:val="28"/>
        </w:rPr>
        <w:t>–</w:t>
      </w:r>
      <w:r w:rsidRPr="00577593">
        <w:rPr>
          <w:rFonts w:ascii="Times New Roman" w:hAnsi="Times New Roman"/>
          <w:sz w:val="28"/>
          <w:szCs w:val="28"/>
        </w:rPr>
        <w:t xml:space="preserve"> 8,2 тысячи человек </w:t>
      </w:r>
      <w:r w:rsidR="00484779" w:rsidRPr="00577593">
        <w:rPr>
          <w:rFonts w:ascii="Times New Roman" w:hAnsi="Times New Roman"/>
          <w:sz w:val="28"/>
          <w:szCs w:val="28"/>
        </w:rPr>
        <w:t>–</w:t>
      </w:r>
      <w:r w:rsidRPr="00577593">
        <w:rPr>
          <w:rFonts w:ascii="Times New Roman" w:hAnsi="Times New Roman"/>
          <w:sz w:val="28"/>
          <w:szCs w:val="28"/>
        </w:rPr>
        <w:t xml:space="preserve"> сократился до 2</w:t>
      </w:r>
      <w:r w:rsidR="00484779" w:rsidRPr="00577593">
        <w:rPr>
          <w:rFonts w:ascii="Times New Roman" w:hAnsi="Times New Roman"/>
          <w:sz w:val="28"/>
          <w:szCs w:val="28"/>
        </w:rPr>
        <w:t>-</w:t>
      </w:r>
      <w:r w:rsidRPr="00577593">
        <w:rPr>
          <w:rFonts w:ascii="Times New Roman" w:hAnsi="Times New Roman"/>
          <w:sz w:val="28"/>
          <w:szCs w:val="28"/>
        </w:rPr>
        <w:t>4 тысяч человек в год с 2022 года.</w:t>
      </w:r>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В возрастной структуре входящей миграции преобладают прибывшие в трудоспособном возрасте: в 2023 году их доля составила 73%. В то же время доля прибывших моложе трудоспособного возраста выросла </w:t>
      </w:r>
      <w:r w:rsidR="002B10DC">
        <w:rPr>
          <w:rFonts w:ascii="Times New Roman" w:hAnsi="Times New Roman"/>
          <w:sz w:val="28"/>
          <w:szCs w:val="28"/>
        </w:rPr>
        <w:br/>
      </w:r>
      <w:r w:rsidRPr="00577593">
        <w:rPr>
          <w:rFonts w:ascii="Times New Roman" w:hAnsi="Times New Roman"/>
          <w:sz w:val="28"/>
          <w:szCs w:val="28"/>
        </w:rPr>
        <w:t>с 10-11% в 2012</w:t>
      </w:r>
      <w:r w:rsidR="00484779" w:rsidRPr="00577593">
        <w:rPr>
          <w:rFonts w:ascii="Times New Roman" w:hAnsi="Times New Roman"/>
          <w:sz w:val="28"/>
          <w:szCs w:val="28"/>
        </w:rPr>
        <w:t>-2017 годы</w:t>
      </w:r>
      <w:r w:rsidRPr="00577593">
        <w:rPr>
          <w:rFonts w:ascii="Times New Roman" w:hAnsi="Times New Roman"/>
          <w:sz w:val="28"/>
          <w:szCs w:val="28"/>
        </w:rPr>
        <w:t xml:space="preserve"> до 17% в 2023 году.</w:t>
      </w:r>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Жители </w:t>
      </w:r>
      <w:r w:rsidR="00962BDD">
        <w:rPr>
          <w:rFonts w:ascii="Times New Roman" w:hAnsi="Times New Roman"/>
          <w:sz w:val="28"/>
          <w:szCs w:val="28"/>
        </w:rPr>
        <w:t xml:space="preserve">города </w:t>
      </w:r>
      <w:r w:rsidRPr="00577593">
        <w:rPr>
          <w:rFonts w:ascii="Times New Roman" w:hAnsi="Times New Roman"/>
          <w:sz w:val="28"/>
          <w:szCs w:val="28"/>
        </w:rPr>
        <w:t xml:space="preserve">Барнаула также достаточно активно переезжают. </w:t>
      </w:r>
      <w:r w:rsidR="00962BDD">
        <w:rPr>
          <w:rFonts w:ascii="Times New Roman" w:hAnsi="Times New Roman"/>
          <w:sz w:val="28"/>
          <w:szCs w:val="28"/>
        </w:rPr>
        <w:t xml:space="preserve">      </w:t>
      </w:r>
      <w:r w:rsidRPr="00577593">
        <w:rPr>
          <w:rFonts w:ascii="Times New Roman" w:hAnsi="Times New Roman"/>
          <w:sz w:val="28"/>
          <w:szCs w:val="28"/>
        </w:rPr>
        <w:t xml:space="preserve">До половины потока исходящей миграции направляется в другие </w:t>
      </w:r>
      <w:r w:rsidRPr="00577593">
        <w:rPr>
          <w:rFonts w:ascii="Times New Roman" w:hAnsi="Times New Roman"/>
          <w:sz w:val="28"/>
          <w:szCs w:val="28"/>
        </w:rPr>
        <w:lastRenderedPageBreak/>
        <w:t>муниципа</w:t>
      </w:r>
      <w:r w:rsidR="00CD1A74" w:rsidRPr="00577593">
        <w:rPr>
          <w:rFonts w:ascii="Times New Roman" w:hAnsi="Times New Roman"/>
          <w:sz w:val="28"/>
          <w:szCs w:val="28"/>
        </w:rPr>
        <w:t>литеты Алтайского края (7-8 тысяч</w:t>
      </w:r>
      <w:r w:rsidRPr="00577593">
        <w:rPr>
          <w:rFonts w:ascii="Times New Roman" w:hAnsi="Times New Roman"/>
          <w:sz w:val="28"/>
          <w:szCs w:val="28"/>
        </w:rPr>
        <w:t xml:space="preserve"> человек в год). Еще</w:t>
      </w:r>
      <w:r w:rsidR="00484779" w:rsidRPr="00577593">
        <w:rPr>
          <w:rFonts w:ascii="Times New Roman" w:hAnsi="Times New Roman"/>
          <w:sz w:val="28"/>
          <w:szCs w:val="28"/>
        </w:rPr>
        <w:t xml:space="preserve"> 30-</w:t>
      </w:r>
      <w:r w:rsidRPr="00577593">
        <w:rPr>
          <w:rFonts w:ascii="Times New Roman" w:hAnsi="Times New Roman"/>
          <w:sz w:val="28"/>
          <w:szCs w:val="28"/>
        </w:rPr>
        <w:t>40% миграционного оттока приходится на</w:t>
      </w:r>
      <w:r w:rsidR="00CD1A74" w:rsidRPr="00577593">
        <w:rPr>
          <w:rFonts w:ascii="Times New Roman" w:hAnsi="Times New Roman"/>
          <w:sz w:val="28"/>
          <w:szCs w:val="28"/>
        </w:rPr>
        <w:t xml:space="preserve"> другие регионы России (5</w:t>
      </w:r>
      <w:r w:rsidR="00484779" w:rsidRPr="00577593">
        <w:rPr>
          <w:rFonts w:ascii="Times New Roman" w:hAnsi="Times New Roman"/>
          <w:sz w:val="28"/>
          <w:szCs w:val="28"/>
        </w:rPr>
        <w:t>-</w:t>
      </w:r>
      <w:r w:rsidR="00CD1A74" w:rsidRPr="00577593">
        <w:rPr>
          <w:rFonts w:ascii="Times New Roman" w:hAnsi="Times New Roman"/>
          <w:sz w:val="28"/>
          <w:szCs w:val="28"/>
        </w:rPr>
        <w:t>7 тысяч</w:t>
      </w:r>
      <w:r w:rsidRPr="00577593">
        <w:rPr>
          <w:rFonts w:ascii="Times New Roman" w:hAnsi="Times New Roman"/>
          <w:sz w:val="28"/>
          <w:szCs w:val="28"/>
        </w:rPr>
        <w:t xml:space="preserve"> человек в год). Международная исходящая миграция достигла</w:t>
      </w:r>
      <w:r w:rsidR="00110080" w:rsidRPr="00577593">
        <w:rPr>
          <w:rFonts w:ascii="Times New Roman" w:hAnsi="Times New Roman"/>
          <w:sz w:val="28"/>
          <w:szCs w:val="28"/>
        </w:rPr>
        <w:t xml:space="preserve"> максимума в 2022 году (7,3 тысячи</w:t>
      </w:r>
      <w:r w:rsidRPr="00577593">
        <w:rPr>
          <w:rFonts w:ascii="Times New Roman" w:hAnsi="Times New Roman"/>
          <w:sz w:val="28"/>
          <w:szCs w:val="28"/>
        </w:rPr>
        <w:t xml:space="preserve"> человек), в 2023 году за рубеж выехали 2,2 тысячи барнаульцев.</w:t>
      </w:r>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hAnsi="Times New Roman"/>
          <w:sz w:val="28"/>
          <w:szCs w:val="28"/>
        </w:rPr>
        <w:t>Возрастная структура исходящей миграции достаточно стабильна. Около 80% уезжающих находятс</w:t>
      </w:r>
      <w:r w:rsidR="00484779" w:rsidRPr="00577593">
        <w:rPr>
          <w:rFonts w:ascii="Times New Roman" w:hAnsi="Times New Roman"/>
          <w:sz w:val="28"/>
          <w:szCs w:val="28"/>
        </w:rPr>
        <w:t>я в трудоспособном возрасте, 13-</w:t>
      </w:r>
      <w:r w:rsidRPr="00577593">
        <w:rPr>
          <w:rFonts w:ascii="Times New Roman" w:hAnsi="Times New Roman"/>
          <w:sz w:val="28"/>
          <w:szCs w:val="28"/>
        </w:rPr>
        <w:t>15% мол</w:t>
      </w:r>
      <w:r w:rsidR="00484779" w:rsidRPr="00577593">
        <w:rPr>
          <w:rFonts w:ascii="Times New Roman" w:hAnsi="Times New Roman"/>
          <w:sz w:val="28"/>
          <w:szCs w:val="28"/>
        </w:rPr>
        <w:t>оже трудоспособного возраста, 9-</w:t>
      </w:r>
      <w:r w:rsidRPr="00577593">
        <w:rPr>
          <w:rFonts w:ascii="Times New Roman" w:hAnsi="Times New Roman"/>
          <w:sz w:val="28"/>
          <w:szCs w:val="28"/>
        </w:rPr>
        <w:t xml:space="preserve">11% </w:t>
      </w:r>
      <w:r w:rsidR="00484779" w:rsidRPr="00577593">
        <w:rPr>
          <w:rFonts w:ascii="Times New Roman" w:hAnsi="Times New Roman"/>
          <w:sz w:val="28"/>
          <w:szCs w:val="28"/>
        </w:rPr>
        <w:t>–</w:t>
      </w:r>
      <w:r w:rsidRPr="00577593">
        <w:rPr>
          <w:rFonts w:ascii="Times New Roman" w:hAnsi="Times New Roman"/>
          <w:sz w:val="28"/>
          <w:szCs w:val="28"/>
        </w:rPr>
        <w:t xml:space="preserve"> старше трудоспособного возраста.</w:t>
      </w:r>
    </w:p>
    <w:p w:rsidR="00FC41F4" w:rsidRDefault="008925FA" w:rsidP="008D738C">
      <w:pPr>
        <w:spacing w:after="0" w:line="240" w:lineRule="auto"/>
        <w:ind w:firstLine="709"/>
        <w:jc w:val="both"/>
        <w:rPr>
          <w:rFonts w:ascii="Times New Roman" w:hAnsi="Times New Roman"/>
          <w:sz w:val="28"/>
          <w:szCs w:val="28"/>
        </w:rPr>
      </w:pPr>
      <w:r w:rsidRPr="00577593">
        <w:rPr>
          <w:rFonts w:ascii="Times New Roman" w:hAnsi="Times New Roman"/>
          <w:sz w:val="28"/>
          <w:szCs w:val="28"/>
        </w:rPr>
        <w:t>Сальдо миграции по возрастам полож</w:t>
      </w:r>
      <w:r w:rsidR="00484779" w:rsidRPr="00577593">
        <w:rPr>
          <w:rFonts w:ascii="Times New Roman" w:hAnsi="Times New Roman"/>
          <w:sz w:val="28"/>
          <w:szCs w:val="28"/>
        </w:rPr>
        <w:t>ительное в возрастной группе 15-</w:t>
      </w:r>
      <w:r w:rsidRPr="00577593">
        <w:rPr>
          <w:rFonts w:ascii="Times New Roman" w:hAnsi="Times New Roman"/>
          <w:sz w:val="28"/>
          <w:szCs w:val="28"/>
        </w:rPr>
        <w:t>19 лет для обоих полов, главным образом за счет внутрирегиональной миграции, что может быть связано с поступлением молодежи в образовательные организации</w:t>
      </w:r>
      <w:r w:rsidR="00274CDA">
        <w:rPr>
          <w:rFonts w:ascii="Times New Roman" w:hAnsi="Times New Roman"/>
          <w:sz w:val="28"/>
          <w:szCs w:val="28"/>
        </w:rPr>
        <w:t xml:space="preserve"> города </w:t>
      </w:r>
      <w:r w:rsidRPr="00577593">
        <w:rPr>
          <w:rFonts w:ascii="Times New Roman" w:hAnsi="Times New Roman"/>
          <w:sz w:val="28"/>
          <w:szCs w:val="28"/>
        </w:rPr>
        <w:t>Барн</w:t>
      </w:r>
      <w:r w:rsidR="00484779" w:rsidRPr="00577593">
        <w:rPr>
          <w:rFonts w:ascii="Times New Roman" w:hAnsi="Times New Roman"/>
          <w:sz w:val="28"/>
          <w:szCs w:val="28"/>
        </w:rPr>
        <w:t>аула. В то же время в группе 20-</w:t>
      </w:r>
      <w:r w:rsidRPr="00577593">
        <w:rPr>
          <w:rFonts w:ascii="Times New Roman" w:hAnsi="Times New Roman"/>
          <w:sz w:val="28"/>
          <w:szCs w:val="28"/>
        </w:rPr>
        <w:t xml:space="preserve">24 года максимальное отрицательное сальдо миграции, что свидетельствует об отъезде из города в начале периода трудовой деятельности. </w:t>
      </w:r>
      <w:r w:rsidR="00391C34" w:rsidRPr="00577593">
        <w:rPr>
          <w:rFonts w:ascii="Times New Roman" w:hAnsi="Times New Roman"/>
          <w:sz w:val="28"/>
          <w:szCs w:val="28"/>
        </w:rPr>
        <w:t>Предположительно часть молодежи после окончания высших и профессиональных учебных заведений возвращается обратно в другие муниципалитеты края</w:t>
      </w:r>
      <w:r w:rsidRPr="00577593">
        <w:rPr>
          <w:rFonts w:ascii="Times New Roman" w:hAnsi="Times New Roman"/>
          <w:sz w:val="28"/>
          <w:szCs w:val="28"/>
        </w:rPr>
        <w:t xml:space="preserve">. </w:t>
      </w:r>
      <w:r w:rsidR="00391C34" w:rsidRPr="00577593">
        <w:rPr>
          <w:rFonts w:ascii="Times New Roman" w:hAnsi="Times New Roman"/>
          <w:sz w:val="28"/>
          <w:szCs w:val="28"/>
        </w:rPr>
        <w:t>Так в</w:t>
      </w:r>
      <w:r w:rsidRPr="00577593">
        <w:rPr>
          <w:rFonts w:ascii="Times New Roman" w:hAnsi="Times New Roman"/>
          <w:sz w:val="28"/>
          <w:szCs w:val="28"/>
        </w:rPr>
        <w:t xml:space="preserve"> Павловском и Первомайском муниципальных районах, а также в </w:t>
      </w:r>
      <w:r w:rsidR="00D678EE">
        <w:rPr>
          <w:rFonts w:ascii="Times New Roman" w:hAnsi="Times New Roman"/>
          <w:sz w:val="28"/>
          <w:szCs w:val="28"/>
        </w:rPr>
        <w:t xml:space="preserve">городах </w:t>
      </w:r>
      <w:r w:rsidRPr="00577593">
        <w:rPr>
          <w:rFonts w:ascii="Times New Roman" w:hAnsi="Times New Roman"/>
          <w:sz w:val="28"/>
          <w:szCs w:val="28"/>
        </w:rPr>
        <w:t>Новоалтайск, Бийск, Рубцовск фиксируется внутрирегиональный миграционны</w:t>
      </w:r>
      <w:r w:rsidR="00484779" w:rsidRPr="00577593">
        <w:rPr>
          <w:rFonts w:ascii="Times New Roman" w:hAnsi="Times New Roman"/>
          <w:sz w:val="28"/>
          <w:szCs w:val="28"/>
        </w:rPr>
        <w:t>й приток в возрастной группе 20-</w:t>
      </w:r>
      <w:r w:rsidRPr="00577593">
        <w:rPr>
          <w:rFonts w:ascii="Times New Roman" w:hAnsi="Times New Roman"/>
          <w:sz w:val="28"/>
          <w:szCs w:val="28"/>
        </w:rPr>
        <w:t xml:space="preserve">24 года. В более старших возрастных группах в </w:t>
      </w:r>
      <w:r w:rsidR="00962BDD">
        <w:rPr>
          <w:rFonts w:ascii="Times New Roman" w:hAnsi="Times New Roman"/>
          <w:sz w:val="28"/>
          <w:szCs w:val="28"/>
        </w:rPr>
        <w:t xml:space="preserve">городе </w:t>
      </w:r>
      <w:r w:rsidRPr="00577593">
        <w:rPr>
          <w:rFonts w:ascii="Times New Roman" w:hAnsi="Times New Roman"/>
          <w:sz w:val="28"/>
          <w:szCs w:val="28"/>
        </w:rPr>
        <w:t xml:space="preserve">Барнауле наблюдается преимущественно положительное сальдо внутрирегиональной миграции </w:t>
      </w:r>
      <w:r w:rsidR="00962BDD">
        <w:rPr>
          <w:rFonts w:ascii="Times New Roman" w:hAnsi="Times New Roman"/>
          <w:sz w:val="28"/>
          <w:szCs w:val="28"/>
        </w:rPr>
        <w:t xml:space="preserve">     </w:t>
      </w:r>
      <w:r w:rsidRPr="00577593">
        <w:rPr>
          <w:rFonts w:ascii="Times New Roman" w:hAnsi="Times New Roman"/>
          <w:sz w:val="28"/>
          <w:szCs w:val="28"/>
        </w:rPr>
        <w:t>и отрицательное сальдо межрегиональной миграции (</w:t>
      </w:r>
      <w:r w:rsidR="00D558A5">
        <w:fldChar w:fldCharType="begin"/>
      </w:r>
      <w:r w:rsidR="00D558A5">
        <w:instrText xml:space="preserve"> REF _Ref199378944 \h  \* MERGEFORMAT </w:instrText>
      </w:r>
      <w:r w:rsidR="00D558A5">
        <w:fldChar w:fldCharType="separate"/>
      </w:r>
      <w:r w:rsidR="00071499" w:rsidRPr="00071499">
        <w:rPr>
          <w:rFonts w:ascii="Times New Roman" w:hAnsi="Times New Roman"/>
          <w:sz w:val="28"/>
          <w:szCs w:val="28"/>
        </w:rPr>
        <w:t>Рисунок 8</w:t>
      </w:r>
      <w:r w:rsidR="00D558A5">
        <w:fldChar w:fldCharType="end"/>
      </w:r>
      <w:r w:rsidRPr="00577593">
        <w:rPr>
          <w:rFonts w:ascii="Times New Roman" w:hAnsi="Times New Roman"/>
          <w:sz w:val="28"/>
          <w:szCs w:val="28"/>
        </w:rPr>
        <w:t xml:space="preserve">, </w:t>
      </w:r>
      <w:r w:rsidR="00D558A5">
        <w:fldChar w:fldCharType="begin"/>
      </w:r>
      <w:r w:rsidR="00D558A5">
        <w:instrText xml:space="preserve"> REF _Ref199378951 \h  \* MERGEFORMAT </w:instrText>
      </w:r>
      <w:r w:rsidR="00D558A5">
        <w:fldChar w:fldCharType="separate"/>
      </w:r>
      <w:r w:rsidR="00071499" w:rsidRPr="00071499">
        <w:rPr>
          <w:rFonts w:ascii="Times New Roman" w:hAnsi="Times New Roman"/>
          <w:sz w:val="28"/>
          <w:szCs w:val="28"/>
        </w:rPr>
        <w:t>Рисунок 9</w:t>
      </w:r>
      <w:r w:rsidR="00D558A5">
        <w:fldChar w:fldCharType="end"/>
      </w:r>
      <w:r w:rsidRPr="00577593">
        <w:rPr>
          <w:rFonts w:ascii="Times New Roman" w:hAnsi="Times New Roman"/>
          <w:sz w:val="28"/>
          <w:szCs w:val="28"/>
        </w:rPr>
        <w:t>).</w:t>
      </w:r>
    </w:p>
    <w:p w:rsidR="00D678EE" w:rsidRPr="00577593" w:rsidRDefault="00D678EE" w:rsidP="002000D4">
      <w:pPr>
        <w:spacing w:after="0" w:line="240" w:lineRule="auto"/>
        <w:ind w:firstLine="709"/>
        <w:jc w:val="both"/>
        <w:rPr>
          <w:rFonts w:ascii="Times New Roman" w:hAnsi="Times New Roman"/>
          <w:sz w:val="28"/>
          <w:szCs w:val="28"/>
        </w:rPr>
      </w:pPr>
    </w:p>
    <w:p w:rsidR="00FC41F4" w:rsidRPr="00577593" w:rsidRDefault="000D3F7A" w:rsidP="002000D4">
      <w:pPr>
        <w:spacing w:after="0" w:line="240" w:lineRule="auto"/>
        <w:jc w:val="center"/>
        <w:rPr>
          <w:rFonts w:ascii="Times New Roman" w:hAnsi="Times New Roman"/>
          <w:sz w:val="24"/>
          <w:szCs w:val="24"/>
        </w:rPr>
      </w:pPr>
      <w:r w:rsidRPr="00577593">
        <w:rPr>
          <w:rFonts w:ascii="Times New Roman" w:hAnsi="Times New Roman"/>
          <w:noProof/>
          <w:lang w:eastAsia="ru-RU"/>
        </w:rPr>
        <w:drawing>
          <wp:inline distT="0" distB="0" distL="0" distR="0">
            <wp:extent cx="5081270" cy="2743200"/>
            <wp:effectExtent l="0" t="0" r="0" b="0"/>
            <wp:docPr id="8" name="Диаграмма 47618470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FC41F4" w:rsidRDefault="008925FA" w:rsidP="00B54E09">
      <w:pPr>
        <w:pStyle w:val="aff9"/>
        <w:spacing w:after="0"/>
        <w:jc w:val="center"/>
        <w:rPr>
          <w:rFonts w:ascii="Times New Roman" w:hAnsi="Times New Roman"/>
          <w:i w:val="0"/>
          <w:color w:val="auto"/>
          <w:sz w:val="28"/>
          <w:szCs w:val="28"/>
        </w:rPr>
      </w:pPr>
      <w:bookmarkStart w:id="20" w:name="_Ref199378944"/>
      <w:r w:rsidRPr="00577593">
        <w:rPr>
          <w:rFonts w:ascii="Times New Roman" w:hAnsi="Times New Roman"/>
          <w:i w:val="0"/>
          <w:color w:val="auto"/>
          <w:sz w:val="28"/>
          <w:szCs w:val="28"/>
        </w:rPr>
        <w:t xml:space="preserve">Рисунок </w:t>
      </w:r>
      <w:r w:rsidR="00074AE5" w:rsidRPr="00577593">
        <w:rPr>
          <w:rFonts w:ascii="Times New Roman" w:hAnsi="Times New Roman"/>
          <w:i w:val="0"/>
          <w:color w:val="auto"/>
          <w:sz w:val="28"/>
          <w:szCs w:val="28"/>
        </w:rPr>
        <w:fldChar w:fldCharType="begin"/>
      </w:r>
      <w:r w:rsidRPr="00577593">
        <w:rPr>
          <w:rFonts w:ascii="Times New Roman" w:hAnsi="Times New Roman"/>
          <w:i w:val="0"/>
          <w:color w:val="auto"/>
          <w:sz w:val="28"/>
          <w:szCs w:val="28"/>
        </w:rPr>
        <w:instrText xml:space="preserve"> SEQ Рисунок \* ARABIC </w:instrText>
      </w:r>
      <w:r w:rsidR="00074AE5" w:rsidRPr="00577593">
        <w:rPr>
          <w:rFonts w:ascii="Times New Roman" w:hAnsi="Times New Roman"/>
          <w:i w:val="0"/>
          <w:color w:val="auto"/>
          <w:sz w:val="28"/>
          <w:szCs w:val="28"/>
        </w:rPr>
        <w:fldChar w:fldCharType="separate"/>
      </w:r>
      <w:r w:rsidR="00071499">
        <w:rPr>
          <w:rFonts w:ascii="Times New Roman" w:hAnsi="Times New Roman"/>
          <w:i w:val="0"/>
          <w:noProof/>
          <w:color w:val="auto"/>
          <w:sz w:val="28"/>
          <w:szCs w:val="28"/>
        </w:rPr>
        <w:t>8</w:t>
      </w:r>
      <w:r w:rsidR="00074AE5" w:rsidRPr="00577593">
        <w:rPr>
          <w:rFonts w:ascii="Times New Roman" w:hAnsi="Times New Roman"/>
          <w:i w:val="0"/>
          <w:color w:val="auto"/>
          <w:sz w:val="28"/>
          <w:szCs w:val="28"/>
        </w:rPr>
        <w:fldChar w:fldCharType="end"/>
      </w:r>
      <w:bookmarkEnd w:id="20"/>
      <w:r w:rsidRPr="00577593">
        <w:rPr>
          <w:rFonts w:ascii="Times New Roman" w:hAnsi="Times New Roman"/>
          <w:i w:val="0"/>
          <w:color w:val="auto"/>
          <w:sz w:val="28"/>
          <w:szCs w:val="28"/>
        </w:rPr>
        <w:t xml:space="preserve"> </w:t>
      </w:r>
      <w:r w:rsidR="00484779" w:rsidRPr="00577593">
        <w:rPr>
          <w:rFonts w:ascii="Times New Roman" w:hAnsi="Times New Roman"/>
          <w:i w:val="0"/>
          <w:color w:val="auto"/>
          <w:sz w:val="28"/>
          <w:szCs w:val="28"/>
        </w:rPr>
        <w:t>–</w:t>
      </w:r>
      <w:r w:rsidRPr="00577593">
        <w:rPr>
          <w:rFonts w:ascii="Times New Roman" w:hAnsi="Times New Roman"/>
          <w:i w:val="0"/>
          <w:color w:val="auto"/>
          <w:sz w:val="28"/>
          <w:szCs w:val="28"/>
        </w:rPr>
        <w:t xml:space="preserve"> Сальдо миграции мужчин в </w:t>
      </w:r>
      <w:r w:rsidR="00D678EE">
        <w:rPr>
          <w:rFonts w:ascii="Times New Roman" w:hAnsi="Times New Roman"/>
          <w:i w:val="0"/>
          <w:color w:val="auto"/>
          <w:sz w:val="28"/>
          <w:szCs w:val="28"/>
        </w:rPr>
        <w:t xml:space="preserve">городе </w:t>
      </w:r>
      <w:r w:rsidR="002C4E01" w:rsidRPr="00577593">
        <w:rPr>
          <w:rFonts w:ascii="Times New Roman" w:hAnsi="Times New Roman"/>
          <w:i w:val="0"/>
          <w:color w:val="auto"/>
          <w:sz w:val="28"/>
          <w:szCs w:val="28"/>
        </w:rPr>
        <w:t>Барнауле по возрасту</w:t>
      </w:r>
      <w:r w:rsidR="00D678EE">
        <w:rPr>
          <w:rFonts w:ascii="Times New Roman" w:hAnsi="Times New Roman"/>
          <w:i w:val="0"/>
          <w:color w:val="auto"/>
          <w:sz w:val="28"/>
          <w:szCs w:val="28"/>
        </w:rPr>
        <w:t xml:space="preserve">, </w:t>
      </w:r>
      <w:r w:rsidR="00BE3325" w:rsidRPr="00577593">
        <w:rPr>
          <w:rFonts w:ascii="Times New Roman" w:hAnsi="Times New Roman"/>
          <w:i w:val="0"/>
          <w:color w:val="auto"/>
          <w:sz w:val="28"/>
          <w:szCs w:val="28"/>
        </w:rPr>
        <w:t>январь-декабрь</w:t>
      </w:r>
      <w:r w:rsidR="0069506B" w:rsidRPr="00577593">
        <w:rPr>
          <w:rFonts w:ascii="Times New Roman" w:hAnsi="Times New Roman"/>
          <w:i w:val="0"/>
          <w:color w:val="auto"/>
          <w:sz w:val="28"/>
          <w:szCs w:val="28"/>
        </w:rPr>
        <w:t xml:space="preserve"> 2013-20</w:t>
      </w:r>
      <w:r w:rsidR="00BE3325" w:rsidRPr="00577593">
        <w:rPr>
          <w:rFonts w:ascii="Times New Roman" w:hAnsi="Times New Roman"/>
          <w:i w:val="0"/>
          <w:color w:val="auto"/>
          <w:sz w:val="28"/>
          <w:szCs w:val="28"/>
        </w:rPr>
        <w:t>23 годов</w:t>
      </w:r>
      <w:r w:rsidR="0069506B" w:rsidRPr="00577593">
        <w:rPr>
          <w:rFonts w:ascii="Times New Roman" w:hAnsi="Times New Roman"/>
          <w:i w:val="0"/>
          <w:color w:val="auto"/>
          <w:sz w:val="28"/>
          <w:szCs w:val="28"/>
        </w:rPr>
        <w:t>, человек</w:t>
      </w:r>
    </w:p>
    <w:p w:rsidR="00B54E09" w:rsidRPr="00577593" w:rsidRDefault="00B54E09" w:rsidP="00B54E09">
      <w:pPr>
        <w:pStyle w:val="aff9"/>
        <w:spacing w:after="0"/>
        <w:rPr>
          <w:rFonts w:ascii="Times New Roman" w:hAnsi="Times New Roman"/>
          <w:i w:val="0"/>
          <w:color w:val="auto"/>
          <w:sz w:val="28"/>
          <w:szCs w:val="28"/>
        </w:rPr>
      </w:pPr>
      <w:r w:rsidRPr="00577593">
        <w:rPr>
          <w:rFonts w:ascii="Times New Roman" w:hAnsi="Times New Roman"/>
          <w:i w:val="0"/>
          <w:color w:val="auto"/>
          <w:sz w:val="28"/>
          <w:szCs w:val="28"/>
        </w:rPr>
        <w:t>Примечание – Источник: данные Росстата</w:t>
      </w:r>
    </w:p>
    <w:p w:rsidR="00B54E09" w:rsidRPr="00B54E09" w:rsidRDefault="00B54E09" w:rsidP="00B54E09"/>
    <w:p w:rsidR="00FC41F4" w:rsidRPr="00577593" w:rsidRDefault="000D3F7A" w:rsidP="002000D4">
      <w:pPr>
        <w:spacing w:after="0" w:line="240" w:lineRule="auto"/>
        <w:jc w:val="center"/>
        <w:rPr>
          <w:rFonts w:ascii="Times New Roman" w:hAnsi="Times New Roman"/>
        </w:rPr>
      </w:pPr>
      <w:r w:rsidRPr="00577593">
        <w:rPr>
          <w:rFonts w:ascii="Times New Roman" w:hAnsi="Times New Roman"/>
          <w:noProof/>
          <w:lang w:eastAsia="ru-RU"/>
        </w:rPr>
        <w:lastRenderedPageBreak/>
        <w:drawing>
          <wp:inline distT="0" distB="0" distL="0" distR="0">
            <wp:extent cx="4977130" cy="2743200"/>
            <wp:effectExtent l="0" t="0" r="0" b="0"/>
            <wp:docPr id="9" name="Диаграмма 4761847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FC41F4" w:rsidRDefault="008925FA" w:rsidP="00B54E09">
      <w:pPr>
        <w:pStyle w:val="aff9"/>
        <w:spacing w:after="0"/>
        <w:jc w:val="center"/>
        <w:rPr>
          <w:rFonts w:ascii="Times New Roman" w:hAnsi="Times New Roman"/>
          <w:i w:val="0"/>
          <w:color w:val="auto"/>
          <w:sz w:val="28"/>
          <w:szCs w:val="28"/>
        </w:rPr>
      </w:pPr>
      <w:bookmarkStart w:id="21" w:name="_Ref199378951"/>
      <w:r w:rsidRPr="00577593">
        <w:rPr>
          <w:rFonts w:ascii="Times New Roman" w:hAnsi="Times New Roman"/>
          <w:i w:val="0"/>
          <w:color w:val="auto"/>
          <w:sz w:val="28"/>
          <w:szCs w:val="28"/>
        </w:rPr>
        <w:t xml:space="preserve">Рисунок </w:t>
      </w:r>
      <w:r w:rsidR="00074AE5" w:rsidRPr="00577593">
        <w:rPr>
          <w:rFonts w:ascii="Times New Roman" w:hAnsi="Times New Roman"/>
          <w:i w:val="0"/>
          <w:color w:val="auto"/>
          <w:sz w:val="28"/>
          <w:szCs w:val="28"/>
        </w:rPr>
        <w:fldChar w:fldCharType="begin"/>
      </w:r>
      <w:r w:rsidRPr="00577593">
        <w:rPr>
          <w:rFonts w:ascii="Times New Roman" w:hAnsi="Times New Roman"/>
          <w:i w:val="0"/>
          <w:color w:val="auto"/>
          <w:sz w:val="28"/>
          <w:szCs w:val="28"/>
        </w:rPr>
        <w:instrText xml:space="preserve"> SEQ Рисунок \* ARABIC </w:instrText>
      </w:r>
      <w:r w:rsidR="00074AE5" w:rsidRPr="00577593">
        <w:rPr>
          <w:rFonts w:ascii="Times New Roman" w:hAnsi="Times New Roman"/>
          <w:i w:val="0"/>
          <w:color w:val="auto"/>
          <w:sz w:val="28"/>
          <w:szCs w:val="28"/>
        </w:rPr>
        <w:fldChar w:fldCharType="separate"/>
      </w:r>
      <w:r w:rsidR="00071499">
        <w:rPr>
          <w:rFonts w:ascii="Times New Roman" w:hAnsi="Times New Roman"/>
          <w:i w:val="0"/>
          <w:noProof/>
          <w:color w:val="auto"/>
          <w:sz w:val="28"/>
          <w:szCs w:val="28"/>
        </w:rPr>
        <w:t>9</w:t>
      </w:r>
      <w:r w:rsidR="00074AE5" w:rsidRPr="00577593">
        <w:rPr>
          <w:rFonts w:ascii="Times New Roman" w:hAnsi="Times New Roman"/>
          <w:i w:val="0"/>
          <w:color w:val="auto"/>
          <w:sz w:val="28"/>
          <w:szCs w:val="28"/>
        </w:rPr>
        <w:fldChar w:fldCharType="end"/>
      </w:r>
      <w:bookmarkEnd w:id="21"/>
      <w:r w:rsidRPr="00577593">
        <w:rPr>
          <w:rFonts w:ascii="Times New Roman" w:hAnsi="Times New Roman"/>
          <w:i w:val="0"/>
          <w:color w:val="auto"/>
          <w:sz w:val="28"/>
          <w:szCs w:val="28"/>
        </w:rPr>
        <w:t xml:space="preserve"> </w:t>
      </w:r>
      <w:r w:rsidR="00484779" w:rsidRPr="00577593">
        <w:rPr>
          <w:rFonts w:ascii="Times New Roman" w:hAnsi="Times New Roman"/>
          <w:i w:val="0"/>
          <w:color w:val="auto"/>
          <w:sz w:val="28"/>
          <w:szCs w:val="28"/>
        </w:rPr>
        <w:t>–</w:t>
      </w:r>
      <w:r w:rsidRPr="00577593">
        <w:rPr>
          <w:rFonts w:ascii="Times New Roman" w:hAnsi="Times New Roman"/>
          <w:i w:val="0"/>
          <w:color w:val="auto"/>
          <w:sz w:val="28"/>
          <w:szCs w:val="28"/>
        </w:rPr>
        <w:t xml:space="preserve"> Сальдо миграции женщин в </w:t>
      </w:r>
      <w:r w:rsidR="00D678EE">
        <w:rPr>
          <w:rFonts w:ascii="Times New Roman" w:hAnsi="Times New Roman"/>
          <w:i w:val="0"/>
          <w:color w:val="auto"/>
          <w:sz w:val="28"/>
          <w:szCs w:val="28"/>
        </w:rPr>
        <w:t>городе</w:t>
      </w:r>
      <w:r w:rsidR="00484779" w:rsidRPr="00577593">
        <w:rPr>
          <w:rFonts w:ascii="Times New Roman" w:hAnsi="Times New Roman"/>
          <w:i w:val="0"/>
          <w:color w:val="auto"/>
          <w:sz w:val="28"/>
          <w:szCs w:val="28"/>
        </w:rPr>
        <w:t xml:space="preserve"> </w:t>
      </w:r>
      <w:r w:rsidR="002C4E01" w:rsidRPr="00577593">
        <w:rPr>
          <w:rFonts w:ascii="Times New Roman" w:hAnsi="Times New Roman"/>
          <w:i w:val="0"/>
          <w:color w:val="auto"/>
          <w:sz w:val="28"/>
          <w:szCs w:val="28"/>
        </w:rPr>
        <w:t>Барнауле по возрасту</w:t>
      </w:r>
      <w:r w:rsidR="00D678EE">
        <w:rPr>
          <w:rFonts w:ascii="Times New Roman" w:hAnsi="Times New Roman"/>
          <w:i w:val="0"/>
          <w:color w:val="auto"/>
          <w:sz w:val="28"/>
          <w:szCs w:val="28"/>
        </w:rPr>
        <w:t>,</w:t>
      </w:r>
      <w:r w:rsidR="00D6594E" w:rsidRPr="00577593">
        <w:rPr>
          <w:rFonts w:ascii="Times New Roman" w:hAnsi="Times New Roman"/>
          <w:i w:val="0"/>
          <w:color w:val="auto"/>
          <w:sz w:val="28"/>
          <w:szCs w:val="28"/>
        </w:rPr>
        <w:t xml:space="preserve"> январь-декабрь </w:t>
      </w:r>
      <w:r w:rsidRPr="00577593">
        <w:rPr>
          <w:rFonts w:ascii="Times New Roman" w:hAnsi="Times New Roman"/>
          <w:i w:val="0"/>
          <w:color w:val="auto"/>
          <w:sz w:val="28"/>
          <w:szCs w:val="28"/>
        </w:rPr>
        <w:t>2013</w:t>
      </w:r>
      <w:r w:rsidR="00484779" w:rsidRPr="00577593">
        <w:rPr>
          <w:rFonts w:ascii="Times New Roman" w:hAnsi="Times New Roman"/>
          <w:i w:val="0"/>
          <w:color w:val="auto"/>
          <w:sz w:val="28"/>
          <w:szCs w:val="28"/>
        </w:rPr>
        <w:t>-2023 год</w:t>
      </w:r>
      <w:r w:rsidR="002C4E01" w:rsidRPr="00577593">
        <w:rPr>
          <w:rFonts w:ascii="Times New Roman" w:hAnsi="Times New Roman"/>
          <w:i w:val="0"/>
          <w:color w:val="auto"/>
          <w:sz w:val="28"/>
          <w:szCs w:val="28"/>
        </w:rPr>
        <w:t>ов</w:t>
      </w:r>
      <w:r w:rsidR="00484779" w:rsidRPr="00577593">
        <w:rPr>
          <w:rFonts w:ascii="Times New Roman" w:hAnsi="Times New Roman"/>
          <w:i w:val="0"/>
          <w:color w:val="auto"/>
          <w:sz w:val="28"/>
          <w:szCs w:val="28"/>
        </w:rPr>
        <w:t>, человек</w:t>
      </w:r>
    </w:p>
    <w:p w:rsidR="00B54E09" w:rsidRPr="00577593" w:rsidRDefault="00B54E09" w:rsidP="00B54E09">
      <w:pPr>
        <w:pStyle w:val="aff9"/>
        <w:spacing w:after="0"/>
        <w:rPr>
          <w:rFonts w:ascii="Times New Roman" w:hAnsi="Times New Roman"/>
          <w:i w:val="0"/>
          <w:color w:val="auto"/>
          <w:sz w:val="28"/>
          <w:szCs w:val="28"/>
        </w:rPr>
      </w:pPr>
      <w:r w:rsidRPr="00577593">
        <w:rPr>
          <w:rFonts w:ascii="Times New Roman" w:hAnsi="Times New Roman"/>
          <w:i w:val="0"/>
          <w:color w:val="auto"/>
          <w:sz w:val="28"/>
          <w:szCs w:val="28"/>
        </w:rPr>
        <w:t>Примечание – Источник: данные Росстата</w:t>
      </w:r>
    </w:p>
    <w:p w:rsidR="00B54E09" w:rsidRPr="00B54E09" w:rsidRDefault="00B54E09" w:rsidP="00B54E09">
      <w:pPr>
        <w:spacing w:after="0" w:line="240" w:lineRule="auto"/>
      </w:pPr>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Миграционный прирост </w:t>
      </w:r>
      <w:r w:rsidR="00484779" w:rsidRPr="00577593">
        <w:rPr>
          <w:rFonts w:ascii="Times New Roman" w:hAnsi="Times New Roman"/>
          <w:sz w:val="28"/>
          <w:szCs w:val="28"/>
        </w:rPr>
        <w:t>–</w:t>
      </w:r>
      <w:r w:rsidRPr="00577593">
        <w:rPr>
          <w:rFonts w:ascii="Times New Roman" w:hAnsi="Times New Roman"/>
          <w:sz w:val="28"/>
          <w:szCs w:val="28"/>
        </w:rPr>
        <w:t xml:space="preserve"> фактор стабилизации численности населения </w:t>
      </w:r>
      <w:r w:rsidR="00962BDD">
        <w:rPr>
          <w:rFonts w:ascii="Times New Roman" w:hAnsi="Times New Roman"/>
          <w:sz w:val="28"/>
          <w:szCs w:val="28"/>
        </w:rPr>
        <w:t xml:space="preserve">города </w:t>
      </w:r>
      <w:r w:rsidRPr="00577593">
        <w:rPr>
          <w:rFonts w:ascii="Times New Roman" w:hAnsi="Times New Roman"/>
          <w:sz w:val="28"/>
          <w:szCs w:val="28"/>
        </w:rPr>
        <w:t>Барнаула. Он частично компенсирует естественную убыль населения. Перепись 2022 года показала, что за 2011</w:t>
      </w:r>
      <w:r w:rsidR="00484779" w:rsidRPr="00577593">
        <w:rPr>
          <w:rFonts w:ascii="Times New Roman" w:hAnsi="Times New Roman"/>
          <w:sz w:val="28"/>
          <w:szCs w:val="28"/>
        </w:rPr>
        <w:t>-2022 годы</w:t>
      </w:r>
      <w:r w:rsidRPr="00577593">
        <w:rPr>
          <w:rFonts w:ascii="Times New Roman" w:hAnsi="Times New Roman"/>
          <w:sz w:val="28"/>
          <w:szCs w:val="28"/>
        </w:rPr>
        <w:t xml:space="preserve"> накопилась недооценка численности населения </w:t>
      </w:r>
      <w:r w:rsidR="00962BDD">
        <w:rPr>
          <w:rFonts w:ascii="Times New Roman" w:hAnsi="Times New Roman"/>
          <w:sz w:val="28"/>
          <w:szCs w:val="28"/>
        </w:rPr>
        <w:t>города</w:t>
      </w:r>
      <w:r w:rsidR="00015263" w:rsidRPr="00577593">
        <w:rPr>
          <w:rFonts w:ascii="Times New Roman" w:hAnsi="Times New Roman"/>
          <w:sz w:val="28"/>
          <w:szCs w:val="28"/>
        </w:rPr>
        <w:t xml:space="preserve"> </w:t>
      </w:r>
      <w:r w:rsidRPr="00577593">
        <w:rPr>
          <w:rFonts w:ascii="Times New Roman" w:hAnsi="Times New Roman"/>
          <w:sz w:val="28"/>
          <w:szCs w:val="28"/>
        </w:rPr>
        <w:t>на 5,8 тыс</w:t>
      </w:r>
      <w:r w:rsidR="00110080" w:rsidRPr="00577593">
        <w:rPr>
          <w:rFonts w:ascii="Times New Roman" w:hAnsi="Times New Roman"/>
          <w:sz w:val="28"/>
          <w:szCs w:val="28"/>
        </w:rPr>
        <w:t>ячи</w:t>
      </w:r>
      <w:r w:rsidRPr="00577593">
        <w:rPr>
          <w:rFonts w:ascii="Times New Roman" w:hAnsi="Times New Roman"/>
          <w:sz w:val="28"/>
          <w:szCs w:val="28"/>
        </w:rPr>
        <w:t xml:space="preserve"> человек. Если допустить, что ошибка связана прежде всего с несовершенством миграционного учета, то придется признать, что фактический миграционный прирост превышает текущие оценки. Тем не менее, учитывая, что основой миграционного притока является внутрирегиональная миграция, а численность населения Алтайского края сокращается, можно прогнозировать, что при сохранении текущих тенденций в среднесрочной перспективе численность населения </w:t>
      </w:r>
      <w:r w:rsidR="00962BDD">
        <w:rPr>
          <w:rFonts w:ascii="Times New Roman" w:hAnsi="Times New Roman"/>
          <w:sz w:val="28"/>
          <w:szCs w:val="28"/>
        </w:rPr>
        <w:t xml:space="preserve">города </w:t>
      </w:r>
      <w:r w:rsidRPr="00577593">
        <w:rPr>
          <w:rFonts w:ascii="Times New Roman" w:hAnsi="Times New Roman"/>
          <w:sz w:val="28"/>
          <w:szCs w:val="28"/>
        </w:rPr>
        <w:t>Барнаула будет убывать.</w:t>
      </w:r>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К ключевым демографическим проблемам </w:t>
      </w:r>
      <w:r w:rsidR="00962BDD">
        <w:rPr>
          <w:rFonts w:ascii="Times New Roman" w:hAnsi="Times New Roman"/>
          <w:sz w:val="28"/>
          <w:szCs w:val="28"/>
        </w:rPr>
        <w:t>город</w:t>
      </w:r>
      <w:r w:rsidRPr="00577593">
        <w:rPr>
          <w:rFonts w:ascii="Times New Roman" w:hAnsi="Times New Roman"/>
          <w:sz w:val="28"/>
          <w:szCs w:val="28"/>
        </w:rPr>
        <w:t>а</w:t>
      </w:r>
      <w:r w:rsidR="00180B3F">
        <w:rPr>
          <w:rFonts w:ascii="Times New Roman" w:hAnsi="Times New Roman"/>
          <w:sz w:val="28"/>
          <w:szCs w:val="28"/>
        </w:rPr>
        <w:t xml:space="preserve"> Барнаула</w:t>
      </w:r>
      <w:r w:rsidRPr="00577593">
        <w:rPr>
          <w:rFonts w:ascii="Times New Roman" w:hAnsi="Times New Roman"/>
          <w:sz w:val="28"/>
          <w:szCs w:val="28"/>
        </w:rPr>
        <w:t xml:space="preserve"> можно отнести: </w:t>
      </w:r>
    </w:p>
    <w:p w:rsidR="00FC41F4" w:rsidRPr="00577593" w:rsidRDefault="008925FA" w:rsidP="008D738C">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сокращение рождаемости;  </w:t>
      </w:r>
    </w:p>
    <w:p w:rsidR="00FC41F4" w:rsidRPr="00577593" w:rsidRDefault="008925FA" w:rsidP="008D738C">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отъезд молодежи в другие регионы;  </w:t>
      </w:r>
    </w:p>
    <w:p w:rsidR="00FC41F4" w:rsidRPr="00577593" w:rsidRDefault="008925FA" w:rsidP="008D738C">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сокращение входящей международной миграции;  </w:t>
      </w:r>
    </w:p>
    <w:p w:rsidR="00FC41F4" w:rsidRPr="00577593" w:rsidRDefault="008925FA" w:rsidP="008D738C">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рост доли населения в старших возрастах и увеличение социальной нагрузки; </w:t>
      </w:r>
    </w:p>
    <w:p w:rsidR="00FC41F4" w:rsidRPr="00577593" w:rsidRDefault="008925FA" w:rsidP="008D738C">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исчерпание базы внутрирегиональной входящей миграции.</w:t>
      </w:r>
    </w:p>
    <w:p w:rsidR="00FC41F4" w:rsidRPr="00577593" w:rsidRDefault="00271B5B" w:rsidP="008D738C">
      <w:pPr>
        <w:spacing w:after="0" w:line="240" w:lineRule="auto"/>
        <w:ind w:firstLine="709"/>
        <w:jc w:val="both"/>
        <w:rPr>
          <w:rFonts w:ascii="Times New Roman" w:hAnsi="Times New Roman"/>
          <w:b/>
          <w:sz w:val="28"/>
          <w:szCs w:val="28"/>
        </w:rPr>
      </w:pPr>
      <w:r w:rsidRPr="00577593">
        <w:rPr>
          <w:rFonts w:ascii="Times New Roman" w:hAnsi="Times New Roman"/>
          <w:b/>
          <w:sz w:val="28"/>
          <w:szCs w:val="28"/>
        </w:rPr>
        <w:t xml:space="preserve">2.3.5. </w:t>
      </w:r>
      <w:r w:rsidR="008925FA" w:rsidRPr="00577593">
        <w:rPr>
          <w:rFonts w:ascii="Times New Roman" w:hAnsi="Times New Roman"/>
          <w:b/>
          <w:sz w:val="28"/>
          <w:szCs w:val="28"/>
        </w:rPr>
        <w:t>Трудовые ресурсы. Рынок труда</w:t>
      </w:r>
    </w:p>
    <w:p w:rsidR="006D27AE" w:rsidRDefault="006D27AE" w:rsidP="008D738C">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Численность населения </w:t>
      </w:r>
      <w:r w:rsidR="00962BDD">
        <w:rPr>
          <w:rFonts w:ascii="Times New Roman" w:hAnsi="Times New Roman"/>
          <w:sz w:val="28"/>
          <w:szCs w:val="28"/>
        </w:rPr>
        <w:t xml:space="preserve">города </w:t>
      </w:r>
      <w:r w:rsidRPr="00577593">
        <w:rPr>
          <w:rFonts w:ascii="Times New Roman" w:hAnsi="Times New Roman"/>
          <w:sz w:val="28"/>
          <w:szCs w:val="28"/>
        </w:rPr>
        <w:t xml:space="preserve">Барнаула в трудоспособном возрасте </w:t>
      </w:r>
      <w:r w:rsidR="00015263" w:rsidRPr="00577593">
        <w:rPr>
          <w:rFonts w:ascii="Times New Roman" w:hAnsi="Times New Roman"/>
          <w:sz w:val="28"/>
          <w:szCs w:val="28"/>
        </w:rPr>
        <w:br/>
      </w:r>
      <w:r w:rsidRPr="00577593">
        <w:rPr>
          <w:rFonts w:ascii="Times New Roman" w:hAnsi="Times New Roman"/>
          <w:sz w:val="28"/>
          <w:szCs w:val="28"/>
        </w:rPr>
        <w:t xml:space="preserve">на 01.01.2024 </w:t>
      </w:r>
      <w:r w:rsidR="00484779" w:rsidRPr="00577593">
        <w:rPr>
          <w:rFonts w:ascii="Times New Roman" w:hAnsi="Times New Roman"/>
          <w:sz w:val="28"/>
          <w:szCs w:val="28"/>
        </w:rPr>
        <w:t>–</w:t>
      </w:r>
      <w:r w:rsidRPr="00577593">
        <w:rPr>
          <w:rFonts w:ascii="Times New Roman" w:hAnsi="Times New Roman"/>
          <w:sz w:val="28"/>
          <w:szCs w:val="28"/>
        </w:rPr>
        <w:t xml:space="preserve"> 408,6 тысяч человек, что составило 59,4% населения. Среднесписочная численность работников крупных и средних организаций (без совместителей и работников несписочного состава) </w:t>
      </w:r>
      <w:r w:rsidR="00110080" w:rsidRPr="00577593">
        <w:rPr>
          <w:rFonts w:ascii="Times New Roman" w:hAnsi="Times New Roman"/>
          <w:sz w:val="28"/>
          <w:szCs w:val="28"/>
        </w:rPr>
        <w:t>за 2024 год составила 158,2 тысячи</w:t>
      </w:r>
      <w:r w:rsidRPr="00577593">
        <w:rPr>
          <w:rFonts w:ascii="Times New Roman" w:hAnsi="Times New Roman"/>
          <w:sz w:val="28"/>
          <w:szCs w:val="28"/>
        </w:rPr>
        <w:t xml:space="preserve"> человек (рост на</w:t>
      </w:r>
      <w:r w:rsidR="00015263" w:rsidRPr="00577593">
        <w:rPr>
          <w:rFonts w:ascii="Times New Roman" w:hAnsi="Times New Roman"/>
          <w:sz w:val="28"/>
          <w:szCs w:val="28"/>
        </w:rPr>
        <w:t xml:space="preserve"> </w:t>
      </w:r>
      <w:r w:rsidRPr="00577593">
        <w:rPr>
          <w:rFonts w:ascii="Times New Roman" w:hAnsi="Times New Roman"/>
          <w:sz w:val="28"/>
          <w:szCs w:val="28"/>
        </w:rPr>
        <w:t xml:space="preserve">2,3 тысячи человек по сравнению </w:t>
      </w:r>
      <w:r w:rsidR="00015263" w:rsidRPr="00577593">
        <w:rPr>
          <w:rFonts w:ascii="Times New Roman" w:hAnsi="Times New Roman"/>
          <w:sz w:val="28"/>
          <w:szCs w:val="28"/>
        </w:rPr>
        <w:br/>
      </w:r>
      <w:r w:rsidRPr="00577593">
        <w:rPr>
          <w:rFonts w:ascii="Times New Roman" w:hAnsi="Times New Roman"/>
          <w:sz w:val="28"/>
          <w:szCs w:val="28"/>
        </w:rPr>
        <w:t xml:space="preserve">с 2017 годом). </w:t>
      </w:r>
    </w:p>
    <w:p w:rsidR="006D27AE" w:rsidRPr="00577593" w:rsidRDefault="006D27AE" w:rsidP="008D738C">
      <w:pPr>
        <w:pStyle w:val="my-2"/>
        <w:spacing w:before="0" w:beforeAutospacing="0" w:after="0" w:afterAutospacing="0"/>
        <w:ind w:firstLine="709"/>
        <w:jc w:val="both"/>
        <w:rPr>
          <w:sz w:val="28"/>
          <w:szCs w:val="28"/>
        </w:rPr>
      </w:pPr>
      <w:r w:rsidRPr="00577593">
        <w:rPr>
          <w:rFonts w:eastAsia="SimSun"/>
          <w:sz w:val="28"/>
          <w:szCs w:val="28"/>
          <w:lang w:eastAsia="en-US"/>
        </w:rPr>
        <w:lastRenderedPageBreak/>
        <w:t>Согласно данным о структуре занятости в крупных и средних организациях (</w:t>
      </w:r>
      <w:r w:rsidR="005D340D" w:rsidRPr="00577593">
        <w:rPr>
          <w:rFonts w:eastAsia="SimSun"/>
          <w:sz w:val="28"/>
          <w:szCs w:val="28"/>
          <w:lang w:eastAsia="en-US"/>
        </w:rPr>
        <w:t>р</w:t>
      </w:r>
      <w:r w:rsidRPr="00577593">
        <w:rPr>
          <w:rFonts w:eastAsia="SimSun"/>
          <w:sz w:val="28"/>
          <w:szCs w:val="28"/>
          <w:lang w:eastAsia="en-US"/>
        </w:rPr>
        <w:t xml:space="preserve">исунок 10), ключевыми отраслями являются обрабатывающие производства (18%), здравоохранение и социальные услуги (16%), образование (15%), государственное управление и безопасность (13%), а также торговля (11%). По сравнению с 2017 годом наибольший относительный прирост численности занятых отмечается в сфере гостиничного и ресторанного бизнеса (на 89%), профессиональной, научной и технической деятельности (на 49%), а также в обрабатывающих производствах (на 24%). </w:t>
      </w:r>
      <w:r w:rsidRPr="00577593">
        <w:rPr>
          <w:sz w:val="28"/>
          <w:szCs w:val="28"/>
        </w:rPr>
        <w:t xml:space="preserve">В абсолютном выражении максимальный рост показали обрабатывающие производства (+5542 человека), торговля </w:t>
      </w:r>
      <w:r w:rsidR="00015263" w:rsidRPr="00577593">
        <w:rPr>
          <w:sz w:val="28"/>
          <w:szCs w:val="28"/>
        </w:rPr>
        <w:br/>
      </w:r>
      <w:r w:rsidRPr="00577593">
        <w:rPr>
          <w:sz w:val="28"/>
          <w:szCs w:val="28"/>
        </w:rPr>
        <w:t>(+2868 человека), профессиональная, научная и техническая деятельность (+1560 человек). Наибольшее относительное сокращение численности занятых зафиксировано в сфере операций с</w:t>
      </w:r>
      <w:r w:rsidR="00962BDD">
        <w:rPr>
          <w:sz w:val="28"/>
          <w:szCs w:val="28"/>
        </w:rPr>
        <w:t xml:space="preserve"> недвижимостью (-</w:t>
      </w:r>
      <w:r w:rsidRPr="00577593">
        <w:rPr>
          <w:sz w:val="28"/>
          <w:szCs w:val="28"/>
        </w:rPr>
        <w:t>64%),</w:t>
      </w:r>
      <w:r w:rsidR="00962BDD">
        <w:rPr>
          <w:sz w:val="28"/>
          <w:szCs w:val="28"/>
        </w:rPr>
        <w:t xml:space="preserve"> предоставления прочих услуг (-57%), сельском хозяйстве (-</w:t>
      </w:r>
      <w:r w:rsidRPr="00577593">
        <w:rPr>
          <w:sz w:val="28"/>
          <w:szCs w:val="28"/>
        </w:rPr>
        <w:t xml:space="preserve">41%) </w:t>
      </w:r>
      <w:r w:rsidR="00015263" w:rsidRPr="00577593">
        <w:rPr>
          <w:sz w:val="28"/>
          <w:szCs w:val="28"/>
        </w:rPr>
        <w:br/>
      </w:r>
      <w:r w:rsidRPr="00577593">
        <w:rPr>
          <w:sz w:val="28"/>
          <w:szCs w:val="28"/>
        </w:rPr>
        <w:t>и строительстве (-32%). В абсолютном выражении наиболее заметное уменьшение числа работников наблюдается в</w:t>
      </w:r>
      <w:r w:rsidR="00962BDD">
        <w:rPr>
          <w:sz w:val="28"/>
          <w:szCs w:val="28"/>
        </w:rPr>
        <w:t xml:space="preserve"> отраслях информации и связи (-</w:t>
      </w:r>
      <w:r w:rsidRPr="00577593">
        <w:rPr>
          <w:sz w:val="28"/>
          <w:szCs w:val="28"/>
        </w:rPr>
        <w:t>1544 человека), государственного управления и обеспечения безопасности (- 1393 челов</w:t>
      </w:r>
      <w:r w:rsidR="00962BDD">
        <w:rPr>
          <w:sz w:val="28"/>
          <w:szCs w:val="28"/>
        </w:rPr>
        <w:t>ека) и операций с недвижимостью (-</w:t>
      </w:r>
      <w:r w:rsidRPr="00577593">
        <w:rPr>
          <w:sz w:val="28"/>
          <w:szCs w:val="28"/>
        </w:rPr>
        <w:t>1099 человек).</w:t>
      </w:r>
    </w:p>
    <w:p w:rsidR="00FC41F4" w:rsidRPr="00577593" w:rsidRDefault="000D3F7A" w:rsidP="002000D4">
      <w:pPr>
        <w:spacing w:after="0" w:line="240" w:lineRule="auto"/>
        <w:jc w:val="both"/>
        <w:rPr>
          <w:rFonts w:ascii="Times New Roman" w:hAnsi="Times New Roman"/>
          <w:sz w:val="24"/>
          <w:szCs w:val="24"/>
        </w:rPr>
      </w:pPr>
      <w:r w:rsidRPr="00577593">
        <w:rPr>
          <w:rFonts w:ascii="Times New Roman" w:hAnsi="Times New Roman"/>
          <w:noProof/>
          <w:lang w:eastAsia="ru-RU"/>
        </w:rPr>
        <w:drawing>
          <wp:inline distT="0" distB="0" distL="0" distR="0">
            <wp:extent cx="5953125" cy="4910455"/>
            <wp:effectExtent l="0" t="0" r="9525" b="4445"/>
            <wp:docPr id="10" name="Диаграмма 4761847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FC41F4" w:rsidRDefault="008925FA" w:rsidP="00B54E09">
      <w:pPr>
        <w:pStyle w:val="aff9"/>
        <w:spacing w:after="0"/>
        <w:jc w:val="center"/>
        <w:rPr>
          <w:rFonts w:ascii="Times New Roman" w:hAnsi="Times New Roman"/>
          <w:i w:val="0"/>
          <w:color w:val="auto"/>
          <w:sz w:val="28"/>
          <w:szCs w:val="28"/>
        </w:rPr>
      </w:pPr>
      <w:bookmarkStart w:id="22" w:name="_Ref199378991"/>
      <w:r w:rsidRPr="00577593">
        <w:rPr>
          <w:rFonts w:ascii="Times New Roman" w:hAnsi="Times New Roman"/>
          <w:i w:val="0"/>
          <w:color w:val="auto"/>
          <w:sz w:val="28"/>
          <w:szCs w:val="28"/>
        </w:rPr>
        <w:t xml:space="preserve">Рисунок </w:t>
      </w:r>
      <w:r w:rsidR="00074AE5" w:rsidRPr="00577593">
        <w:rPr>
          <w:rFonts w:ascii="Times New Roman" w:hAnsi="Times New Roman"/>
          <w:i w:val="0"/>
          <w:color w:val="auto"/>
          <w:sz w:val="28"/>
          <w:szCs w:val="28"/>
        </w:rPr>
        <w:fldChar w:fldCharType="begin"/>
      </w:r>
      <w:r w:rsidRPr="00577593">
        <w:rPr>
          <w:rFonts w:ascii="Times New Roman" w:hAnsi="Times New Roman"/>
          <w:i w:val="0"/>
          <w:color w:val="auto"/>
          <w:sz w:val="28"/>
          <w:szCs w:val="28"/>
        </w:rPr>
        <w:instrText xml:space="preserve"> SEQ Рисунок \* ARABIC </w:instrText>
      </w:r>
      <w:r w:rsidR="00074AE5" w:rsidRPr="00577593">
        <w:rPr>
          <w:rFonts w:ascii="Times New Roman" w:hAnsi="Times New Roman"/>
          <w:i w:val="0"/>
          <w:color w:val="auto"/>
          <w:sz w:val="28"/>
          <w:szCs w:val="28"/>
        </w:rPr>
        <w:fldChar w:fldCharType="separate"/>
      </w:r>
      <w:r w:rsidR="00071499">
        <w:rPr>
          <w:rFonts w:ascii="Times New Roman" w:hAnsi="Times New Roman"/>
          <w:i w:val="0"/>
          <w:noProof/>
          <w:color w:val="auto"/>
          <w:sz w:val="28"/>
          <w:szCs w:val="28"/>
        </w:rPr>
        <w:t>10</w:t>
      </w:r>
      <w:r w:rsidR="00074AE5" w:rsidRPr="00577593">
        <w:rPr>
          <w:rFonts w:ascii="Times New Roman" w:hAnsi="Times New Roman"/>
          <w:i w:val="0"/>
          <w:color w:val="auto"/>
          <w:sz w:val="28"/>
          <w:szCs w:val="28"/>
        </w:rPr>
        <w:fldChar w:fldCharType="end"/>
      </w:r>
      <w:bookmarkEnd w:id="22"/>
      <w:r w:rsidRPr="00577593">
        <w:rPr>
          <w:rFonts w:ascii="Times New Roman" w:hAnsi="Times New Roman"/>
          <w:i w:val="0"/>
          <w:color w:val="auto"/>
          <w:sz w:val="28"/>
          <w:szCs w:val="28"/>
        </w:rPr>
        <w:t xml:space="preserve"> </w:t>
      </w:r>
      <w:r w:rsidR="00484779" w:rsidRPr="00577593">
        <w:rPr>
          <w:rFonts w:ascii="Times New Roman" w:hAnsi="Times New Roman"/>
          <w:i w:val="0"/>
          <w:color w:val="auto"/>
          <w:sz w:val="28"/>
          <w:szCs w:val="28"/>
        </w:rPr>
        <w:t>–</w:t>
      </w:r>
      <w:r w:rsidRPr="00577593">
        <w:rPr>
          <w:rFonts w:ascii="Times New Roman" w:hAnsi="Times New Roman"/>
          <w:i w:val="0"/>
          <w:color w:val="auto"/>
          <w:sz w:val="28"/>
          <w:szCs w:val="28"/>
        </w:rPr>
        <w:t xml:space="preserve"> Структура занятости в крупных и средних организациях </w:t>
      </w:r>
      <w:r w:rsidR="005D340D" w:rsidRPr="00577593">
        <w:rPr>
          <w:rFonts w:ascii="Times New Roman" w:hAnsi="Times New Roman"/>
          <w:i w:val="0"/>
          <w:color w:val="auto"/>
          <w:sz w:val="28"/>
          <w:szCs w:val="28"/>
        </w:rPr>
        <w:br/>
      </w:r>
      <w:r w:rsidR="00D678EE">
        <w:rPr>
          <w:rFonts w:ascii="Times New Roman" w:hAnsi="Times New Roman"/>
          <w:i w:val="0"/>
          <w:color w:val="auto"/>
          <w:sz w:val="28"/>
          <w:szCs w:val="28"/>
        </w:rPr>
        <w:t xml:space="preserve">города </w:t>
      </w:r>
      <w:r w:rsidRPr="00577593">
        <w:rPr>
          <w:rFonts w:ascii="Times New Roman" w:hAnsi="Times New Roman"/>
          <w:i w:val="0"/>
          <w:color w:val="auto"/>
          <w:sz w:val="28"/>
          <w:szCs w:val="28"/>
        </w:rPr>
        <w:t>Барнаула, %</w:t>
      </w:r>
    </w:p>
    <w:p w:rsidR="00B54E09" w:rsidRPr="00577593" w:rsidRDefault="00B54E09" w:rsidP="00B54E09">
      <w:pPr>
        <w:pStyle w:val="aff9"/>
        <w:spacing w:after="0"/>
        <w:rPr>
          <w:rFonts w:ascii="Times New Roman" w:hAnsi="Times New Roman"/>
          <w:i w:val="0"/>
          <w:color w:val="auto"/>
          <w:sz w:val="28"/>
          <w:szCs w:val="28"/>
        </w:rPr>
      </w:pPr>
      <w:r w:rsidRPr="00577593">
        <w:rPr>
          <w:rFonts w:ascii="Times New Roman" w:hAnsi="Times New Roman"/>
          <w:i w:val="0"/>
          <w:color w:val="auto"/>
          <w:sz w:val="28"/>
          <w:szCs w:val="28"/>
        </w:rPr>
        <w:t>Примечание – Источник: данные Росстата</w:t>
      </w:r>
    </w:p>
    <w:p w:rsidR="00B54E09" w:rsidRPr="00B54E09" w:rsidRDefault="00B54E09" w:rsidP="00B54E09">
      <w:pPr>
        <w:spacing w:after="0" w:line="240" w:lineRule="auto"/>
      </w:pPr>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Крупнейшими работодателями </w:t>
      </w:r>
      <w:r w:rsidR="007C3F30">
        <w:rPr>
          <w:rFonts w:ascii="Times New Roman" w:hAnsi="Times New Roman"/>
          <w:sz w:val="28"/>
          <w:szCs w:val="28"/>
        </w:rPr>
        <w:t xml:space="preserve">города </w:t>
      </w:r>
      <w:r w:rsidRPr="00577593">
        <w:rPr>
          <w:rFonts w:ascii="Times New Roman" w:hAnsi="Times New Roman"/>
          <w:sz w:val="28"/>
          <w:szCs w:val="28"/>
        </w:rPr>
        <w:t xml:space="preserve">Барнаула с численностью занятых более </w:t>
      </w:r>
      <w:r w:rsidR="006D27AE" w:rsidRPr="00577593">
        <w:rPr>
          <w:rFonts w:ascii="Times New Roman" w:hAnsi="Times New Roman"/>
          <w:sz w:val="28"/>
          <w:szCs w:val="28"/>
        </w:rPr>
        <w:t>одной</w:t>
      </w:r>
      <w:r w:rsidRPr="00577593">
        <w:rPr>
          <w:rFonts w:ascii="Times New Roman" w:hAnsi="Times New Roman"/>
          <w:sz w:val="28"/>
          <w:szCs w:val="28"/>
        </w:rPr>
        <w:t xml:space="preserve"> тысячи человек являются АО ХК «Барн</w:t>
      </w:r>
      <w:r w:rsidR="00110080" w:rsidRPr="00577593">
        <w:rPr>
          <w:rFonts w:ascii="Times New Roman" w:hAnsi="Times New Roman"/>
          <w:sz w:val="28"/>
          <w:szCs w:val="28"/>
        </w:rPr>
        <w:t xml:space="preserve">аултрансмаш» </w:t>
      </w:r>
      <w:r w:rsidR="00015263" w:rsidRPr="00577593">
        <w:rPr>
          <w:rFonts w:ascii="Times New Roman" w:hAnsi="Times New Roman"/>
          <w:sz w:val="28"/>
          <w:szCs w:val="28"/>
        </w:rPr>
        <w:br/>
      </w:r>
      <w:r w:rsidR="00110080" w:rsidRPr="00577593">
        <w:rPr>
          <w:rFonts w:ascii="Times New Roman" w:hAnsi="Times New Roman"/>
          <w:sz w:val="28"/>
          <w:szCs w:val="28"/>
        </w:rPr>
        <w:t>(3,1 тысяча</w:t>
      </w:r>
      <w:r w:rsidRPr="00577593">
        <w:rPr>
          <w:rFonts w:ascii="Times New Roman" w:hAnsi="Times New Roman"/>
          <w:sz w:val="28"/>
          <w:szCs w:val="28"/>
        </w:rPr>
        <w:t xml:space="preserve"> работающих), АО ПО «Алтайский шинный комбинат» </w:t>
      </w:r>
      <w:r w:rsidR="00015263" w:rsidRPr="00577593">
        <w:rPr>
          <w:rFonts w:ascii="Times New Roman" w:hAnsi="Times New Roman"/>
          <w:sz w:val="28"/>
          <w:szCs w:val="28"/>
        </w:rPr>
        <w:br/>
      </w:r>
      <w:r w:rsidRPr="00577593">
        <w:rPr>
          <w:rFonts w:ascii="Times New Roman" w:hAnsi="Times New Roman"/>
          <w:sz w:val="28"/>
          <w:szCs w:val="28"/>
        </w:rPr>
        <w:t>(до 01.</w:t>
      </w:r>
      <w:r w:rsidR="00110080" w:rsidRPr="00577593">
        <w:rPr>
          <w:rFonts w:ascii="Times New Roman" w:hAnsi="Times New Roman"/>
          <w:sz w:val="28"/>
          <w:szCs w:val="28"/>
        </w:rPr>
        <w:t xml:space="preserve">01.2025 </w:t>
      </w:r>
      <w:r w:rsidR="00484779" w:rsidRPr="00577593">
        <w:rPr>
          <w:rFonts w:ascii="Times New Roman" w:hAnsi="Times New Roman"/>
          <w:sz w:val="28"/>
          <w:szCs w:val="28"/>
        </w:rPr>
        <w:t>–</w:t>
      </w:r>
      <w:r w:rsidR="00110080" w:rsidRPr="00577593">
        <w:rPr>
          <w:rFonts w:ascii="Times New Roman" w:hAnsi="Times New Roman"/>
          <w:sz w:val="28"/>
          <w:szCs w:val="28"/>
        </w:rPr>
        <w:t xml:space="preserve"> ООО «Нортек», 2,3 тысячи</w:t>
      </w:r>
      <w:r w:rsidRPr="00577593">
        <w:rPr>
          <w:rFonts w:ascii="Times New Roman" w:hAnsi="Times New Roman"/>
          <w:sz w:val="28"/>
          <w:szCs w:val="28"/>
        </w:rPr>
        <w:t xml:space="preserve"> работающих), </w:t>
      </w:r>
      <w:r w:rsidR="00015263" w:rsidRPr="00577593">
        <w:rPr>
          <w:rFonts w:ascii="Times New Roman" w:hAnsi="Times New Roman"/>
          <w:sz w:val="28"/>
          <w:szCs w:val="28"/>
        </w:rPr>
        <w:t xml:space="preserve"> </w:t>
      </w:r>
      <w:r w:rsidRPr="00577593">
        <w:rPr>
          <w:rFonts w:ascii="Times New Roman" w:hAnsi="Times New Roman"/>
          <w:sz w:val="28"/>
          <w:szCs w:val="28"/>
        </w:rPr>
        <w:t>ООО «Управ</w:t>
      </w:r>
      <w:r w:rsidR="00110080" w:rsidRPr="00577593">
        <w:rPr>
          <w:rFonts w:ascii="Times New Roman" w:hAnsi="Times New Roman"/>
          <w:sz w:val="28"/>
          <w:szCs w:val="28"/>
        </w:rPr>
        <w:t>ляющая компания «АЗПИ» (1,5 тысячи</w:t>
      </w:r>
      <w:r w:rsidRPr="00577593">
        <w:rPr>
          <w:rFonts w:ascii="Times New Roman" w:hAnsi="Times New Roman"/>
          <w:sz w:val="28"/>
          <w:szCs w:val="28"/>
        </w:rPr>
        <w:t xml:space="preserve"> работающих), </w:t>
      </w:r>
      <w:r w:rsidR="0069506B" w:rsidRPr="00577593">
        <w:rPr>
          <w:rFonts w:ascii="Times New Roman" w:hAnsi="Times New Roman"/>
          <w:sz w:val="28"/>
          <w:szCs w:val="28"/>
        </w:rPr>
        <w:br/>
      </w:r>
      <w:r w:rsidRPr="00577593">
        <w:rPr>
          <w:rFonts w:ascii="Times New Roman" w:hAnsi="Times New Roman"/>
          <w:sz w:val="28"/>
          <w:szCs w:val="28"/>
        </w:rPr>
        <w:t>АО ХК «Барнаульский станкостроительный завод», ОП ООО «БТК Текстиль» Барнаульский меланжевый комбина</w:t>
      </w:r>
      <w:r w:rsidR="00110080" w:rsidRPr="00577593">
        <w:rPr>
          <w:rFonts w:ascii="Times New Roman" w:hAnsi="Times New Roman"/>
          <w:sz w:val="28"/>
          <w:szCs w:val="28"/>
        </w:rPr>
        <w:t xml:space="preserve">т «Меланжист Алтая» </w:t>
      </w:r>
      <w:r w:rsidR="00015263" w:rsidRPr="00577593">
        <w:rPr>
          <w:rFonts w:ascii="Times New Roman" w:hAnsi="Times New Roman"/>
          <w:sz w:val="28"/>
          <w:szCs w:val="28"/>
        </w:rPr>
        <w:br/>
      </w:r>
      <w:r w:rsidR="00110080" w:rsidRPr="00577593">
        <w:rPr>
          <w:rFonts w:ascii="Times New Roman" w:hAnsi="Times New Roman"/>
          <w:sz w:val="28"/>
          <w:szCs w:val="28"/>
        </w:rPr>
        <w:t>(по 1,3 тысячи</w:t>
      </w:r>
      <w:r w:rsidRPr="00577593">
        <w:rPr>
          <w:rFonts w:ascii="Times New Roman" w:hAnsi="Times New Roman"/>
          <w:sz w:val="28"/>
          <w:szCs w:val="28"/>
        </w:rPr>
        <w:t xml:space="preserve"> работающих), ООО «Сибэнергомаш-БКЗ», АО «Барнаульский молочный комбинат», ОАО «Барнаульский </w:t>
      </w:r>
      <w:r w:rsidR="00110080" w:rsidRPr="00577593">
        <w:rPr>
          <w:rFonts w:ascii="Times New Roman" w:hAnsi="Times New Roman"/>
          <w:sz w:val="28"/>
          <w:szCs w:val="28"/>
        </w:rPr>
        <w:t>пивоваренный завод» (по 1,1 тысяч</w:t>
      </w:r>
      <w:r w:rsidRPr="00577593">
        <w:rPr>
          <w:rFonts w:ascii="Times New Roman" w:hAnsi="Times New Roman"/>
          <w:sz w:val="28"/>
          <w:szCs w:val="28"/>
        </w:rPr>
        <w:t xml:space="preserve"> работающих). Наибольший прирост количества работающих за последние 4 года имел место</w:t>
      </w:r>
      <w:r w:rsidR="00015263" w:rsidRPr="00577593">
        <w:rPr>
          <w:rFonts w:ascii="Times New Roman" w:hAnsi="Times New Roman"/>
          <w:sz w:val="28"/>
          <w:szCs w:val="28"/>
        </w:rPr>
        <w:t xml:space="preserve"> </w:t>
      </w:r>
      <w:r w:rsidRPr="00577593">
        <w:rPr>
          <w:rFonts w:ascii="Times New Roman" w:hAnsi="Times New Roman"/>
          <w:sz w:val="28"/>
          <w:szCs w:val="28"/>
        </w:rPr>
        <w:t>в АО</w:t>
      </w:r>
      <w:r w:rsidR="00110080" w:rsidRPr="00577593">
        <w:rPr>
          <w:rFonts w:ascii="Times New Roman" w:hAnsi="Times New Roman"/>
          <w:sz w:val="28"/>
          <w:szCs w:val="28"/>
        </w:rPr>
        <w:t xml:space="preserve"> ХК «Барнаултрансмаш» (+1,7 тысячи</w:t>
      </w:r>
      <w:r w:rsidRPr="00577593">
        <w:rPr>
          <w:rFonts w:ascii="Times New Roman" w:hAnsi="Times New Roman"/>
          <w:sz w:val="28"/>
          <w:szCs w:val="28"/>
        </w:rPr>
        <w:t xml:space="preserve"> занятых), наиболее сокращение </w:t>
      </w:r>
      <w:r w:rsidR="00484779" w:rsidRPr="00577593">
        <w:rPr>
          <w:rFonts w:ascii="Times New Roman" w:hAnsi="Times New Roman"/>
          <w:sz w:val="28"/>
          <w:szCs w:val="28"/>
        </w:rPr>
        <w:t>–</w:t>
      </w:r>
      <w:r w:rsidR="00015263" w:rsidRPr="00577593">
        <w:rPr>
          <w:rFonts w:ascii="Times New Roman" w:hAnsi="Times New Roman"/>
          <w:sz w:val="28"/>
          <w:szCs w:val="28"/>
        </w:rPr>
        <w:t xml:space="preserve"> </w:t>
      </w:r>
      <w:r w:rsidRPr="00577593">
        <w:rPr>
          <w:rFonts w:ascii="Times New Roman" w:hAnsi="Times New Roman"/>
          <w:sz w:val="28"/>
          <w:szCs w:val="28"/>
        </w:rPr>
        <w:t>в АО ХК «Барнаульский стан</w:t>
      </w:r>
      <w:r w:rsidR="00110080" w:rsidRPr="00577593">
        <w:rPr>
          <w:rFonts w:ascii="Times New Roman" w:hAnsi="Times New Roman"/>
          <w:sz w:val="28"/>
          <w:szCs w:val="28"/>
        </w:rPr>
        <w:t>костроительный завод» (-0,6 тысячи</w:t>
      </w:r>
      <w:r w:rsidRPr="00577593">
        <w:rPr>
          <w:rFonts w:ascii="Times New Roman" w:hAnsi="Times New Roman"/>
          <w:sz w:val="28"/>
          <w:szCs w:val="28"/>
        </w:rPr>
        <w:t xml:space="preserve"> занятых).</w:t>
      </w:r>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hAnsi="Times New Roman"/>
          <w:sz w:val="28"/>
          <w:szCs w:val="28"/>
        </w:rPr>
        <w:t>По состоянию на 01.01.2025 в</w:t>
      </w:r>
      <w:r w:rsidR="00274CDA">
        <w:rPr>
          <w:rFonts w:ascii="Times New Roman" w:hAnsi="Times New Roman"/>
          <w:sz w:val="28"/>
          <w:szCs w:val="28"/>
        </w:rPr>
        <w:t xml:space="preserve"> городе</w:t>
      </w:r>
      <w:r w:rsidRPr="00577593">
        <w:rPr>
          <w:rFonts w:ascii="Times New Roman" w:hAnsi="Times New Roman"/>
          <w:sz w:val="28"/>
          <w:szCs w:val="28"/>
        </w:rPr>
        <w:t xml:space="preserve"> Бар</w:t>
      </w:r>
      <w:r w:rsidR="00110080" w:rsidRPr="00577593">
        <w:rPr>
          <w:rFonts w:ascii="Times New Roman" w:hAnsi="Times New Roman"/>
          <w:sz w:val="28"/>
          <w:szCs w:val="28"/>
        </w:rPr>
        <w:t xml:space="preserve">науле зарегистрировано </w:t>
      </w:r>
      <w:r w:rsidR="00274CDA">
        <w:rPr>
          <w:rFonts w:ascii="Times New Roman" w:hAnsi="Times New Roman"/>
          <w:sz w:val="28"/>
          <w:szCs w:val="28"/>
        </w:rPr>
        <w:br/>
      </w:r>
      <w:r w:rsidR="00110080" w:rsidRPr="00577593">
        <w:rPr>
          <w:rFonts w:ascii="Times New Roman" w:hAnsi="Times New Roman"/>
          <w:sz w:val="28"/>
          <w:szCs w:val="28"/>
        </w:rPr>
        <w:t>23,3 тысячи</w:t>
      </w:r>
      <w:r w:rsidRPr="00577593">
        <w:rPr>
          <w:rFonts w:ascii="Times New Roman" w:hAnsi="Times New Roman"/>
          <w:sz w:val="28"/>
          <w:szCs w:val="28"/>
        </w:rPr>
        <w:t xml:space="preserve"> индивидуальных предпринимателей</w:t>
      </w:r>
      <w:r w:rsidR="006D27AE" w:rsidRPr="00577593">
        <w:rPr>
          <w:rFonts w:ascii="Times New Roman" w:hAnsi="Times New Roman"/>
          <w:sz w:val="28"/>
          <w:szCs w:val="28"/>
        </w:rPr>
        <w:t>,</w:t>
      </w:r>
      <w:r w:rsidRPr="00577593">
        <w:rPr>
          <w:rFonts w:ascii="Times New Roman" w:hAnsi="Times New Roman"/>
          <w:sz w:val="28"/>
          <w:szCs w:val="28"/>
        </w:rPr>
        <w:t xml:space="preserve"> 8,7% жителей </w:t>
      </w:r>
      <w:r w:rsidR="00274CDA">
        <w:rPr>
          <w:rFonts w:ascii="Times New Roman" w:hAnsi="Times New Roman"/>
          <w:sz w:val="28"/>
          <w:szCs w:val="28"/>
        </w:rPr>
        <w:t>города</w:t>
      </w:r>
      <w:r w:rsidRPr="00577593">
        <w:rPr>
          <w:rFonts w:ascii="Times New Roman" w:hAnsi="Times New Roman"/>
          <w:sz w:val="28"/>
          <w:szCs w:val="28"/>
        </w:rPr>
        <w:t xml:space="preserve"> трудоустроены как</w:t>
      </w:r>
      <w:r w:rsidR="00D678EE">
        <w:rPr>
          <w:rFonts w:ascii="Times New Roman" w:hAnsi="Times New Roman"/>
          <w:sz w:val="28"/>
          <w:szCs w:val="28"/>
        </w:rPr>
        <w:t xml:space="preserve"> </w:t>
      </w:r>
      <w:r w:rsidRPr="00577593">
        <w:rPr>
          <w:rFonts w:ascii="Times New Roman" w:hAnsi="Times New Roman"/>
          <w:sz w:val="28"/>
          <w:szCs w:val="28"/>
        </w:rPr>
        <w:t>самозанятые.</w:t>
      </w:r>
      <w:r w:rsidR="007C3F30">
        <w:rPr>
          <w:rFonts w:ascii="Times New Roman" w:hAnsi="Times New Roman"/>
          <w:sz w:val="28"/>
          <w:szCs w:val="28"/>
        </w:rPr>
        <w:t xml:space="preserve"> </w:t>
      </w:r>
      <w:r w:rsidRPr="00577593">
        <w:rPr>
          <w:rFonts w:ascii="Times New Roman" w:hAnsi="Times New Roman"/>
          <w:sz w:val="28"/>
          <w:szCs w:val="28"/>
        </w:rPr>
        <w:t xml:space="preserve">Уровень официально зарегистрированной безработицы достиг максимума </w:t>
      </w:r>
      <w:r w:rsidR="00484779" w:rsidRPr="00577593">
        <w:rPr>
          <w:rFonts w:ascii="Times New Roman" w:hAnsi="Times New Roman"/>
          <w:sz w:val="28"/>
          <w:szCs w:val="28"/>
        </w:rPr>
        <w:t>–</w:t>
      </w:r>
      <w:r w:rsidRPr="00577593">
        <w:rPr>
          <w:rFonts w:ascii="Times New Roman" w:hAnsi="Times New Roman"/>
          <w:sz w:val="28"/>
          <w:szCs w:val="28"/>
        </w:rPr>
        <w:t xml:space="preserve"> 2% </w:t>
      </w:r>
      <w:r w:rsidR="00484779" w:rsidRPr="00577593">
        <w:rPr>
          <w:rFonts w:ascii="Times New Roman" w:hAnsi="Times New Roman"/>
          <w:sz w:val="28"/>
          <w:szCs w:val="28"/>
        </w:rPr>
        <w:t>–</w:t>
      </w:r>
      <w:r w:rsidRPr="00577593">
        <w:rPr>
          <w:rFonts w:ascii="Times New Roman" w:hAnsi="Times New Roman"/>
          <w:sz w:val="28"/>
          <w:szCs w:val="28"/>
        </w:rPr>
        <w:t xml:space="preserve"> в 2020 году, после чего снизился </w:t>
      </w:r>
      <w:r w:rsidR="007C3F30">
        <w:rPr>
          <w:rFonts w:ascii="Times New Roman" w:hAnsi="Times New Roman"/>
          <w:sz w:val="28"/>
          <w:szCs w:val="28"/>
        </w:rPr>
        <w:t xml:space="preserve">     </w:t>
      </w:r>
      <w:r w:rsidRPr="00577593">
        <w:rPr>
          <w:rFonts w:ascii="Times New Roman" w:hAnsi="Times New Roman"/>
          <w:sz w:val="28"/>
          <w:szCs w:val="28"/>
        </w:rPr>
        <w:t xml:space="preserve">до 0,3% в 2021 году и до минимума </w:t>
      </w:r>
      <w:r w:rsidR="00484779" w:rsidRPr="00577593">
        <w:rPr>
          <w:rFonts w:ascii="Times New Roman" w:hAnsi="Times New Roman"/>
          <w:sz w:val="28"/>
          <w:szCs w:val="28"/>
        </w:rPr>
        <w:t>–</w:t>
      </w:r>
      <w:r w:rsidRPr="00577593">
        <w:rPr>
          <w:rFonts w:ascii="Times New Roman" w:hAnsi="Times New Roman"/>
          <w:sz w:val="28"/>
          <w:szCs w:val="28"/>
        </w:rPr>
        <w:t xml:space="preserve"> 0,1% в 2024 году. В государственной службе занятости </w:t>
      </w:r>
      <w:r w:rsidR="00490B50" w:rsidRPr="00577593">
        <w:rPr>
          <w:rFonts w:ascii="Times New Roman" w:hAnsi="Times New Roman"/>
          <w:sz w:val="28"/>
          <w:szCs w:val="28"/>
        </w:rPr>
        <w:t>на начало 2025 года</w:t>
      </w:r>
      <w:r w:rsidRPr="00577593">
        <w:rPr>
          <w:rFonts w:ascii="Times New Roman" w:hAnsi="Times New Roman"/>
          <w:sz w:val="28"/>
          <w:szCs w:val="28"/>
        </w:rPr>
        <w:t xml:space="preserve"> зарегистрировано 590 человек.</w:t>
      </w:r>
      <w:r w:rsidR="002C545F" w:rsidRPr="00577593">
        <w:rPr>
          <w:rFonts w:ascii="Times New Roman" w:hAnsi="Times New Roman"/>
          <w:sz w:val="28"/>
          <w:szCs w:val="28"/>
        </w:rPr>
        <w:t xml:space="preserve"> </w:t>
      </w:r>
      <w:r w:rsidR="007C3F30">
        <w:rPr>
          <w:rFonts w:ascii="Times New Roman" w:hAnsi="Times New Roman"/>
          <w:sz w:val="28"/>
          <w:szCs w:val="28"/>
        </w:rPr>
        <w:t xml:space="preserve">          </w:t>
      </w:r>
      <w:r w:rsidR="00830F0D" w:rsidRPr="00577593">
        <w:rPr>
          <w:rFonts w:ascii="Times New Roman" w:hAnsi="Times New Roman"/>
          <w:sz w:val="28"/>
          <w:szCs w:val="28"/>
        </w:rPr>
        <w:t xml:space="preserve">В целях стабилизации кадровой политики на территории города, в том числе реализуются мероприятий </w:t>
      </w:r>
      <w:r w:rsidR="002C545F" w:rsidRPr="00577593">
        <w:rPr>
          <w:rFonts w:ascii="Times New Roman" w:hAnsi="Times New Roman"/>
          <w:sz w:val="28"/>
          <w:szCs w:val="28"/>
        </w:rPr>
        <w:t>государственн</w:t>
      </w:r>
      <w:r w:rsidR="00830F0D" w:rsidRPr="00577593">
        <w:rPr>
          <w:rFonts w:ascii="Times New Roman" w:hAnsi="Times New Roman"/>
          <w:sz w:val="28"/>
          <w:szCs w:val="28"/>
        </w:rPr>
        <w:t>ой</w:t>
      </w:r>
      <w:r w:rsidR="002C545F" w:rsidRPr="00577593">
        <w:rPr>
          <w:rFonts w:ascii="Times New Roman" w:hAnsi="Times New Roman"/>
          <w:sz w:val="28"/>
          <w:szCs w:val="28"/>
        </w:rPr>
        <w:t xml:space="preserve"> программ</w:t>
      </w:r>
      <w:r w:rsidR="00830F0D" w:rsidRPr="00577593">
        <w:rPr>
          <w:rFonts w:ascii="Times New Roman" w:hAnsi="Times New Roman"/>
          <w:sz w:val="28"/>
          <w:szCs w:val="28"/>
        </w:rPr>
        <w:t>ы</w:t>
      </w:r>
      <w:r w:rsidR="002C545F" w:rsidRPr="00577593">
        <w:rPr>
          <w:rFonts w:ascii="Times New Roman" w:hAnsi="Times New Roman"/>
          <w:sz w:val="28"/>
          <w:szCs w:val="28"/>
        </w:rPr>
        <w:t xml:space="preserve"> «Содействие занятости населения Алтайского края».</w:t>
      </w:r>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По </w:t>
      </w:r>
      <w:r w:rsidRPr="00D678EE">
        <w:rPr>
          <w:rFonts w:ascii="Times New Roman" w:hAnsi="Times New Roman"/>
          <w:sz w:val="28"/>
          <w:szCs w:val="28"/>
        </w:rPr>
        <w:t xml:space="preserve">данным </w:t>
      </w:r>
      <w:r w:rsidR="007C3F30" w:rsidRPr="00D678EE">
        <w:rPr>
          <w:rFonts w:ascii="Times New Roman" w:hAnsi="Times New Roman"/>
          <w:sz w:val="28"/>
          <w:szCs w:val="28"/>
        </w:rPr>
        <w:t>крупнейшей российской платформы для поиска работы</w:t>
      </w:r>
      <w:r w:rsidR="007C3F30" w:rsidRPr="00577593">
        <w:rPr>
          <w:rFonts w:ascii="Times New Roman" w:hAnsi="Times New Roman"/>
          <w:sz w:val="28"/>
          <w:szCs w:val="28"/>
        </w:rPr>
        <w:t xml:space="preserve"> </w:t>
      </w:r>
      <w:r w:rsidRPr="00577593">
        <w:rPr>
          <w:rFonts w:ascii="Times New Roman" w:hAnsi="Times New Roman"/>
          <w:sz w:val="28"/>
          <w:szCs w:val="28"/>
        </w:rPr>
        <w:t>HH.ru</w:t>
      </w:r>
      <w:r w:rsidR="00484779" w:rsidRPr="00577593">
        <w:rPr>
          <w:rFonts w:ascii="Times New Roman" w:hAnsi="Times New Roman"/>
          <w:sz w:val="28"/>
          <w:szCs w:val="28"/>
        </w:rPr>
        <w:t xml:space="preserve"> по состоянию на апрель 2025 года</w:t>
      </w:r>
      <w:r w:rsidRPr="00577593">
        <w:rPr>
          <w:rFonts w:ascii="Times New Roman" w:hAnsi="Times New Roman"/>
          <w:sz w:val="28"/>
          <w:szCs w:val="28"/>
        </w:rPr>
        <w:t xml:space="preserve"> на </w:t>
      </w:r>
      <w:r w:rsidR="00D57127">
        <w:rPr>
          <w:rFonts w:ascii="Times New Roman" w:hAnsi="Times New Roman"/>
          <w:sz w:val="28"/>
          <w:szCs w:val="28"/>
        </w:rPr>
        <w:t>одну</w:t>
      </w:r>
      <w:r w:rsidRPr="00577593">
        <w:rPr>
          <w:rFonts w:ascii="Times New Roman" w:hAnsi="Times New Roman"/>
          <w:sz w:val="28"/>
          <w:szCs w:val="28"/>
        </w:rPr>
        <w:t xml:space="preserve"> вакансию </w:t>
      </w:r>
      <w:r w:rsidR="00015263" w:rsidRPr="00577593">
        <w:rPr>
          <w:rFonts w:ascii="Times New Roman" w:hAnsi="Times New Roman"/>
          <w:sz w:val="28"/>
          <w:szCs w:val="28"/>
        </w:rPr>
        <w:br/>
      </w:r>
      <w:r w:rsidRPr="00577593">
        <w:rPr>
          <w:rFonts w:ascii="Times New Roman" w:hAnsi="Times New Roman"/>
          <w:sz w:val="28"/>
          <w:szCs w:val="28"/>
        </w:rPr>
        <w:t xml:space="preserve">в </w:t>
      </w:r>
      <w:r w:rsidR="00D57127">
        <w:rPr>
          <w:rFonts w:ascii="Times New Roman" w:hAnsi="Times New Roman"/>
          <w:sz w:val="28"/>
          <w:szCs w:val="28"/>
        </w:rPr>
        <w:t xml:space="preserve">городе </w:t>
      </w:r>
      <w:r w:rsidRPr="00577593">
        <w:rPr>
          <w:rFonts w:ascii="Times New Roman" w:hAnsi="Times New Roman"/>
          <w:sz w:val="28"/>
          <w:szCs w:val="28"/>
        </w:rPr>
        <w:t>Барнауле приходилось 5,8 резюме (в апреле 20</w:t>
      </w:r>
      <w:r w:rsidR="00484779" w:rsidRPr="00577593">
        <w:rPr>
          <w:rFonts w:ascii="Times New Roman" w:hAnsi="Times New Roman"/>
          <w:sz w:val="28"/>
          <w:szCs w:val="28"/>
        </w:rPr>
        <w:t>24 года</w:t>
      </w:r>
      <w:r w:rsidRPr="00577593">
        <w:rPr>
          <w:rFonts w:ascii="Times New Roman" w:hAnsi="Times New Roman"/>
          <w:sz w:val="28"/>
          <w:szCs w:val="28"/>
        </w:rPr>
        <w:t xml:space="preserve"> </w:t>
      </w:r>
      <w:r w:rsidR="00484779" w:rsidRPr="00577593">
        <w:rPr>
          <w:rFonts w:ascii="Times New Roman" w:hAnsi="Times New Roman"/>
          <w:sz w:val="28"/>
          <w:szCs w:val="28"/>
        </w:rPr>
        <w:t>–</w:t>
      </w:r>
      <w:r w:rsidRPr="00577593">
        <w:rPr>
          <w:rFonts w:ascii="Times New Roman" w:hAnsi="Times New Roman"/>
          <w:sz w:val="28"/>
          <w:szCs w:val="28"/>
        </w:rPr>
        <w:t xml:space="preserve"> 2,9). Количество опубликованных резюме за год увеличилось на 48%, количество вакансий уменьшилось на 27%. Количество резюме за год увеличилось во всех профессиональных областях, максимальный прирост </w:t>
      </w:r>
      <w:r w:rsidR="00484779" w:rsidRPr="00577593">
        <w:rPr>
          <w:rFonts w:ascii="Times New Roman" w:hAnsi="Times New Roman"/>
          <w:sz w:val="28"/>
          <w:szCs w:val="28"/>
        </w:rPr>
        <w:t>–</w:t>
      </w:r>
      <w:r w:rsidRPr="00577593">
        <w:rPr>
          <w:rFonts w:ascii="Times New Roman" w:hAnsi="Times New Roman"/>
          <w:sz w:val="28"/>
          <w:szCs w:val="28"/>
        </w:rPr>
        <w:t xml:space="preserve"> в автомобильном бизнесе (+110%), транспорте, логистике, перевозках (+76%), существенно выросло число резюме рабочего персонала (+73%), число резюме в отрасли туризма, гостиниц, ресторанов (+63%), строительстве и недвижимости (+58%). Количество вакансий сократилось во всех областях, кроме высшего и среднего менеджмента (рост на 7%). Максимальное сокращение числа вакансий </w:t>
      </w:r>
      <w:r w:rsidR="00484779" w:rsidRPr="00577593">
        <w:rPr>
          <w:rFonts w:ascii="Times New Roman" w:hAnsi="Times New Roman"/>
          <w:sz w:val="28"/>
          <w:szCs w:val="28"/>
        </w:rPr>
        <w:t>–</w:t>
      </w:r>
      <w:r w:rsidRPr="00577593">
        <w:rPr>
          <w:rFonts w:ascii="Times New Roman" w:hAnsi="Times New Roman"/>
          <w:sz w:val="28"/>
          <w:szCs w:val="28"/>
        </w:rPr>
        <w:t xml:space="preserve"> в сельском хозяйстве (-40%), в управлении персоналом и тренингах (-39%), в транспорте, логистике, перевозках (-39%), в добыче сырья (-34%). Число вакансий рабочего персонала сократилось на 33%, количество предложений для специалистов в строительстве и недвижимости </w:t>
      </w:r>
      <w:r w:rsidR="00484779" w:rsidRPr="00577593">
        <w:rPr>
          <w:rFonts w:ascii="Times New Roman" w:hAnsi="Times New Roman"/>
          <w:sz w:val="28"/>
          <w:szCs w:val="28"/>
        </w:rPr>
        <w:t>–</w:t>
      </w:r>
      <w:r w:rsidRPr="00577593">
        <w:rPr>
          <w:rFonts w:ascii="Times New Roman" w:hAnsi="Times New Roman"/>
          <w:sz w:val="28"/>
          <w:szCs w:val="28"/>
        </w:rPr>
        <w:t xml:space="preserve"> на 31%.</w:t>
      </w:r>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Наименьшее соотношение количества активных резюме к количеству активных вакансий наблюдается в медицине и фармацевтике (1,7), что свидетельствует об остром дефиците соискателей. Также количество соискателей сравнительно невелико по отношению к числу вакансий </w:t>
      </w:r>
      <w:r w:rsidR="00B54E09">
        <w:rPr>
          <w:rFonts w:ascii="Times New Roman" w:hAnsi="Times New Roman"/>
          <w:sz w:val="28"/>
          <w:szCs w:val="28"/>
        </w:rPr>
        <w:br/>
      </w:r>
      <w:r w:rsidRPr="00577593">
        <w:rPr>
          <w:rFonts w:ascii="Times New Roman" w:hAnsi="Times New Roman"/>
          <w:sz w:val="28"/>
          <w:szCs w:val="28"/>
        </w:rPr>
        <w:t>в производстве и сервисном обслуживании (3,1 резюме на </w:t>
      </w:r>
      <w:r w:rsidR="00D57127">
        <w:rPr>
          <w:rFonts w:ascii="Times New Roman" w:hAnsi="Times New Roman"/>
          <w:sz w:val="28"/>
          <w:szCs w:val="28"/>
        </w:rPr>
        <w:t>одну</w:t>
      </w:r>
      <w:r w:rsidRPr="00577593">
        <w:rPr>
          <w:rFonts w:ascii="Times New Roman" w:hAnsi="Times New Roman"/>
          <w:sz w:val="28"/>
          <w:szCs w:val="28"/>
        </w:rPr>
        <w:t xml:space="preserve"> вакансию) </w:t>
      </w:r>
      <w:r w:rsidR="00B54E09">
        <w:rPr>
          <w:rFonts w:ascii="Times New Roman" w:hAnsi="Times New Roman"/>
          <w:sz w:val="28"/>
          <w:szCs w:val="28"/>
        </w:rPr>
        <w:br/>
      </w:r>
      <w:r w:rsidRPr="00577593">
        <w:rPr>
          <w:rFonts w:ascii="Times New Roman" w:hAnsi="Times New Roman"/>
          <w:sz w:val="28"/>
          <w:szCs w:val="28"/>
        </w:rPr>
        <w:t>и в строительстве и недвижимости (3,9).</w:t>
      </w:r>
    </w:p>
    <w:p w:rsidR="00317761" w:rsidRDefault="00317761" w:rsidP="008D738C">
      <w:pPr>
        <w:spacing w:after="0" w:line="240" w:lineRule="auto"/>
        <w:ind w:firstLine="709"/>
        <w:jc w:val="both"/>
        <w:rPr>
          <w:rFonts w:ascii="Times New Roman" w:hAnsi="Times New Roman"/>
          <w:sz w:val="28"/>
          <w:szCs w:val="28"/>
        </w:rPr>
      </w:pPr>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К ключевым проблемам рынка труда </w:t>
      </w:r>
      <w:r w:rsidR="002C545F" w:rsidRPr="00577593">
        <w:rPr>
          <w:rFonts w:ascii="Times New Roman" w:hAnsi="Times New Roman"/>
          <w:sz w:val="28"/>
          <w:szCs w:val="28"/>
        </w:rPr>
        <w:t xml:space="preserve">города </w:t>
      </w:r>
      <w:r w:rsidRPr="00577593">
        <w:rPr>
          <w:rFonts w:ascii="Times New Roman" w:hAnsi="Times New Roman"/>
          <w:sz w:val="28"/>
          <w:szCs w:val="28"/>
        </w:rPr>
        <w:t>Барнаула можно отнести: </w:t>
      </w:r>
    </w:p>
    <w:p w:rsidR="00FC41F4" w:rsidRPr="00577593" w:rsidRDefault="008925FA" w:rsidP="008D738C">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дефицит кадров в ряде отраслей;  </w:t>
      </w:r>
    </w:p>
    <w:p w:rsidR="00FC41F4" w:rsidRPr="00577593" w:rsidRDefault="008925FA" w:rsidP="008D738C">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отъезд абитуриентов и выпускников;</w:t>
      </w:r>
    </w:p>
    <w:p w:rsidR="00FC41F4" w:rsidRPr="00577593" w:rsidRDefault="008925FA" w:rsidP="008D738C">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низкую привлекательность города для высококвалифицированных специалистов.</w:t>
      </w:r>
    </w:p>
    <w:p w:rsidR="00FC41F4" w:rsidRPr="00577593" w:rsidRDefault="00271B5B" w:rsidP="008D738C">
      <w:pPr>
        <w:spacing w:after="0" w:line="240" w:lineRule="auto"/>
        <w:ind w:firstLine="709"/>
        <w:jc w:val="both"/>
        <w:rPr>
          <w:rFonts w:ascii="Times New Roman" w:hAnsi="Times New Roman"/>
          <w:b/>
          <w:sz w:val="28"/>
          <w:szCs w:val="28"/>
        </w:rPr>
      </w:pPr>
      <w:r w:rsidRPr="00577593">
        <w:rPr>
          <w:rFonts w:ascii="Times New Roman" w:hAnsi="Times New Roman"/>
          <w:b/>
          <w:sz w:val="28"/>
          <w:szCs w:val="28"/>
        </w:rPr>
        <w:t xml:space="preserve">2.3.6. </w:t>
      </w:r>
      <w:r w:rsidR="008925FA" w:rsidRPr="00577593">
        <w:rPr>
          <w:rFonts w:ascii="Times New Roman" w:hAnsi="Times New Roman"/>
          <w:b/>
          <w:sz w:val="28"/>
          <w:szCs w:val="28"/>
        </w:rPr>
        <w:t>Уровень жизни</w:t>
      </w:r>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В номинальном выражении среднемесячная заработная плата работников крупных и средних организаций в </w:t>
      </w:r>
      <w:r w:rsidR="00D678EE">
        <w:rPr>
          <w:rFonts w:ascii="Times New Roman" w:hAnsi="Times New Roman"/>
          <w:sz w:val="28"/>
          <w:szCs w:val="28"/>
        </w:rPr>
        <w:t xml:space="preserve">городе </w:t>
      </w:r>
      <w:r w:rsidRPr="00577593">
        <w:rPr>
          <w:rFonts w:ascii="Times New Roman" w:hAnsi="Times New Roman"/>
          <w:sz w:val="28"/>
          <w:szCs w:val="28"/>
        </w:rPr>
        <w:t>Барнауле за 2024 год составила 69</w:t>
      </w:r>
      <w:r w:rsidR="002C545F" w:rsidRPr="00577593">
        <w:rPr>
          <w:rFonts w:ascii="Times New Roman" w:hAnsi="Times New Roman"/>
          <w:sz w:val="28"/>
          <w:szCs w:val="28"/>
        </w:rPr>
        <w:t>,6 тыс.</w:t>
      </w:r>
      <w:r w:rsidRPr="00577593">
        <w:rPr>
          <w:rFonts w:ascii="Times New Roman" w:hAnsi="Times New Roman"/>
          <w:sz w:val="28"/>
          <w:szCs w:val="28"/>
        </w:rPr>
        <w:t xml:space="preserve"> рублей, что выше средн</w:t>
      </w:r>
      <w:r w:rsidR="004F657D" w:rsidRPr="00577593">
        <w:rPr>
          <w:rFonts w:ascii="Times New Roman" w:hAnsi="Times New Roman"/>
          <w:sz w:val="28"/>
          <w:szCs w:val="28"/>
        </w:rPr>
        <w:t xml:space="preserve">его уровня Алтайского края </w:t>
      </w:r>
      <w:r w:rsidR="00015263" w:rsidRPr="00577593">
        <w:rPr>
          <w:rFonts w:ascii="Times New Roman" w:hAnsi="Times New Roman"/>
          <w:sz w:val="28"/>
          <w:szCs w:val="28"/>
        </w:rPr>
        <w:br/>
      </w:r>
      <w:r w:rsidR="004F657D" w:rsidRPr="00577593">
        <w:rPr>
          <w:rFonts w:ascii="Times New Roman" w:hAnsi="Times New Roman"/>
          <w:sz w:val="28"/>
          <w:szCs w:val="28"/>
        </w:rPr>
        <w:t>(60,4</w:t>
      </w:r>
      <w:r w:rsidRPr="00577593">
        <w:rPr>
          <w:rFonts w:ascii="Times New Roman" w:hAnsi="Times New Roman"/>
          <w:sz w:val="28"/>
          <w:szCs w:val="28"/>
        </w:rPr>
        <w:t xml:space="preserve"> тыс. рублей), но значительно ниже среднероссийского уровня </w:t>
      </w:r>
      <w:r w:rsidR="00015263" w:rsidRPr="00577593">
        <w:rPr>
          <w:rFonts w:ascii="Times New Roman" w:hAnsi="Times New Roman"/>
          <w:sz w:val="28"/>
          <w:szCs w:val="28"/>
        </w:rPr>
        <w:br/>
      </w:r>
      <w:r w:rsidRPr="00577593">
        <w:rPr>
          <w:rFonts w:ascii="Times New Roman" w:hAnsi="Times New Roman"/>
          <w:sz w:val="28"/>
          <w:szCs w:val="28"/>
        </w:rPr>
        <w:t>(99 тыс. рублей) (</w:t>
      </w:r>
      <w:r w:rsidR="00D558A5">
        <w:fldChar w:fldCharType="begin"/>
      </w:r>
      <w:r w:rsidR="00D558A5">
        <w:instrText xml:space="preserve"> REF _Ref199379115 \h  \* MERGEFORMAT </w:instrText>
      </w:r>
      <w:r w:rsidR="00D558A5">
        <w:fldChar w:fldCharType="separate"/>
      </w:r>
      <w:r w:rsidR="00071499" w:rsidRPr="00071499">
        <w:rPr>
          <w:rFonts w:ascii="Times New Roman" w:hAnsi="Times New Roman"/>
          <w:sz w:val="28"/>
          <w:szCs w:val="28"/>
        </w:rPr>
        <w:t>Рисунок 11</w:t>
      </w:r>
      <w:r w:rsidR="00D558A5">
        <w:fldChar w:fldCharType="end"/>
      </w:r>
      <w:r w:rsidRPr="00577593">
        <w:rPr>
          <w:rFonts w:ascii="Times New Roman" w:hAnsi="Times New Roman"/>
          <w:sz w:val="28"/>
          <w:szCs w:val="28"/>
        </w:rPr>
        <w:t>).</w:t>
      </w:r>
    </w:p>
    <w:p w:rsidR="00FC41F4" w:rsidRPr="00577593" w:rsidRDefault="000D3F7A" w:rsidP="002000D4">
      <w:pPr>
        <w:spacing w:after="0" w:line="240" w:lineRule="auto"/>
        <w:ind w:firstLine="142"/>
        <w:jc w:val="both"/>
        <w:rPr>
          <w:rFonts w:ascii="Times New Roman" w:hAnsi="Times New Roman"/>
          <w:sz w:val="24"/>
          <w:szCs w:val="24"/>
        </w:rPr>
      </w:pPr>
      <w:r w:rsidRPr="00577593">
        <w:rPr>
          <w:rFonts w:ascii="Times New Roman" w:hAnsi="Times New Roman"/>
          <w:noProof/>
          <w:sz w:val="24"/>
          <w:szCs w:val="24"/>
          <w:lang w:eastAsia="ru-RU"/>
        </w:rPr>
        <w:drawing>
          <wp:inline distT="0" distB="0" distL="0" distR="0">
            <wp:extent cx="5120640" cy="2181225"/>
            <wp:effectExtent l="0" t="0" r="0" b="0"/>
            <wp:docPr id="11" name="Объект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FC41F4" w:rsidRDefault="008925FA" w:rsidP="00317761">
      <w:pPr>
        <w:pStyle w:val="aff9"/>
        <w:spacing w:after="0"/>
        <w:jc w:val="center"/>
        <w:rPr>
          <w:rFonts w:ascii="Times New Roman" w:hAnsi="Times New Roman"/>
          <w:i w:val="0"/>
          <w:color w:val="auto"/>
          <w:sz w:val="28"/>
          <w:szCs w:val="28"/>
        </w:rPr>
      </w:pPr>
      <w:bookmarkStart w:id="23" w:name="_Ref199379115"/>
      <w:r w:rsidRPr="00577593">
        <w:rPr>
          <w:rFonts w:ascii="Times New Roman" w:hAnsi="Times New Roman"/>
          <w:i w:val="0"/>
          <w:color w:val="auto"/>
          <w:sz w:val="28"/>
          <w:szCs w:val="28"/>
        </w:rPr>
        <w:t xml:space="preserve">Рисунок </w:t>
      </w:r>
      <w:r w:rsidR="00074AE5" w:rsidRPr="00577593">
        <w:rPr>
          <w:rFonts w:ascii="Times New Roman" w:hAnsi="Times New Roman"/>
          <w:i w:val="0"/>
          <w:color w:val="auto"/>
          <w:sz w:val="28"/>
          <w:szCs w:val="28"/>
        </w:rPr>
        <w:fldChar w:fldCharType="begin"/>
      </w:r>
      <w:r w:rsidRPr="00577593">
        <w:rPr>
          <w:rFonts w:ascii="Times New Roman" w:hAnsi="Times New Roman"/>
          <w:i w:val="0"/>
          <w:color w:val="auto"/>
          <w:sz w:val="28"/>
          <w:szCs w:val="28"/>
        </w:rPr>
        <w:instrText xml:space="preserve"> SEQ Рисунок \* ARABIC </w:instrText>
      </w:r>
      <w:r w:rsidR="00074AE5" w:rsidRPr="00577593">
        <w:rPr>
          <w:rFonts w:ascii="Times New Roman" w:hAnsi="Times New Roman"/>
          <w:i w:val="0"/>
          <w:color w:val="auto"/>
          <w:sz w:val="28"/>
          <w:szCs w:val="28"/>
        </w:rPr>
        <w:fldChar w:fldCharType="separate"/>
      </w:r>
      <w:r w:rsidR="00071499">
        <w:rPr>
          <w:rFonts w:ascii="Times New Roman" w:hAnsi="Times New Roman"/>
          <w:i w:val="0"/>
          <w:noProof/>
          <w:color w:val="auto"/>
          <w:sz w:val="28"/>
          <w:szCs w:val="28"/>
        </w:rPr>
        <w:t>11</w:t>
      </w:r>
      <w:r w:rsidR="00074AE5" w:rsidRPr="00577593">
        <w:rPr>
          <w:rFonts w:ascii="Times New Roman" w:hAnsi="Times New Roman"/>
          <w:i w:val="0"/>
          <w:color w:val="auto"/>
          <w:sz w:val="28"/>
          <w:szCs w:val="28"/>
        </w:rPr>
        <w:fldChar w:fldCharType="end"/>
      </w:r>
      <w:bookmarkEnd w:id="23"/>
      <w:r w:rsidRPr="00577593">
        <w:rPr>
          <w:rFonts w:ascii="Times New Roman" w:hAnsi="Times New Roman"/>
          <w:i w:val="0"/>
          <w:color w:val="auto"/>
          <w:sz w:val="28"/>
          <w:szCs w:val="28"/>
        </w:rPr>
        <w:t xml:space="preserve"> </w:t>
      </w:r>
      <w:r w:rsidR="00484779" w:rsidRPr="00577593">
        <w:rPr>
          <w:rFonts w:ascii="Times New Roman" w:hAnsi="Times New Roman"/>
          <w:i w:val="0"/>
          <w:color w:val="auto"/>
          <w:sz w:val="28"/>
          <w:szCs w:val="28"/>
        </w:rPr>
        <w:t>–</w:t>
      </w:r>
      <w:r w:rsidRPr="00577593">
        <w:rPr>
          <w:rFonts w:ascii="Times New Roman" w:hAnsi="Times New Roman"/>
          <w:i w:val="0"/>
          <w:color w:val="auto"/>
          <w:sz w:val="28"/>
          <w:szCs w:val="28"/>
        </w:rPr>
        <w:t xml:space="preserve"> Динамика среднемесячной заработной платы в 2012</w:t>
      </w:r>
      <w:r w:rsidR="00484779" w:rsidRPr="00577593">
        <w:rPr>
          <w:rFonts w:ascii="Times New Roman" w:hAnsi="Times New Roman"/>
          <w:i w:val="0"/>
          <w:color w:val="auto"/>
          <w:sz w:val="28"/>
          <w:szCs w:val="28"/>
        </w:rPr>
        <w:t>-2024 годы</w:t>
      </w:r>
      <w:r w:rsidRPr="00577593">
        <w:rPr>
          <w:rFonts w:ascii="Times New Roman" w:hAnsi="Times New Roman"/>
          <w:i w:val="0"/>
          <w:color w:val="auto"/>
          <w:sz w:val="28"/>
          <w:szCs w:val="28"/>
        </w:rPr>
        <w:t>, тыс. рублей</w:t>
      </w:r>
    </w:p>
    <w:p w:rsidR="00317761" w:rsidRDefault="00317761" w:rsidP="005B68BD">
      <w:pPr>
        <w:pStyle w:val="aff9"/>
        <w:spacing w:after="0"/>
        <w:rPr>
          <w:rFonts w:ascii="Times New Roman" w:hAnsi="Times New Roman"/>
          <w:i w:val="0"/>
          <w:color w:val="auto"/>
          <w:sz w:val="28"/>
          <w:szCs w:val="28"/>
        </w:rPr>
      </w:pPr>
      <w:r w:rsidRPr="00577593">
        <w:rPr>
          <w:rFonts w:ascii="Times New Roman" w:hAnsi="Times New Roman"/>
          <w:i w:val="0"/>
          <w:color w:val="auto"/>
          <w:sz w:val="28"/>
          <w:szCs w:val="28"/>
        </w:rPr>
        <w:t>Примечание – Источник: данные Росстата</w:t>
      </w:r>
    </w:p>
    <w:p w:rsidR="005B68BD" w:rsidRPr="005B68BD" w:rsidRDefault="005B68BD" w:rsidP="002000D4">
      <w:pPr>
        <w:spacing w:after="0" w:line="240" w:lineRule="auto"/>
        <w:ind w:firstLine="709"/>
        <w:jc w:val="both"/>
        <w:rPr>
          <w:rFonts w:ascii="Times New Roman" w:hAnsi="Times New Roman"/>
          <w:sz w:val="10"/>
          <w:szCs w:val="10"/>
        </w:rPr>
      </w:pPr>
    </w:p>
    <w:p w:rsidR="00FC41F4"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Размер среднемесячной заработной платы работников крупных и средних организаций увеличился по сравнению с 2012 годом в 3,2 раза. Реальная заработная плата, рассчитанная с учетом индекса потребительских цен</w:t>
      </w:r>
      <w:r w:rsidRPr="00577593">
        <w:rPr>
          <w:rStyle w:val="af9"/>
          <w:rFonts w:ascii="Times New Roman" w:hAnsi="Times New Roman"/>
          <w:sz w:val="28"/>
          <w:szCs w:val="28"/>
        </w:rPr>
        <w:footnoteReference w:id="1"/>
      </w:r>
      <w:r w:rsidRPr="00577593">
        <w:rPr>
          <w:rFonts w:ascii="Times New Roman" w:hAnsi="Times New Roman"/>
          <w:sz w:val="28"/>
          <w:szCs w:val="28"/>
        </w:rPr>
        <w:t>, составила 133% к 2012 году (</w:t>
      </w:r>
      <w:r w:rsidR="00D558A5">
        <w:fldChar w:fldCharType="begin"/>
      </w:r>
      <w:r w:rsidR="00D558A5">
        <w:instrText xml:space="preserve"> REF _Ref199381114 \h  \* MERGEFORMAT </w:instrText>
      </w:r>
      <w:r w:rsidR="00D558A5">
        <w:fldChar w:fldCharType="separate"/>
      </w:r>
      <w:r w:rsidR="00071499" w:rsidRPr="00071499">
        <w:rPr>
          <w:rFonts w:ascii="Times New Roman" w:hAnsi="Times New Roman"/>
          <w:sz w:val="28"/>
          <w:szCs w:val="28"/>
        </w:rPr>
        <w:t>Рисунок</w:t>
      </w:r>
      <w:r w:rsidR="00071499" w:rsidRPr="00577593">
        <w:rPr>
          <w:rFonts w:ascii="Times New Roman" w:hAnsi="Times New Roman"/>
          <w:i/>
          <w:sz w:val="28"/>
          <w:szCs w:val="28"/>
        </w:rPr>
        <w:t xml:space="preserve"> </w:t>
      </w:r>
      <w:r w:rsidR="00071499" w:rsidRPr="00071499">
        <w:rPr>
          <w:rFonts w:ascii="Times New Roman" w:hAnsi="Times New Roman"/>
          <w:noProof/>
          <w:sz w:val="28"/>
          <w:szCs w:val="28"/>
        </w:rPr>
        <w:t>12</w:t>
      </w:r>
      <w:r w:rsidR="00D558A5">
        <w:fldChar w:fldCharType="end"/>
      </w:r>
      <w:r w:rsidRPr="00577593">
        <w:rPr>
          <w:rFonts w:ascii="Times New Roman" w:hAnsi="Times New Roman"/>
          <w:sz w:val="28"/>
          <w:szCs w:val="28"/>
        </w:rPr>
        <w:t>), или</w:t>
      </w:r>
      <w:r w:rsidR="00D678EE">
        <w:rPr>
          <w:rFonts w:ascii="Times New Roman" w:hAnsi="Times New Roman"/>
          <w:sz w:val="28"/>
          <w:szCs w:val="28"/>
        </w:rPr>
        <w:t xml:space="preserve"> </w:t>
      </w:r>
      <w:r w:rsidRPr="00577593">
        <w:rPr>
          <w:rFonts w:ascii="Times New Roman" w:hAnsi="Times New Roman"/>
          <w:sz w:val="28"/>
          <w:szCs w:val="28"/>
        </w:rPr>
        <w:t>102,4% в среднем в год, что ниже целевого значения показателя, определенного Стратегией социально-экономическ</w:t>
      </w:r>
      <w:r w:rsidR="00D678EE">
        <w:rPr>
          <w:rFonts w:ascii="Times New Roman" w:hAnsi="Times New Roman"/>
          <w:sz w:val="28"/>
          <w:szCs w:val="28"/>
        </w:rPr>
        <w:t xml:space="preserve">ого развития города Барнаула до </w:t>
      </w:r>
      <w:r w:rsidRPr="00577593">
        <w:rPr>
          <w:rFonts w:ascii="Times New Roman" w:hAnsi="Times New Roman"/>
          <w:sz w:val="28"/>
          <w:szCs w:val="28"/>
        </w:rPr>
        <w:t>2025</w:t>
      </w:r>
      <w:r w:rsidR="00D678EE">
        <w:rPr>
          <w:rFonts w:ascii="Times New Roman" w:hAnsi="Times New Roman"/>
          <w:sz w:val="28"/>
          <w:szCs w:val="28"/>
        </w:rPr>
        <w:t xml:space="preserve"> </w:t>
      </w:r>
      <w:r w:rsidRPr="00577593">
        <w:rPr>
          <w:rFonts w:ascii="Times New Roman" w:hAnsi="Times New Roman"/>
          <w:sz w:val="28"/>
          <w:szCs w:val="28"/>
        </w:rPr>
        <w:t xml:space="preserve">года </w:t>
      </w:r>
      <w:r w:rsidR="00D678EE">
        <w:rPr>
          <w:rFonts w:ascii="Times New Roman" w:hAnsi="Times New Roman"/>
          <w:sz w:val="28"/>
          <w:szCs w:val="28"/>
        </w:rPr>
        <w:br/>
      </w:r>
      <w:r w:rsidRPr="00577593">
        <w:rPr>
          <w:rFonts w:ascii="Times New Roman" w:hAnsi="Times New Roman"/>
          <w:sz w:val="28"/>
          <w:szCs w:val="28"/>
        </w:rPr>
        <w:t>(103–104% в год).</w:t>
      </w:r>
    </w:p>
    <w:p w:rsidR="00317761" w:rsidRPr="00577593" w:rsidRDefault="00317761" w:rsidP="002000D4">
      <w:pPr>
        <w:spacing w:after="0" w:line="240" w:lineRule="auto"/>
        <w:ind w:firstLine="709"/>
        <w:jc w:val="both"/>
        <w:rPr>
          <w:rFonts w:ascii="Times New Roman" w:hAnsi="Times New Roman"/>
          <w:sz w:val="28"/>
          <w:szCs w:val="28"/>
        </w:rPr>
      </w:pPr>
    </w:p>
    <w:p w:rsidR="00FC41F4" w:rsidRPr="00577593" w:rsidRDefault="000D3F7A" w:rsidP="002000D4">
      <w:pPr>
        <w:spacing w:after="0" w:line="240" w:lineRule="auto"/>
        <w:ind w:firstLine="142"/>
        <w:jc w:val="both"/>
        <w:rPr>
          <w:rFonts w:ascii="Times New Roman" w:hAnsi="Times New Roman"/>
          <w:sz w:val="28"/>
          <w:szCs w:val="28"/>
        </w:rPr>
      </w:pPr>
      <w:r w:rsidRPr="00577593">
        <w:rPr>
          <w:rFonts w:ascii="Times New Roman" w:hAnsi="Times New Roman"/>
          <w:noProof/>
          <w:sz w:val="24"/>
          <w:szCs w:val="24"/>
          <w:lang w:eastAsia="ru-RU"/>
        </w:rPr>
        <w:lastRenderedPageBreak/>
        <w:drawing>
          <wp:inline distT="0" distB="0" distL="0" distR="0">
            <wp:extent cx="5865495" cy="1763395"/>
            <wp:effectExtent l="0" t="0" r="0" b="0"/>
            <wp:docPr id="12" name="Объект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FC41F4" w:rsidRDefault="008925FA" w:rsidP="00317761">
      <w:pPr>
        <w:pStyle w:val="aff9"/>
        <w:spacing w:after="0"/>
        <w:jc w:val="center"/>
        <w:rPr>
          <w:rFonts w:ascii="Times New Roman" w:hAnsi="Times New Roman"/>
          <w:i w:val="0"/>
          <w:color w:val="auto"/>
          <w:sz w:val="28"/>
          <w:szCs w:val="28"/>
        </w:rPr>
      </w:pPr>
      <w:bookmarkStart w:id="24" w:name="_Ref199381114"/>
      <w:r w:rsidRPr="00577593">
        <w:rPr>
          <w:rFonts w:ascii="Times New Roman" w:hAnsi="Times New Roman"/>
          <w:i w:val="0"/>
          <w:color w:val="auto"/>
          <w:sz w:val="28"/>
          <w:szCs w:val="28"/>
        </w:rPr>
        <w:t xml:space="preserve">Рисунок </w:t>
      </w:r>
      <w:r w:rsidR="00074AE5" w:rsidRPr="00577593">
        <w:rPr>
          <w:rFonts w:ascii="Times New Roman" w:hAnsi="Times New Roman"/>
          <w:i w:val="0"/>
          <w:color w:val="auto"/>
          <w:sz w:val="28"/>
          <w:szCs w:val="28"/>
        </w:rPr>
        <w:fldChar w:fldCharType="begin"/>
      </w:r>
      <w:r w:rsidRPr="00577593">
        <w:rPr>
          <w:rFonts w:ascii="Times New Roman" w:hAnsi="Times New Roman"/>
          <w:i w:val="0"/>
          <w:color w:val="auto"/>
          <w:sz w:val="28"/>
          <w:szCs w:val="28"/>
        </w:rPr>
        <w:instrText xml:space="preserve"> SEQ Рисунок \* ARABIC </w:instrText>
      </w:r>
      <w:r w:rsidR="00074AE5" w:rsidRPr="00577593">
        <w:rPr>
          <w:rFonts w:ascii="Times New Roman" w:hAnsi="Times New Roman"/>
          <w:i w:val="0"/>
          <w:color w:val="auto"/>
          <w:sz w:val="28"/>
          <w:szCs w:val="28"/>
        </w:rPr>
        <w:fldChar w:fldCharType="separate"/>
      </w:r>
      <w:r w:rsidR="00071499">
        <w:rPr>
          <w:rFonts w:ascii="Times New Roman" w:hAnsi="Times New Roman"/>
          <w:i w:val="0"/>
          <w:noProof/>
          <w:color w:val="auto"/>
          <w:sz w:val="28"/>
          <w:szCs w:val="28"/>
        </w:rPr>
        <w:t>12</w:t>
      </w:r>
      <w:r w:rsidR="00074AE5" w:rsidRPr="00577593">
        <w:rPr>
          <w:rFonts w:ascii="Times New Roman" w:hAnsi="Times New Roman"/>
          <w:i w:val="0"/>
          <w:color w:val="auto"/>
          <w:sz w:val="28"/>
          <w:szCs w:val="28"/>
        </w:rPr>
        <w:fldChar w:fldCharType="end"/>
      </w:r>
      <w:bookmarkEnd w:id="24"/>
      <w:r w:rsidRPr="00577593">
        <w:rPr>
          <w:rFonts w:ascii="Times New Roman" w:hAnsi="Times New Roman"/>
          <w:i w:val="0"/>
          <w:color w:val="auto"/>
          <w:sz w:val="28"/>
          <w:szCs w:val="28"/>
        </w:rPr>
        <w:t xml:space="preserve"> </w:t>
      </w:r>
      <w:r w:rsidR="00484779" w:rsidRPr="00577593">
        <w:rPr>
          <w:rFonts w:ascii="Times New Roman" w:hAnsi="Times New Roman"/>
          <w:i w:val="0"/>
          <w:color w:val="auto"/>
          <w:sz w:val="28"/>
          <w:szCs w:val="28"/>
        </w:rPr>
        <w:t>–</w:t>
      </w:r>
      <w:r w:rsidRPr="00577593">
        <w:rPr>
          <w:rFonts w:ascii="Times New Roman" w:hAnsi="Times New Roman"/>
          <w:i w:val="0"/>
          <w:color w:val="auto"/>
          <w:sz w:val="28"/>
          <w:szCs w:val="28"/>
        </w:rPr>
        <w:t xml:space="preserve"> Индекс изменения реальной заработной платы</w:t>
      </w:r>
      <w:r w:rsidR="00B24281" w:rsidRPr="00577593">
        <w:rPr>
          <w:rFonts w:ascii="Times New Roman" w:hAnsi="Times New Roman"/>
          <w:i w:val="0"/>
          <w:color w:val="auto"/>
          <w:sz w:val="28"/>
          <w:szCs w:val="28"/>
        </w:rPr>
        <w:t xml:space="preserve"> к уровню </w:t>
      </w:r>
      <w:r w:rsidR="00015263" w:rsidRPr="00577593">
        <w:rPr>
          <w:rFonts w:ascii="Times New Roman" w:hAnsi="Times New Roman"/>
          <w:i w:val="0"/>
          <w:color w:val="auto"/>
          <w:sz w:val="28"/>
          <w:szCs w:val="28"/>
        </w:rPr>
        <w:br/>
      </w:r>
      <w:r w:rsidR="00B24281" w:rsidRPr="00577593">
        <w:rPr>
          <w:rFonts w:ascii="Times New Roman" w:hAnsi="Times New Roman"/>
          <w:i w:val="0"/>
          <w:color w:val="auto"/>
          <w:sz w:val="28"/>
          <w:szCs w:val="28"/>
        </w:rPr>
        <w:t>2012 года</w:t>
      </w:r>
      <w:r w:rsidRPr="00577593">
        <w:rPr>
          <w:rFonts w:ascii="Times New Roman" w:hAnsi="Times New Roman"/>
          <w:i w:val="0"/>
          <w:color w:val="auto"/>
          <w:sz w:val="28"/>
          <w:szCs w:val="28"/>
        </w:rPr>
        <w:t>, %</w:t>
      </w:r>
    </w:p>
    <w:p w:rsidR="00317761" w:rsidRPr="00577593" w:rsidRDefault="00317761" w:rsidP="00317761">
      <w:pPr>
        <w:spacing w:after="0" w:line="240" w:lineRule="auto"/>
        <w:ind w:firstLine="142"/>
        <w:jc w:val="both"/>
        <w:rPr>
          <w:rFonts w:ascii="Times New Roman" w:hAnsi="Times New Roman"/>
          <w:sz w:val="28"/>
          <w:szCs w:val="28"/>
        </w:rPr>
      </w:pPr>
      <w:r w:rsidRPr="00577593">
        <w:rPr>
          <w:rFonts w:ascii="Times New Roman" w:hAnsi="Times New Roman"/>
          <w:sz w:val="28"/>
          <w:szCs w:val="28"/>
        </w:rPr>
        <w:t>Примечание – Источник: расчет по данным Росстата</w:t>
      </w:r>
    </w:p>
    <w:p w:rsidR="00317761" w:rsidRPr="00317761" w:rsidRDefault="00317761" w:rsidP="002000D4">
      <w:pPr>
        <w:spacing w:after="0" w:line="240" w:lineRule="auto"/>
        <w:ind w:firstLine="709"/>
        <w:jc w:val="both"/>
        <w:rPr>
          <w:rFonts w:ascii="Times New Roman" w:hAnsi="Times New Roman"/>
          <w:sz w:val="10"/>
          <w:szCs w:val="10"/>
        </w:rPr>
      </w:pP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Несмотря на более высокий уровень средней заработной платы по сравнению с другими муниципалитетами Алтайского края, город </w:t>
      </w:r>
      <w:r w:rsidR="00E6137C">
        <w:rPr>
          <w:rFonts w:ascii="Times New Roman" w:hAnsi="Times New Roman"/>
          <w:sz w:val="28"/>
          <w:szCs w:val="28"/>
        </w:rPr>
        <w:t xml:space="preserve">Барнаул </w:t>
      </w:r>
      <w:r w:rsidRPr="00577593">
        <w:rPr>
          <w:rFonts w:ascii="Times New Roman" w:hAnsi="Times New Roman"/>
          <w:sz w:val="28"/>
          <w:szCs w:val="28"/>
        </w:rPr>
        <w:t>значительно отстает по данному показателю от центров других субъектов СФО (см. подробнее раздел 3). Соответствен</w:t>
      </w:r>
      <w:r w:rsidR="00E6137C">
        <w:rPr>
          <w:rFonts w:ascii="Times New Roman" w:hAnsi="Times New Roman"/>
          <w:sz w:val="28"/>
          <w:szCs w:val="28"/>
        </w:rPr>
        <w:t xml:space="preserve">но, при выборе места жительства и </w:t>
      </w:r>
      <w:r w:rsidRPr="00577593">
        <w:rPr>
          <w:rFonts w:ascii="Times New Roman" w:hAnsi="Times New Roman"/>
          <w:sz w:val="28"/>
          <w:szCs w:val="28"/>
        </w:rPr>
        <w:t xml:space="preserve">развития карьеры </w:t>
      </w:r>
      <w:r w:rsidR="00E6137C">
        <w:rPr>
          <w:rFonts w:ascii="Times New Roman" w:hAnsi="Times New Roman"/>
          <w:sz w:val="28"/>
          <w:szCs w:val="28"/>
        </w:rPr>
        <w:t xml:space="preserve">город </w:t>
      </w:r>
      <w:r w:rsidRPr="00577593">
        <w:rPr>
          <w:rFonts w:ascii="Times New Roman" w:hAnsi="Times New Roman"/>
          <w:sz w:val="28"/>
          <w:szCs w:val="28"/>
        </w:rPr>
        <w:t>Барнаул будет рассматриваться с меньшей вероятностью, и повышение средней заработной платы в городе более высокими темпами по сравнению с предыдущими годами должно являться одной из целей настоящей Стратегии.</w:t>
      </w:r>
    </w:p>
    <w:p w:rsidR="00FC41F4" w:rsidRPr="00577593" w:rsidRDefault="002C545F"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В 2024 году максимальные значения средней заработной платы отмечались в сферах финансов, страхования и строительства (см. рисунок 13). В этих отраслях размер заработной платы более чем в два раза превышает уровень, зафиксированный в секторе гостиниц и общественного питания, где наблюдается самое низкое значение средней зарплаты среди основных отраслей. Такой низкий уровень оплаты труда в сегменте гостеприимства затрудняет привлечение квалифицированных специалистов, что негативно влияет на развитие туристической отрасли.</w:t>
      </w:r>
    </w:p>
    <w:p w:rsidR="00FC41F4" w:rsidRPr="00577593" w:rsidRDefault="000D3F7A" w:rsidP="002000D4">
      <w:pPr>
        <w:spacing w:after="0" w:line="240" w:lineRule="auto"/>
        <w:jc w:val="center"/>
        <w:rPr>
          <w:rFonts w:ascii="Times New Roman" w:hAnsi="Times New Roman"/>
          <w:sz w:val="24"/>
          <w:szCs w:val="24"/>
        </w:rPr>
      </w:pPr>
      <w:r w:rsidRPr="00577593">
        <w:rPr>
          <w:rFonts w:ascii="Times New Roman" w:hAnsi="Times New Roman"/>
          <w:noProof/>
          <w:lang w:eastAsia="ru-RU"/>
        </w:rPr>
        <w:drawing>
          <wp:inline distT="0" distB="0" distL="0" distR="0">
            <wp:extent cx="5314315" cy="2598420"/>
            <wp:effectExtent l="0" t="0" r="635" b="11430"/>
            <wp:docPr id="13"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FC41F4" w:rsidRDefault="008925FA" w:rsidP="00317761">
      <w:pPr>
        <w:pStyle w:val="aff9"/>
        <w:spacing w:after="0"/>
        <w:jc w:val="center"/>
        <w:rPr>
          <w:rFonts w:ascii="Times New Roman" w:hAnsi="Times New Roman"/>
          <w:i w:val="0"/>
          <w:color w:val="auto"/>
          <w:sz w:val="28"/>
          <w:szCs w:val="28"/>
        </w:rPr>
      </w:pPr>
      <w:bookmarkStart w:id="25" w:name="_Ref199381281"/>
      <w:r w:rsidRPr="00577593">
        <w:rPr>
          <w:rFonts w:ascii="Times New Roman" w:hAnsi="Times New Roman"/>
          <w:i w:val="0"/>
          <w:color w:val="auto"/>
          <w:sz w:val="28"/>
          <w:szCs w:val="28"/>
        </w:rPr>
        <w:t xml:space="preserve">Рисунок </w:t>
      </w:r>
      <w:r w:rsidR="00074AE5" w:rsidRPr="00577593">
        <w:rPr>
          <w:rFonts w:ascii="Times New Roman" w:hAnsi="Times New Roman"/>
          <w:i w:val="0"/>
          <w:color w:val="auto"/>
          <w:sz w:val="28"/>
          <w:szCs w:val="28"/>
        </w:rPr>
        <w:fldChar w:fldCharType="begin"/>
      </w:r>
      <w:r w:rsidRPr="00577593">
        <w:rPr>
          <w:rFonts w:ascii="Times New Roman" w:hAnsi="Times New Roman"/>
          <w:i w:val="0"/>
          <w:color w:val="auto"/>
          <w:sz w:val="28"/>
          <w:szCs w:val="28"/>
        </w:rPr>
        <w:instrText xml:space="preserve"> SEQ Рисунок \* ARABIC </w:instrText>
      </w:r>
      <w:r w:rsidR="00074AE5" w:rsidRPr="00577593">
        <w:rPr>
          <w:rFonts w:ascii="Times New Roman" w:hAnsi="Times New Roman"/>
          <w:i w:val="0"/>
          <w:color w:val="auto"/>
          <w:sz w:val="28"/>
          <w:szCs w:val="28"/>
        </w:rPr>
        <w:fldChar w:fldCharType="separate"/>
      </w:r>
      <w:r w:rsidR="00071499">
        <w:rPr>
          <w:rFonts w:ascii="Times New Roman" w:hAnsi="Times New Roman"/>
          <w:i w:val="0"/>
          <w:noProof/>
          <w:color w:val="auto"/>
          <w:sz w:val="28"/>
          <w:szCs w:val="28"/>
        </w:rPr>
        <w:t>13</w:t>
      </w:r>
      <w:r w:rsidR="00074AE5" w:rsidRPr="00577593">
        <w:rPr>
          <w:rFonts w:ascii="Times New Roman" w:hAnsi="Times New Roman"/>
          <w:i w:val="0"/>
          <w:color w:val="auto"/>
          <w:sz w:val="28"/>
          <w:szCs w:val="28"/>
        </w:rPr>
        <w:fldChar w:fldCharType="end"/>
      </w:r>
      <w:bookmarkEnd w:id="25"/>
      <w:r w:rsidRPr="00577593">
        <w:rPr>
          <w:rFonts w:ascii="Times New Roman" w:hAnsi="Times New Roman"/>
          <w:i w:val="0"/>
          <w:color w:val="auto"/>
          <w:sz w:val="28"/>
          <w:szCs w:val="28"/>
        </w:rPr>
        <w:t xml:space="preserve"> </w:t>
      </w:r>
      <w:r w:rsidR="00484779" w:rsidRPr="00577593">
        <w:rPr>
          <w:rFonts w:ascii="Times New Roman" w:hAnsi="Times New Roman"/>
          <w:i w:val="0"/>
          <w:color w:val="auto"/>
          <w:sz w:val="28"/>
          <w:szCs w:val="28"/>
        </w:rPr>
        <w:t>–</w:t>
      </w:r>
      <w:r w:rsidRPr="00577593">
        <w:rPr>
          <w:rFonts w:ascii="Times New Roman" w:hAnsi="Times New Roman"/>
          <w:i w:val="0"/>
          <w:color w:val="auto"/>
          <w:sz w:val="28"/>
          <w:szCs w:val="28"/>
        </w:rPr>
        <w:t xml:space="preserve"> Среднемесячная заработная плата работников организаций </w:t>
      </w:r>
      <w:r w:rsidR="00E958B2" w:rsidRPr="00577593">
        <w:rPr>
          <w:rFonts w:ascii="Times New Roman" w:hAnsi="Times New Roman"/>
          <w:i w:val="0"/>
          <w:color w:val="auto"/>
          <w:sz w:val="28"/>
          <w:szCs w:val="28"/>
        </w:rPr>
        <w:br/>
      </w:r>
      <w:r w:rsidRPr="00577593">
        <w:rPr>
          <w:rFonts w:ascii="Times New Roman" w:hAnsi="Times New Roman"/>
          <w:i w:val="0"/>
          <w:color w:val="auto"/>
          <w:sz w:val="28"/>
          <w:szCs w:val="28"/>
        </w:rPr>
        <w:t>(без субъектов малого предпринимательства)</w:t>
      </w:r>
      <w:r w:rsidR="00484779" w:rsidRPr="00577593">
        <w:rPr>
          <w:rFonts w:ascii="Times New Roman" w:hAnsi="Times New Roman"/>
          <w:i w:val="0"/>
          <w:color w:val="auto"/>
          <w:sz w:val="28"/>
          <w:szCs w:val="28"/>
        </w:rPr>
        <w:t xml:space="preserve"> по видам деятельности </w:t>
      </w:r>
      <w:r w:rsidR="00E958B2" w:rsidRPr="00577593">
        <w:rPr>
          <w:rFonts w:ascii="Times New Roman" w:hAnsi="Times New Roman"/>
          <w:i w:val="0"/>
          <w:color w:val="auto"/>
          <w:sz w:val="28"/>
          <w:szCs w:val="28"/>
        </w:rPr>
        <w:br/>
      </w:r>
      <w:r w:rsidR="00484779" w:rsidRPr="00577593">
        <w:rPr>
          <w:rFonts w:ascii="Times New Roman" w:hAnsi="Times New Roman"/>
          <w:i w:val="0"/>
          <w:color w:val="auto"/>
          <w:sz w:val="28"/>
          <w:szCs w:val="28"/>
        </w:rPr>
        <w:t>в 2024 году, рублей</w:t>
      </w:r>
    </w:p>
    <w:p w:rsidR="00317761" w:rsidRPr="00577593" w:rsidRDefault="00317761" w:rsidP="00317761">
      <w:pPr>
        <w:pStyle w:val="aff9"/>
        <w:spacing w:after="0"/>
        <w:rPr>
          <w:rFonts w:ascii="Times New Roman" w:hAnsi="Times New Roman"/>
          <w:i w:val="0"/>
          <w:color w:val="auto"/>
          <w:sz w:val="28"/>
          <w:szCs w:val="28"/>
        </w:rPr>
      </w:pPr>
      <w:r w:rsidRPr="00577593">
        <w:rPr>
          <w:rFonts w:ascii="Times New Roman" w:hAnsi="Times New Roman"/>
          <w:i w:val="0"/>
          <w:color w:val="auto"/>
          <w:sz w:val="28"/>
          <w:szCs w:val="28"/>
        </w:rPr>
        <w:t>Примечание – Источник: данные Росстата</w:t>
      </w:r>
    </w:p>
    <w:p w:rsidR="00EC6ABF" w:rsidRDefault="00EC6ABF" w:rsidP="00EC6ABF">
      <w:pPr>
        <w:spacing w:after="0" w:line="240" w:lineRule="auto"/>
        <w:ind w:firstLine="709"/>
        <w:jc w:val="both"/>
        <w:rPr>
          <w:rFonts w:ascii="PT Astra Serif" w:eastAsia="Times New Roman" w:hAnsi="PT Astra Serif"/>
          <w:sz w:val="28"/>
          <w:szCs w:val="28"/>
          <w:lang w:eastAsia="ru-RU"/>
        </w:rPr>
      </w:pPr>
      <w:r w:rsidRPr="00EC6ABF">
        <w:rPr>
          <w:rFonts w:ascii="PT Astra Serif" w:eastAsia="Times New Roman" w:hAnsi="PT Astra Serif"/>
          <w:sz w:val="28"/>
          <w:szCs w:val="28"/>
          <w:lang w:eastAsia="ru-RU"/>
        </w:rPr>
        <w:lastRenderedPageBreak/>
        <w:t>В 2024 году средняя заработная плата работников организаций муниципальной формы собственности составила 53,5 тыс. рублей, что ниже среднего уровня по городу в целом. С 2012 года данный показатель увеличился с 13,1 тыс. рублей в 4,1 раза в номинальном выражении</w:t>
      </w:r>
      <w:r>
        <w:rPr>
          <w:rFonts w:ascii="PT Astra Serif" w:eastAsia="Times New Roman" w:hAnsi="PT Astra Serif"/>
          <w:sz w:val="28"/>
          <w:szCs w:val="28"/>
          <w:lang w:eastAsia="ru-RU"/>
        </w:rPr>
        <w:t>,</w:t>
      </w:r>
      <w:r w:rsidRPr="00EC6ABF">
        <w:rPr>
          <w:rFonts w:ascii="PT Astra Serif" w:eastAsia="Times New Roman" w:hAnsi="PT Astra Serif"/>
          <w:sz w:val="28"/>
          <w:szCs w:val="28"/>
          <w:lang w:eastAsia="ru-RU"/>
        </w:rPr>
        <w:t xml:space="preserve"> </w:t>
      </w:r>
      <w:r>
        <w:rPr>
          <w:rFonts w:ascii="PT Astra Serif" w:eastAsia="Times New Roman" w:hAnsi="PT Astra Serif"/>
          <w:sz w:val="28"/>
          <w:szCs w:val="28"/>
          <w:lang w:eastAsia="ru-RU"/>
        </w:rPr>
        <w:br/>
      </w:r>
      <w:r w:rsidRPr="00EC6ABF">
        <w:rPr>
          <w:rFonts w:ascii="PT Astra Serif" w:eastAsia="Times New Roman" w:hAnsi="PT Astra Serif"/>
          <w:sz w:val="28"/>
          <w:szCs w:val="28"/>
          <w:lang w:eastAsia="ru-RU"/>
        </w:rPr>
        <w:t>в реальном выражении рост составил 170%.</w:t>
      </w:r>
      <w:r>
        <w:rPr>
          <w:rFonts w:ascii="PT Astra Serif" w:eastAsia="Times New Roman" w:hAnsi="PT Astra Serif"/>
          <w:sz w:val="28"/>
          <w:szCs w:val="28"/>
          <w:lang w:eastAsia="ru-RU"/>
        </w:rPr>
        <w:t xml:space="preserve"> </w:t>
      </w:r>
      <w:r w:rsidRPr="00EC6ABF">
        <w:rPr>
          <w:rFonts w:ascii="PT Astra Serif" w:eastAsia="Times New Roman" w:hAnsi="PT Astra Serif"/>
          <w:sz w:val="28"/>
          <w:szCs w:val="28"/>
          <w:lang w:eastAsia="ru-RU"/>
        </w:rPr>
        <w:t xml:space="preserve">Таким образом, темпы роста заработной платы в муниципальном секторе оказались выше, чем в среднем по экономике города (без учёта малых предприятий). </w:t>
      </w:r>
    </w:p>
    <w:p w:rsidR="00EC6ABF" w:rsidRPr="00EC6ABF" w:rsidRDefault="00EC6ABF" w:rsidP="00EC6ABF">
      <w:pPr>
        <w:spacing w:after="0" w:line="240" w:lineRule="auto"/>
        <w:ind w:firstLine="709"/>
        <w:jc w:val="both"/>
        <w:rPr>
          <w:rFonts w:ascii="PT Astra Serif" w:eastAsia="Times New Roman" w:hAnsi="PT Astra Serif"/>
          <w:sz w:val="28"/>
          <w:szCs w:val="28"/>
          <w:lang w:eastAsia="ru-RU"/>
        </w:rPr>
      </w:pPr>
      <w:r w:rsidRPr="00EC6ABF">
        <w:rPr>
          <w:rFonts w:ascii="PT Astra Serif" w:eastAsia="Times New Roman" w:hAnsi="PT Astra Serif"/>
          <w:sz w:val="28"/>
          <w:szCs w:val="28"/>
          <w:lang w:eastAsia="ru-RU"/>
        </w:rPr>
        <w:t xml:space="preserve">Достижение указанных показателей стало результатом системной работы по повышению уровня оплаты труда отдельных категорий работников бюджетной сферы. Средняя заработная плата педагогических работников общеобразовательных организаций, включая ежемесячное вознаграждение за выполнение функций классного руководителя, выплачиваемое из федерального бюджета, в 2024 году составила </w:t>
      </w:r>
      <w:r>
        <w:rPr>
          <w:rFonts w:ascii="PT Astra Serif" w:eastAsia="Times New Roman" w:hAnsi="PT Astra Serif"/>
          <w:sz w:val="28"/>
          <w:szCs w:val="28"/>
          <w:lang w:eastAsia="ru-RU"/>
        </w:rPr>
        <w:br/>
      </w:r>
      <w:r w:rsidRPr="00EC6ABF">
        <w:rPr>
          <w:rFonts w:ascii="PT Astra Serif" w:eastAsia="Times New Roman" w:hAnsi="PT Astra Serif"/>
          <w:sz w:val="28"/>
          <w:szCs w:val="28"/>
          <w:lang w:eastAsia="ru-RU"/>
        </w:rPr>
        <w:t>57,5 тыс. рублей (</w:t>
      </w:r>
      <w:r>
        <w:rPr>
          <w:rFonts w:ascii="PT Astra Serif" w:eastAsia="Times New Roman" w:hAnsi="PT Astra Serif"/>
          <w:sz w:val="28"/>
          <w:szCs w:val="28"/>
          <w:lang w:eastAsia="ru-RU"/>
        </w:rPr>
        <w:t>2013 г.</w:t>
      </w:r>
      <w:r w:rsidRPr="00EC6ABF">
        <w:rPr>
          <w:rFonts w:ascii="PT Astra Serif" w:eastAsia="Times New Roman" w:hAnsi="PT Astra Serif"/>
          <w:sz w:val="28"/>
          <w:szCs w:val="28"/>
          <w:lang w:eastAsia="ru-RU"/>
        </w:rPr>
        <w:t xml:space="preserve"> </w:t>
      </w:r>
      <w:r>
        <w:rPr>
          <w:rFonts w:ascii="PT Astra Serif" w:eastAsia="Times New Roman" w:hAnsi="PT Astra Serif"/>
          <w:sz w:val="28"/>
          <w:szCs w:val="28"/>
          <w:lang w:eastAsia="ru-RU"/>
        </w:rPr>
        <w:t>–</w:t>
      </w:r>
      <w:r w:rsidRPr="00EC6ABF">
        <w:rPr>
          <w:rFonts w:ascii="PT Astra Serif" w:eastAsia="Times New Roman" w:hAnsi="PT Astra Serif"/>
          <w:sz w:val="28"/>
          <w:szCs w:val="28"/>
          <w:lang w:eastAsia="ru-RU"/>
        </w:rPr>
        <w:t xml:space="preserve"> 19,4 тыс. рублей). У педагогических работников дошкольных образовательных организаций данный показатель достиг </w:t>
      </w:r>
      <w:r>
        <w:rPr>
          <w:rFonts w:ascii="PT Astra Serif" w:eastAsia="Times New Roman" w:hAnsi="PT Astra Serif"/>
          <w:sz w:val="28"/>
          <w:szCs w:val="28"/>
          <w:lang w:eastAsia="ru-RU"/>
        </w:rPr>
        <w:br/>
      </w:r>
      <w:r w:rsidRPr="00EC6ABF">
        <w:rPr>
          <w:rFonts w:ascii="PT Astra Serif" w:eastAsia="Times New Roman" w:hAnsi="PT Astra Serif"/>
          <w:sz w:val="28"/>
          <w:szCs w:val="28"/>
          <w:lang w:eastAsia="ru-RU"/>
        </w:rPr>
        <w:t>50,9 тыс. рублей против 13,2 тыс. рублей в 2013 году.</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Еще один показатель, характеризующий уровень жизни</w:t>
      </w:r>
      <w:r w:rsidR="00EC6ABF">
        <w:rPr>
          <w:rFonts w:ascii="Times New Roman" w:hAnsi="Times New Roman"/>
          <w:sz w:val="28"/>
          <w:szCs w:val="28"/>
        </w:rPr>
        <w:t>,</w:t>
      </w:r>
      <w:r w:rsidRPr="00577593">
        <w:rPr>
          <w:rFonts w:ascii="Times New Roman" w:hAnsi="Times New Roman"/>
          <w:sz w:val="28"/>
          <w:szCs w:val="28"/>
        </w:rPr>
        <w:t xml:space="preserve"> </w:t>
      </w:r>
      <w:r w:rsidR="00484779" w:rsidRPr="00577593">
        <w:rPr>
          <w:rFonts w:ascii="Times New Roman" w:hAnsi="Times New Roman"/>
          <w:sz w:val="28"/>
          <w:szCs w:val="28"/>
        </w:rPr>
        <w:t>–</w:t>
      </w:r>
      <w:r w:rsidRPr="00577593">
        <w:rPr>
          <w:rFonts w:ascii="Times New Roman" w:hAnsi="Times New Roman"/>
          <w:sz w:val="28"/>
          <w:szCs w:val="28"/>
        </w:rPr>
        <w:t xml:space="preserve"> соотношение среднемесячной заработной платы работников крупных и средних организаций и прожиточного минимума. На 2024 год прожиточный минимум на территории Алтайского края составлял 13753 рубля, соответственно, соотношение средней заработной платы и прожиточного минимума </w:t>
      </w:r>
      <w:r w:rsidR="00484779" w:rsidRPr="00577593">
        <w:rPr>
          <w:rFonts w:ascii="Times New Roman" w:hAnsi="Times New Roman"/>
          <w:sz w:val="28"/>
          <w:szCs w:val="28"/>
        </w:rPr>
        <w:t>–</w:t>
      </w:r>
      <w:r w:rsidRPr="00577593">
        <w:rPr>
          <w:rFonts w:ascii="Times New Roman" w:hAnsi="Times New Roman"/>
          <w:sz w:val="28"/>
          <w:szCs w:val="28"/>
        </w:rPr>
        <w:t xml:space="preserve"> 5,1 раза, что выше показателя 2012 года (2,7 раза) и 2017 года (3,6 раза). Целевое значение показателя предыдущей стратегии социально-экономического развития составляло 4,2 раза в 2025 году, соответственно, можно сделать вывод о достижении целевого показателя и о росте покупательной способности заработной платы.</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Для оценки среднедушевых доходов населения было использовано соотношение показателя среднедушевого дохода и средней заработной платы без субъектов малого предпринимательства на уровне Алтайского края. В 2024 году среднедушевой доход в </w:t>
      </w:r>
      <w:r w:rsidR="00E6137C">
        <w:rPr>
          <w:rFonts w:ascii="Times New Roman" w:hAnsi="Times New Roman"/>
          <w:sz w:val="28"/>
          <w:szCs w:val="28"/>
        </w:rPr>
        <w:t xml:space="preserve">городе </w:t>
      </w:r>
      <w:r w:rsidRPr="00577593">
        <w:rPr>
          <w:rFonts w:ascii="Times New Roman" w:hAnsi="Times New Roman"/>
          <w:sz w:val="28"/>
          <w:szCs w:val="28"/>
        </w:rPr>
        <w:t xml:space="preserve">Барнауле можно оценить </w:t>
      </w:r>
      <w:r w:rsidR="00E6137C">
        <w:rPr>
          <w:rFonts w:ascii="Times New Roman" w:hAnsi="Times New Roman"/>
          <w:sz w:val="28"/>
          <w:szCs w:val="28"/>
        </w:rPr>
        <w:t xml:space="preserve">  </w:t>
      </w:r>
      <w:r w:rsidRPr="00577593">
        <w:rPr>
          <w:rFonts w:ascii="Times New Roman" w:hAnsi="Times New Roman"/>
          <w:sz w:val="28"/>
          <w:szCs w:val="28"/>
        </w:rPr>
        <w:t>в 49 тыс. рублей, соответственно, рост в номинально</w:t>
      </w:r>
      <w:r w:rsidR="004D763B">
        <w:rPr>
          <w:rFonts w:ascii="Times New Roman" w:hAnsi="Times New Roman"/>
          <w:sz w:val="28"/>
          <w:szCs w:val="28"/>
        </w:rPr>
        <w:t xml:space="preserve">м выражении к уровню 2012 </w:t>
      </w:r>
      <w:r w:rsidRPr="00577593">
        <w:rPr>
          <w:rFonts w:ascii="Times New Roman" w:hAnsi="Times New Roman"/>
          <w:sz w:val="28"/>
          <w:szCs w:val="28"/>
        </w:rPr>
        <w:t xml:space="preserve">года достиг 292%, а рост в реальном выражении </w:t>
      </w:r>
      <w:r w:rsidR="00484779" w:rsidRPr="00577593">
        <w:rPr>
          <w:rFonts w:ascii="Times New Roman" w:hAnsi="Times New Roman"/>
          <w:sz w:val="28"/>
          <w:szCs w:val="28"/>
        </w:rPr>
        <w:t>–</w:t>
      </w:r>
      <w:r w:rsidRPr="00577593">
        <w:rPr>
          <w:rFonts w:ascii="Times New Roman" w:hAnsi="Times New Roman"/>
          <w:sz w:val="28"/>
          <w:szCs w:val="28"/>
        </w:rPr>
        <w:t xml:space="preserve"> 121%. В рассматриваемый период среднедушевой доход в </w:t>
      </w:r>
      <w:r w:rsidR="004D763B">
        <w:rPr>
          <w:rFonts w:ascii="Times New Roman" w:hAnsi="Times New Roman"/>
          <w:sz w:val="28"/>
          <w:szCs w:val="28"/>
        </w:rPr>
        <w:t xml:space="preserve">городе </w:t>
      </w:r>
      <w:r w:rsidRPr="00577593">
        <w:rPr>
          <w:rFonts w:ascii="Times New Roman" w:hAnsi="Times New Roman"/>
          <w:sz w:val="28"/>
          <w:szCs w:val="28"/>
        </w:rPr>
        <w:t xml:space="preserve">Барнауле был выше, чем в среднем по Алтайскому краю, но ниже, чем в среднем </w:t>
      </w:r>
      <w:r w:rsidR="00EC6ABF">
        <w:rPr>
          <w:rFonts w:ascii="Times New Roman" w:hAnsi="Times New Roman"/>
          <w:sz w:val="28"/>
          <w:szCs w:val="28"/>
        </w:rPr>
        <w:br/>
      </w:r>
      <w:r w:rsidRPr="00577593">
        <w:rPr>
          <w:rFonts w:ascii="Times New Roman" w:hAnsi="Times New Roman"/>
          <w:sz w:val="28"/>
          <w:szCs w:val="28"/>
        </w:rPr>
        <w:t xml:space="preserve">по </w:t>
      </w:r>
      <w:r w:rsidR="00317761">
        <w:rPr>
          <w:rFonts w:ascii="Times New Roman" w:hAnsi="Times New Roman"/>
          <w:sz w:val="28"/>
          <w:szCs w:val="28"/>
        </w:rPr>
        <w:t xml:space="preserve">Российской федерации </w:t>
      </w:r>
      <w:r w:rsidRPr="00577593">
        <w:rPr>
          <w:rFonts w:ascii="Times New Roman" w:hAnsi="Times New Roman"/>
          <w:sz w:val="28"/>
          <w:szCs w:val="28"/>
        </w:rPr>
        <w:t>(</w:t>
      </w:r>
      <w:r w:rsidR="00D558A5">
        <w:fldChar w:fldCharType="begin"/>
      </w:r>
      <w:r w:rsidR="00D558A5">
        <w:instrText xml:space="preserve"> REF _Ref199381934 \h  \* MERGEFORMAT </w:instrText>
      </w:r>
      <w:r w:rsidR="00D558A5">
        <w:fldChar w:fldCharType="separate"/>
      </w:r>
      <w:r w:rsidR="00071499" w:rsidRPr="00071499">
        <w:rPr>
          <w:rFonts w:ascii="Times New Roman" w:hAnsi="Times New Roman"/>
          <w:sz w:val="28"/>
          <w:szCs w:val="28"/>
        </w:rPr>
        <w:t>Рисунок 14</w:t>
      </w:r>
      <w:r w:rsidR="00D558A5">
        <w:fldChar w:fldCharType="end"/>
      </w:r>
      <w:r w:rsidRPr="00577593">
        <w:rPr>
          <w:rFonts w:ascii="Times New Roman" w:hAnsi="Times New Roman"/>
          <w:sz w:val="28"/>
          <w:szCs w:val="28"/>
        </w:rPr>
        <w:t>).</w:t>
      </w:r>
    </w:p>
    <w:p w:rsidR="00D50243" w:rsidRPr="00577593" w:rsidRDefault="000D3F7A" w:rsidP="002000D4">
      <w:pPr>
        <w:spacing w:after="0" w:line="240" w:lineRule="auto"/>
        <w:ind w:firstLine="142"/>
        <w:jc w:val="center"/>
        <w:rPr>
          <w:rFonts w:ascii="Times New Roman" w:hAnsi="Times New Roman"/>
        </w:rPr>
      </w:pPr>
      <w:r w:rsidRPr="00577593">
        <w:rPr>
          <w:rFonts w:ascii="Times New Roman" w:hAnsi="Times New Roman"/>
          <w:noProof/>
          <w:sz w:val="24"/>
          <w:szCs w:val="24"/>
          <w:lang w:eastAsia="ru-RU"/>
        </w:rPr>
        <w:lastRenderedPageBreak/>
        <w:drawing>
          <wp:inline distT="0" distB="0" distL="0" distR="0">
            <wp:extent cx="5133975" cy="2508250"/>
            <wp:effectExtent l="0" t="0" r="0" b="0"/>
            <wp:docPr id="17317" name="Объект 173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8030C2" w:rsidRDefault="008925FA" w:rsidP="00317761">
      <w:pPr>
        <w:pStyle w:val="aff9"/>
        <w:spacing w:after="0"/>
        <w:jc w:val="center"/>
        <w:rPr>
          <w:rFonts w:ascii="Times New Roman" w:hAnsi="Times New Roman"/>
          <w:i w:val="0"/>
          <w:color w:val="auto"/>
          <w:sz w:val="28"/>
          <w:szCs w:val="28"/>
        </w:rPr>
      </w:pPr>
      <w:bookmarkStart w:id="26" w:name="_Ref199381934"/>
      <w:r w:rsidRPr="00577593">
        <w:rPr>
          <w:rFonts w:ascii="Times New Roman" w:hAnsi="Times New Roman"/>
          <w:i w:val="0"/>
          <w:color w:val="auto"/>
          <w:sz w:val="28"/>
          <w:szCs w:val="28"/>
        </w:rPr>
        <w:t xml:space="preserve">Рисунок </w:t>
      </w:r>
      <w:r w:rsidR="00074AE5" w:rsidRPr="00577593">
        <w:rPr>
          <w:rFonts w:ascii="Times New Roman" w:hAnsi="Times New Roman"/>
          <w:i w:val="0"/>
          <w:color w:val="auto"/>
          <w:sz w:val="28"/>
          <w:szCs w:val="28"/>
        </w:rPr>
        <w:fldChar w:fldCharType="begin"/>
      </w:r>
      <w:r w:rsidRPr="00577593">
        <w:rPr>
          <w:rFonts w:ascii="Times New Roman" w:hAnsi="Times New Roman"/>
          <w:i w:val="0"/>
          <w:color w:val="auto"/>
          <w:sz w:val="28"/>
          <w:szCs w:val="28"/>
        </w:rPr>
        <w:instrText xml:space="preserve"> SEQ Рисунок \* ARABIC </w:instrText>
      </w:r>
      <w:r w:rsidR="00074AE5" w:rsidRPr="00577593">
        <w:rPr>
          <w:rFonts w:ascii="Times New Roman" w:hAnsi="Times New Roman"/>
          <w:i w:val="0"/>
          <w:color w:val="auto"/>
          <w:sz w:val="28"/>
          <w:szCs w:val="28"/>
        </w:rPr>
        <w:fldChar w:fldCharType="separate"/>
      </w:r>
      <w:r w:rsidR="00071499">
        <w:rPr>
          <w:rFonts w:ascii="Times New Roman" w:hAnsi="Times New Roman"/>
          <w:i w:val="0"/>
          <w:noProof/>
          <w:color w:val="auto"/>
          <w:sz w:val="28"/>
          <w:szCs w:val="28"/>
        </w:rPr>
        <w:t>14</w:t>
      </w:r>
      <w:r w:rsidR="00074AE5" w:rsidRPr="00577593">
        <w:rPr>
          <w:rFonts w:ascii="Times New Roman" w:hAnsi="Times New Roman"/>
          <w:i w:val="0"/>
          <w:color w:val="auto"/>
          <w:sz w:val="28"/>
          <w:szCs w:val="28"/>
        </w:rPr>
        <w:fldChar w:fldCharType="end"/>
      </w:r>
      <w:bookmarkEnd w:id="26"/>
      <w:r w:rsidRPr="00577593">
        <w:rPr>
          <w:rFonts w:ascii="Times New Roman" w:hAnsi="Times New Roman"/>
          <w:i w:val="0"/>
          <w:color w:val="auto"/>
          <w:sz w:val="28"/>
          <w:szCs w:val="28"/>
        </w:rPr>
        <w:t xml:space="preserve"> </w:t>
      </w:r>
      <w:r w:rsidR="00484779" w:rsidRPr="00577593">
        <w:rPr>
          <w:rFonts w:ascii="Times New Roman" w:hAnsi="Times New Roman"/>
          <w:i w:val="0"/>
          <w:color w:val="auto"/>
          <w:sz w:val="28"/>
          <w:szCs w:val="28"/>
        </w:rPr>
        <w:t>–</w:t>
      </w:r>
      <w:r w:rsidRPr="00577593">
        <w:rPr>
          <w:rFonts w:ascii="Times New Roman" w:hAnsi="Times New Roman"/>
          <w:i w:val="0"/>
          <w:color w:val="auto"/>
          <w:sz w:val="28"/>
          <w:szCs w:val="28"/>
        </w:rPr>
        <w:t xml:space="preserve"> Динамика среднедушевых денеж</w:t>
      </w:r>
      <w:r w:rsidR="005D340D" w:rsidRPr="00577593">
        <w:rPr>
          <w:rFonts w:ascii="Times New Roman" w:hAnsi="Times New Roman"/>
          <w:i w:val="0"/>
          <w:color w:val="auto"/>
          <w:sz w:val="28"/>
          <w:szCs w:val="28"/>
        </w:rPr>
        <w:t xml:space="preserve">ных доходов населения </w:t>
      </w:r>
      <w:r w:rsidR="005D340D" w:rsidRPr="00577593">
        <w:rPr>
          <w:rFonts w:ascii="Times New Roman" w:hAnsi="Times New Roman"/>
          <w:i w:val="0"/>
          <w:color w:val="auto"/>
          <w:sz w:val="28"/>
          <w:szCs w:val="28"/>
        </w:rPr>
        <w:br/>
        <w:t xml:space="preserve">города Барнаула </w:t>
      </w:r>
      <w:r w:rsidRPr="00577593">
        <w:rPr>
          <w:rFonts w:ascii="Times New Roman" w:hAnsi="Times New Roman"/>
          <w:i w:val="0"/>
          <w:color w:val="auto"/>
          <w:sz w:val="28"/>
          <w:szCs w:val="28"/>
        </w:rPr>
        <w:t>в 2012</w:t>
      </w:r>
      <w:r w:rsidR="00484779" w:rsidRPr="00577593">
        <w:rPr>
          <w:rFonts w:ascii="Times New Roman" w:hAnsi="Times New Roman"/>
          <w:i w:val="0"/>
          <w:color w:val="auto"/>
          <w:sz w:val="28"/>
          <w:szCs w:val="28"/>
        </w:rPr>
        <w:t>-2024 годы</w:t>
      </w:r>
      <w:r w:rsidRPr="00577593">
        <w:rPr>
          <w:rFonts w:ascii="Times New Roman" w:hAnsi="Times New Roman"/>
          <w:i w:val="0"/>
          <w:color w:val="auto"/>
          <w:sz w:val="28"/>
          <w:szCs w:val="28"/>
        </w:rPr>
        <w:t>, тыс. рублей</w:t>
      </w:r>
    </w:p>
    <w:p w:rsidR="00317761" w:rsidRPr="00577593" w:rsidRDefault="00317761" w:rsidP="00317761">
      <w:pPr>
        <w:spacing w:after="0" w:line="240" w:lineRule="auto"/>
        <w:ind w:firstLine="142"/>
        <w:jc w:val="both"/>
        <w:rPr>
          <w:rFonts w:ascii="Times New Roman" w:hAnsi="Times New Roman"/>
          <w:sz w:val="28"/>
          <w:szCs w:val="28"/>
        </w:rPr>
      </w:pPr>
      <w:r w:rsidRPr="00577593">
        <w:rPr>
          <w:rFonts w:ascii="Times New Roman" w:hAnsi="Times New Roman"/>
          <w:sz w:val="28"/>
          <w:szCs w:val="28"/>
        </w:rPr>
        <w:t>Примечание – Источник: данные Росстата</w:t>
      </w:r>
    </w:p>
    <w:p w:rsidR="00317761" w:rsidRPr="00317761" w:rsidRDefault="00317761" w:rsidP="00317761">
      <w:pPr>
        <w:spacing w:after="0" w:line="240" w:lineRule="auto"/>
      </w:pPr>
    </w:p>
    <w:p w:rsidR="009056CE" w:rsidRPr="00577593" w:rsidRDefault="008030C2"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Одной из ключевых характеристик уровня жизни населения является уровень доступности жилья. Коэффициент доступности жилья определяется как отношение цены квартиры площадью 54 </w:t>
      </w:r>
      <w:r w:rsidR="000F76C4">
        <w:rPr>
          <w:rFonts w:ascii="Times New Roman" w:hAnsi="Times New Roman"/>
          <w:sz w:val="28"/>
          <w:szCs w:val="28"/>
        </w:rPr>
        <w:t>кв. м</w:t>
      </w:r>
      <w:r w:rsidRPr="00577593">
        <w:rPr>
          <w:rFonts w:ascii="Times New Roman" w:hAnsi="Times New Roman"/>
          <w:sz w:val="28"/>
          <w:szCs w:val="28"/>
        </w:rPr>
        <w:t xml:space="preserve"> и среднедушевы</w:t>
      </w:r>
      <w:r w:rsidR="004D763B">
        <w:rPr>
          <w:rFonts w:ascii="Times New Roman" w:hAnsi="Times New Roman"/>
          <w:sz w:val="28"/>
          <w:szCs w:val="28"/>
        </w:rPr>
        <w:t xml:space="preserve">х доходов семьи из трех человек </w:t>
      </w:r>
      <w:r w:rsidRPr="00577593">
        <w:rPr>
          <w:rFonts w:ascii="Times New Roman" w:hAnsi="Times New Roman"/>
          <w:sz w:val="28"/>
          <w:szCs w:val="28"/>
        </w:rPr>
        <w:t>за 12 месяцев. В сравне</w:t>
      </w:r>
      <w:r w:rsidR="004D763B">
        <w:rPr>
          <w:rFonts w:ascii="Times New Roman" w:hAnsi="Times New Roman"/>
          <w:sz w:val="28"/>
          <w:szCs w:val="28"/>
        </w:rPr>
        <w:t>нии с Алтайским краем в среднем</w:t>
      </w:r>
      <w:r w:rsidRPr="00577593">
        <w:rPr>
          <w:rFonts w:ascii="Times New Roman" w:hAnsi="Times New Roman"/>
          <w:sz w:val="28"/>
          <w:szCs w:val="28"/>
        </w:rPr>
        <w:t xml:space="preserve"> доступность жилья в </w:t>
      </w:r>
      <w:r w:rsidR="004D763B">
        <w:rPr>
          <w:rFonts w:ascii="Times New Roman" w:hAnsi="Times New Roman"/>
          <w:sz w:val="28"/>
          <w:szCs w:val="28"/>
        </w:rPr>
        <w:t xml:space="preserve">городе </w:t>
      </w:r>
      <w:r w:rsidRPr="00577593">
        <w:rPr>
          <w:rFonts w:ascii="Times New Roman" w:hAnsi="Times New Roman"/>
          <w:sz w:val="28"/>
          <w:szCs w:val="28"/>
        </w:rPr>
        <w:t xml:space="preserve">Барнауле выше и сопоставима со среднероссийским уровнем. При этом </w:t>
      </w:r>
      <w:r w:rsidR="004D763B" w:rsidRPr="00577593">
        <w:rPr>
          <w:rFonts w:ascii="Times New Roman" w:hAnsi="Times New Roman"/>
          <w:sz w:val="28"/>
          <w:szCs w:val="28"/>
        </w:rPr>
        <w:t xml:space="preserve">с 2020 года </w:t>
      </w:r>
      <w:r w:rsidRPr="00577593">
        <w:rPr>
          <w:rFonts w:ascii="Times New Roman" w:hAnsi="Times New Roman"/>
          <w:sz w:val="28"/>
          <w:szCs w:val="28"/>
        </w:rPr>
        <w:t xml:space="preserve">в </w:t>
      </w:r>
      <w:r w:rsidR="004D763B">
        <w:rPr>
          <w:rFonts w:ascii="Times New Roman" w:hAnsi="Times New Roman"/>
          <w:sz w:val="28"/>
          <w:szCs w:val="28"/>
        </w:rPr>
        <w:t>городе</w:t>
      </w:r>
      <w:r w:rsidRPr="00577593">
        <w:rPr>
          <w:rFonts w:ascii="Times New Roman" w:hAnsi="Times New Roman"/>
          <w:sz w:val="28"/>
          <w:szCs w:val="28"/>
        </w:rPr>
        <w:t xml:space="preserve"> наблюдалась тенденция снижения доступности жилья. В 2024 году коэффициент доступности жилья составил 3,4 года, что по международной классификации означает, что ж</w:t>
      </w:r>
      <w:r w:rsidR="00E052D3">
        <w:rPr>
          <w:rFonts w:ascii="Times New Roman" w:hAnsi="Times New Roman"/>
          <w:sz w:val="28"/>
          <w:szCs w:val="28"/>
        </w:rPr>
        <w:t xml:space="preserve">илье не </w:t>
      </w:r>
      <w:r w:rsidRPr="00577593">
        <w:rPr>
          <w:rFonts w:ascii="Times New Roman" w:hAnsi="Times New Roman"/>
          <w:sz w:val="28"/>
          <w:szCs w:val="28"/>
        </w:rPr>
        <w:t>очень доступно. В последние несколько лет значение показателя стабилизировалось (</w:t>
      </w:r>
      <w:r w:rsidR="00D558A5">
        <w:fldChar w:fldCharType="begin"/>
      </w:r>
      <w:r w:rsidR="00D558A5">
        <w:instrText xml:space="preserve"> REF _Ref199382749 \h  \* MERGEFORMAT </w:instrText>
      </w:r>
      <w:r w:rsidR="00D558A5">
        <w:fldChar w:fldCharType="separate"/>
      </w:r>
      <w:r w:rsidR="00071499" w:rsidRPr="00071499">
        <w:rPr>
          <w:rFonts w:ascii="Times New Roman" w:hAnsi="Times New Roman"/>
          <w:sz w:val="28"/>
          <w:szCs w:val="28"/>
        </w:rPr>
        <w:t>Рисунок 15</w:t>
      </w:r>
      <w:r w:rsidR="00D558A5">
        <w:fldChar w:fldCharType="end"/>
      </w:r>
      <w:r w:rsidRPr="00577593">
        <w:rPr>
          <w:rFonts w:ascii="Times New Roman" w:hAnsi="Times New Roman"/>
          <w:sz w:val="28"/>
          <w:szCs w:val="28"/>
        </w:rPr>
        <w:t>).</w:t>
      </w:r>
    </w:p>
    <w:p w:rsidR="004021A2" w:rsidRPr="00577593" w:rsidRDefault="000D3F7A" w:rsidP="002000D4">
      <w:pPr>
        <w:spacing w:after="0" w:line="240" w:lineRule="auto"/>
        <w:ind w:firstLine="142"/>
        <w:jc w:val="center"/>
        <w:rPr>
          <w:rFonts w:ascii="Times New Roman" w:hAnsi="Times New Roman"/>
        </w:rPr>
      </w:pPr>
      <w:r w:rsidRPr="00577593">
        <w:rPr>
          <w:rFonts w:ascii="Times New Roman" w:hAnsi="Times New Roman"/>
          <w:noProof/>
          <w:sz w:val="24"/>
          <w:szCs w:val="24"/>
          <w:lang w:eastAsia="ru-RU"/>
        </w:rPr>
        <w:drawing>
          <wp:inline distT="0" distB="0" distL="0" distR="0">
            <wp:extent cx="5120640" cy="2442845"/>
            <wp:effectExtent l="0" t="0" r="0" b="0"/>
            <wp:docPr id="17300" name="Объект 1730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8030C2" w:rsidRDefault="008030C2" w:rsidP="00317761">
      <w:pPr>
        <w:pStyle w:val="aff9"/>
        <w:spacing w:after="0"/>
        <w:jc w:val="center"/>
        <w:rPr>
          <w:rFonts w:ascii="Times New Roman" w:hAnsi="Times New Roman"/>
          <w:i w:val="0"/>
          <w:color w:val="auto"/>
          <w:sz w:val="28"/>
          <w:szCs w:val="28"/>
        </w:rPr>
      </w:pPr>
      <w:bookmarkStart w:id="27" w:name="_Ref199382749"/>
      <w:r w:rsidRPr="00577593">
        <w:rPr>
          <w:rFonts w:ascii="Times New Roman" w:hAnsi="Times New Roman"/>
          <w:i w:val="0"/>
          <w:color w:val="auto"/>
          <w:sz w:val="28"/>
          <w:szCs w:val="28"/>
        </w:rPr>
        <w:t xml:space="preserve">Рисунок </w:t>
      </w:r>
      <w:r w:rsidR="00074AE5" w:rsidRPr="00577593">
        <w:rPr>
          <w:rFonts w:ascii="Times New Roman" w:hAnsi="Times New Roman"/>
          <w:i w:val="0"/>
          <w:color w:val="auto"/>
          <w:sz w:val="28"/>
          <w:szCs w:val="28"/>
        </w:rPr>
        <w:fldChar w:fldCharType="begin"/>
      </w:r>
      <w:r w:rsidRPr="00577593">
        <w:rPr>
          <w:rFonts w:ascii="Times New Roman" w:hAnsi="Times New Roman"/>
          <w:i w:val="0"/>
          <w:color w:val="auto"/>
          <w:sz w:val="28"/>
          <w:szCs w:val="28"/>
        </w:rPr>
        <w:instrText xml:space="preserve"> SEQ Рисунок \* ARABIC </w:instrText>
      </w:r>
      <w:r w:rsidR="00074AE5" w:rsidRPr="00577593">
        <w:rPr>
          <w:rFonts w:ascii="Times New Roman" w:hAnsi="Times New Roman"/>
          <w:i w:val="0"/>
          <w:color w:val="auto"/>
          <w:sz w:val="28"/>
          <w:szCs w:val="28"/>
        </w:rPr>
        <w:fldChar w:fldCharType="separate"/>
      </w:r>
      <w:r w:rsidR="00071499">
        <w:rPr>
          <w:rFonts w:ascii="Times New Roman" w:hAnsi="Times New Roman"/>
          <w:i w:val="0"/>
          <w:noProof/>
          <w:color w:val="auto"/>
          <w:sz w:val="28"/>
          <w:szCs w:val="28"/>
        </w:rPr>
        <w:t>15</w:t>
      </w:r>
      <w:r w:rsidR="00074AE5" w:rsidRPr="00577593">
        <w:rPr>
          <w:rFonts w:ascii="Times New Roman" w:hAnsi="Times New Roman"/>
          <w:i w:val="0"/>
          <w:color w:val="auto"/>
          <w:sz w:val="28"/>
          <w:szCs w:val="28"/>
        </w:rPr>
        <w:fldChar w:fldCharType="end"/>
      </w:r>
      <w:bookmarkEnd w:id="27"/>
      <w:r w:rsidRPr="00577593">
        <w:rPr>
          <w:rFonts w:ascii="Times New Roman" w:hAnsi="Times New Roman"/>
          <w:i w:val="0"/>
          <w:color w:val="auto"/>
          <w:sz w:val="28"/>
          <w:szCs w:val="28"/>
        </w:rPr>
        <w:t xml:space="preserve"> </w:t>
      </w:r>
      <w:r w:rsidR="00484779" w:rsidRPr="00577593">
        <w:rPr>
          <w:rFonts w:ascii="Times New Roman" w:hAnsi="Times New Roman"/>
          <w:i w:val="0"/>
          <w:color w:val="auto"/>
          <w:sz w:val="28"/>
          <w:szCs w:val="28"/>
        </w:rPr>
        <w:t>–</w:t>
      </w:r>
      <w:r w:rsidRPr="00577593">
        <w:rPr>
          <w:rFonts w:ascii="Times New Roman" w:hAnsi="Times New Roman"/>
          <w:i w:val="0"/>
          <w:color w:val="auto"/>
          <w:sz w:val="28"/>
          <w:szCs w:val="28"/>
        </w:rPr>
        <w:t xml:space="preserve"> Коэффициент доступности жилья в России, </w:t>
      </w:r>
      <w:r w:rsidR="005D340D" w:rsidRPr="00577593">
        <w:rPr>
          <w:rFonts w:ascii="Times New Roman" w:hAnsi="Times New Roman"/>
          <w:i w:val="0"/>
          <w:color w:val="auto"/>
          <w:sz w:val="28"/>
          <w:szCs w:val="28"/>
        </w:rPr>
        <w:br/>
      </w:r>
      <w:r w:rsidRPr="00577593">
        <w:rPr>
          <w:rFonts w:ascii="Times New Roman" w:hAnsi="Times New Roman"/>
          <w:i w:val="0"/>
          <w:color w:val="auto"/>
          <w:sz w:val="28"/>
          <w:szCs w:val="28"/>
        </w:rPr>
        <w:t xml:space="preserve">Алтайском крае и </w:t>
      </w:r>
      <w:r w:rsidR="005D340D" w:rsidRPr="00577593">
        <w:rPr>
          <w:rFonts w:ascii="Times New Roman" w:hAnsi="Times New Roman"/>
          <w:i w:val="0"/>
          <w:color w:val="auto"/>
          <w:sz w:val="28"/>
          <w:szCs w:val="28"/>
        </w:rPr>
        <w:t xml:space="preserve">городе </w:t>
      </w:r>
      <w:r w:rsidRPr="00577593">
        <w:rPr>
          <w:rFonts w:ascii="Times New Roman" w:hAnsi="Times New Roman"/>
          <w:i w:val="0"/>
          <w:color w:val="auto"/>
          <w:sz w:val="28"/>
          <w:szCs w:val="28"/>
        </w:rPr>
        <w:t>Барнауле (оценка)</w:t>
      </w:r>
    </w:p>
    <w:p w:rsidR="00317761" w:rsidRPr="00577593" w:rsidRDefault="00317761" w:rsidP="00317761">
      <w:pPr>
        <w:spacing w:after="0" w:line="240" w:lineRule="auto"/>
        <w:jc w:val="both"/>
        <w:rPr>
          <w:rFonts w:ascii="Times New Roman" w:hAnsi="Times New Roman"/>
          <w:sz w:val="28"/>
          <w:szCs w:val="28"/>
        </w:rPr>
      </w:pPr>
      <w:r w:rsidRPr="00577593">
        <w:rPr>
          <w:rFonts w:ascii="Times New Roman" w:hAnsi="Times New Roman"/>
          <w:iCs/>
          <w:sz w:val="28"/>
          <w:szCs w:val="28"/>
        </w:rPr>
        <w:t>Примечание – Источник: рас</w:t>
      </w:r>
      <w:r w:rsidRPr="00577593">
        <w:rPr>
          <w:rFonts w:ascii="Times New Roman" w:eastAsia="Times New Roman" w:hAnsi="Times New Roman"/>
          <w:sz w:val="28"/>
          <w:szCs w:val="28"/>
        </w:rPr>
        <w:t xml:space="preserve">чет по данным Росстата, цена </w:t>
      </w:r>
      <w:r>
        <w:rPr>
          <w:rFonts w:ascii="Times New Roman" w:eastAsia="Times New Roman" w:hAnsi="Times New Roman"/>
          <w:sz w:val="28"/>
          <w:szCs w:val="28"/>
        </w:rPr>
        <w:t>кв. м</w:t>
      </w:r>
      <w:r w:rsidRPr="00577593">
        <w:rPr>
          <w:rFonts w:ascii="Times New Roman" w:eastAsia="Times New Roman" w:hAnsi="Times New Roman"/>
          <w:sz w:val="28"/>
          <w:szCs w:val="28"/>
        </w:rPr>
        <w:t xml:space="preserve"> в</w:t>
      </w:r>
      <w:r w:rsidR="00D558A5">
        <w:rPr>
          <w:rFonts w:ascii="Times New Roman" w:eastAsia="Times New Roman" w:hAnsi="Times New Roman"/>
          <w:sz w:val="28"/>
          <w:szCs w:val="28"/>
        </w:rPr>
        <w:t xml:space="preserve"> городе </w:t>
      </w:r>
      <w:r w:rsidRPr="00577593">
        <w:rPr>
          <w:rFonts w:ascii="Times New Roman" w:eastAsia="Times New Roman" w:hAnsi="Times New Roman"/>
          <w:sz w:val="28"/>
          <w:szCs w:val="28"/>
        </w:rPr>
        <w:t>Барнауле по данным порталов о продаже жилья</w:t>
      </w:r>
    </w:p>
    <w:p w:rsidR="00317761" w:rsidRPr="00317761" w:rsidRDefault="00317761" w:rsidP="00317761"/>
    <w:p w:rsidR="00C60D20" w:rsidRPr="00577593" w:rsidRDefault="008030C2"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lastRenderedPageBreak/>
        <w:t xml:space="preserve">В то же время с </w:t>
      </w:r>
      <w:r w:rsidR="00BC55C7" w:rsidRPr="00577593">
        <w:rPr>
          <w:rFonts w:ascii="Times New Roman" w:hAnsi="Times New Roman"/>
          <w:sz w:val="28"/>
          <w:szCs w:val="28"/>
        </w:rPr>
        <w:t>2012 год</w:t>
      </w:r>
      <w:r w:rsidRPr="00577593">
        <w:rPr>
          <w:rFonts w:ascii="Times New Roman" w:hAnsi="Times New Roman"/>
          <w:sz w:val="28"/>
          <w:szCs w:val="28"/>
        </w:rPr>
        <w:t>а отмечена положительная динамика роста</w:t>
      </w:r>
      <w:r w:rsidR="00BC55C7" w:rsidRPr="00577593">
        <w:rPr>
          <w:rFonts w:ascii="Times New Roman" w:hAnsi="Times New Roman"/>
          <w:sz w:val="28"/>
          <w:szCs w:val="28"/>
        </w:rPr>
        <w:t xml:space="preserve"> обеспеченност</w:t>
      </w:r>
      <w:r w:rsidRPr="00577593">
        <w:rPr>
          <w:rFonts w:ascii="Times New Roman" w:hAnsi="Times New Roman"/>
          <w:sz w:val="28"/>
          <w:szCs w:val="28"/>
        </w:rPr>
        <w:t>и</w:t>
      </w:r>
      <w:r w:rsidR="00BC55C7" w:rsidRPr="00577593">
        <w:rPr>
          <w:rFonts w:ascii="Times New Roman" w:hAnsi="Times New Roman"/>
          <w:sz w:val="28"/>
          <w:szCs w:val="28"/>
        </w:rPr>
        <w:t xml:space="preserve"> жильем</w:t>
      </w:r>
      <w:r w:rsidRPr="00577593">
        <w:rPr>
          <w:rFonts w:ascii="Times New Roman" w:hAnsi="Times New Roman"/>
          <w:sz w:val="28"/>
          <w:szCs w:val="28"/>
        </w:rPr>
        <w:t>, которая увеличилась с</w:t>
      </w:r>
      <w:r w:rsidR="00BC55C7" w:rsidRPr="00577593">
        <w:rPr>
          <w:rFonts w:ascii="Times New Roman" w:hAnsi="Times New Roman"/>
          <w:sz w:val="28"/>
          <w:szCs w:val="28"/>
        </w:rPr>
        <w:t xml:space="preserve"> 21,3 </w:t>
      </w:r>
      <w:r w:rsidRPr="00577593">
        <w:rPr>
          <w:rFonts w:ascii="Times New Roman" w:hAnsi="Times New Roman"/>
          <w:sz w:val="28"/>
          <w:szCs w:val="28"/>
        </w:rPr>
        <w:t>до</w:t>
      </w:r>
      <w:r w:rsidR="00BC55C7" w:rsidRPr="00577593">
        <w:rPr>
          <w:rFonts w:ascii="Times New Roman" w:hAnsi="Times New Roman"/>
          <w:sz w:val="28"/>
          <w:szCs w:val="28"/>
        </w:rPr>
        <w:t xml:space="preserve"> </w:t>
      </w:r>
      <w:r w:rsidRPr="00577593">
        <w:rPr>
          <w:rFonts w:ascii="Times New Roman" w:hAnsi="Times New Roman"/>
          <w:sz w:val="28"/>
          <w:szCs w:val="28"/>
        </w:rPr>
        <w:t xml:space="preserve">28,3 </w:t>
      </w:r>
      <w:r w:rsidR="000F76C4">
        <w:rPr>
          <w:rFonts w:ascii="Times New Roman" w:hAnsi="Times New Roman"/>
          <w:sz w:val="28"/>
          <w:szCs w:val="28"/>
        </w:rPr>
        <w:t>кв. м</w:t>
      </w:r>
      <w:r w:rsidR="00E052D3">
        <w:rPr>
          <w:rFonts w:ascii="Times New Roman" w:hAnsi="Times New Roman"/>
          <w:sz w:val="28"/>
          <w:szCs w:val="28"/>
        </w:rPr>
        <w:t xml:space="preserve"> </w:t>
      </w:r>
      <w:r w:rsidR="00C60D20" w:rsidRPr="00577593">
        <w:rPr>
          <w:rFonts w:ascii="Times New Roman" w:hAnsi="Times New Roman"/>
          <w:sz w:val="28"/>
          <w:szCs w:val="28"/>
        </w:rPr>
        <w:t>в 2024 году</w:t>
      </w:r>
      <w:r w:rsidR="00EF0DDC" w:rsidRPr="00577593">
        <w:rPr>
          <w:rFonts w:ascii="Times New Roman" w:hAnsi="Times New Roman"/>
          <w:sz w:val="28"/>
          <w:szCs w:val="28"/>
        </w:rPr>
        <w:t xml:space="preserve">. Рост показателя составил </w:t>
      </w:r>
      <w:r w:rsidR="00BC55C7" w:rsidRPr="00577593">
        <w:rPr>
          <w:rFonts w:ascii="Times New Roman" w:hAnsi="Times New Roman"/>
          <w:sz w:val="28"/>
          <w:szCs w:val="28"/>
        </w:rPr>
        <w:t>33%, достигнуто целевое значение, определенное Стратегией социально-экономич</w:t>
      </w:r>
      <w:r w:rsidR="00E052D3">
        <w:rPr>
          <w:rFonts w:ascii="Times New Roman" w:hAnsi="Times New Roman"/>
          <w:sz w:val="28"/>
          <w:szCs w:val="28"/>
        </w:rPr>
        <w:t xml:space="preserve">еского развития города Барнаула </w:t>
      </w:r>
      <w:r w:rsidR="00BC55C7" w:rsidRPr="00577593">
        <w:rPr>
          <w:rFonts w:ascii="Times New Roman" w:hAnsi="Times New Roman"/>
          <w:sz w:val="28"/>
          <w:szCs w:val="28"/>
        </w:rPr>
        <w:t xml:space="preserve">до 2025 года </w:t>
      </w:r>
      <w:r w:rsidR="00484779" w:rsidRPr="00577593">
        <w:rPr>
          <w:rFonts w:ascii="Times New Roman" w:hAnsi="Times New Roman"/>
          <w:sz w:val="28"/>
          <w:szCs w:val="28"/>
        </w:rPr>
        <w:t>–</w:t>
      </w:r>
      <w:r w:rsidR="00BC55C7" w:rsidRPr="00577593">
        <w:rPr>
          <w:rFonts w:ascii="Times New Roman" w:hAnsi="Times New Roman"/>
          <w:sz w:val="28"/>
          <w:szCs w:val="28"/>
        </w:rPr>
        <w:t xml:space="preserve"> 28 </w:t>
      </w:r>
      <w:r w:rsidR="000F76C4">
        <w:rPr>
          <w:rFonts w:ascii="Times New Roman" w:hAnsi="Times New Roman"/>
          <w:sz w:val="28"/>
          <w:szCs w:val="28"/>
        </w:rPr>
        <w:t>кв. м</w:t>
      </w:r>
      <w:r w:rsidR="00BC55C7" w:rsidRPr="00577593">
        <w:rPr>
          <w:rFonts w:ascii="Times New Roman" w:hAnsi="Times New Roman"/>
          <w:sz w:val="28"/>
          <w:szCs w:val="28"/>
        </w:rPr>
        <w:t xml:space="preserve"> на человека. Обеспеченность жильем несколько ниже, чем в Алтайском крае и Российской Федерации в целом, но с 2012 года разрыв сократился (</w:t>
      </w:r>
      <w:r w:rsidR="00D558A5">
        <w:fldChar w:fldCharType="begin"/>
      </w:r>
      <w:r w:rsidR="00D558A5">
        <w:instrText xml:space="preserve"> REF _Ref199382195 \h  \* MERGEFORMAT </w:instrText>
      </w:r>
      <w:r w:rsidR="00D558A5">
        <w:fldChar w:fldCharType="separate"/>
      </w:r>
      <w:r w:rsidR="00071499" w:rsidRPr="00071499">
        <w:rPr>
          <w:rFonts w:ascii="Times New Roman" w:hAnsi="Times New Roman"/>
          <w:sz w:val="28"/>
          <w:szCs w:val="28"/>
        </w:rPr>
        <w:t>Рисунок 16</w:t>
      </w:r>
      <w:r w:rsidR="00D558A5">
        <w:fldChar w:fldCharType="end"/>
      </w:r>
      <w:r w:rsidR="00BC55C7" w:rsidRPr="00577593">
        <w:rPr>
          <w:rFonts w:ascii="Times New Roman" w:hAnsi="Times New Roman"/>
          <w:sz w:val="28"/>
          <w:szCs w:val="28"/>
        </w:rPr>
        <w:t xml:space="preserve">). Рост обеспеченности жильем связан с достаточно высокими темпами ввода жилья в </w:t>
      </w:r>
      <w:r w:rsidR="00E052D3">
        <w:rPr>
          <w:rFonts w:ascii="Times New Roman" w:hAnsi="Times New Roman"/>
          <w:sz w:val="28"/>
          <w:szCs w:val="28"/>
        </w:rPr>
        <w:t>городе</w:t>
      </w:r>
      <w:r w:rsidR="00BC55C7" w:rsidRPr="00577593">
        <w:rPr>
          <w:rFonts w:ascii="Times New Roman" w:hAnsi="Times New Roman"/>
          <w:sz w:val="28"/>
          <w:szCs w:val="28"/>
        </w:rPr>
        <w:t xml:space="preserve">, в том числе </w:t>
      </w:r>
      <w:r w:rsidR="00E052D3">
        <w:rPr>
          <w:rFonts w:ascii="Times New Roman" w:hAnsi="Times New Roman"/>
          <w:sz w:val="28"/>
          <w:szCs w:val="28"/>
        </w:rPr>
        <w:t xml:space="preserve">       </w:t>
      </w:r>
      <w:r w:rsidR="00BC55C7" w:rsidRPr="00577593">
        <w:rPr>
          <w:rFonts w:ascii="Times New Roman" w:hAnsi="Times New Roman"/>
          <w:sz w:val="28"/>
          <w:szCs w:val="28"/>
        </w:rPr>
        <w:t xml:space="preserve">в сравнении с центрами других субъектов СФО (см. раздел 3). </w:t>
      </w:r>
    </w:p>
    <w:p w:rsidR="00BC55C7" w:rsidRPr="00577593" w:rsidRDefault="000D3F7A" w:rsidP="002000D4">
      <w:pPr>
        <w:spacing w:after="0" w:line="240" w:lineRule="auto"/>
        <w:ind w:firstLine="142"/>
        <w:jc w:val="center"/>
        <w:rPr>
          <w:rFonts w:ascii="Times New Roman" w:hAnsi="Times New Roman"/>
          <w:sz w:val="24"/>
          <w:szCs w:val="24"/>
        </w:rPr>
      </w:pPr>
      <w:r w:rsidRPr="00577593">
        <w:rPr>
          <w:rFonts w:ascii="Times New Roman" w:hAnsi="Times New Roman"/>
          <w:noProof/>
          <w:sz w:val="24"/>
          <w:szCs w:val="24"/>
          <w:lang w:eastAsia="ru-RU"/>
        </w:rPr>
        <w:drawing>
          <wp:inline distT="0" distB="0" distL="0" distR="0">
            <wp:extent cx="5120640" cy="2546985"/>
            <wp:effectExtent l="0" t="0" r="0" b="0"/>
            <wp:docPr id="16" name="Объект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FC41F4" w:rsidRDefault="008925FA" w:rsidP="00317761">
      <w:pPr>
        <w:pStyle w:val="aff9"/>
        <w:spacing w:after="0"/>
        <w:jc w:val="center"/>
        <w:rPr>
          <w:rFonts w:ascii="Times New Roman" w:hAnsi="Times New Roman"/>
          <w:i w:val="0"/>
          <w:color w:val="auto"/>
          <w:sz w:val="28"/>
          <w:szCs w:val="28"/>
        </w:rPr>
      </w:pPr>
      <w:bookmarkStart w:id="28" w:name="_Ref199382195"/>
      <w:r w:rsidRPr="00577593">
        <w:rPr>
          <w:rFonts w:ascii="Times New Roman" w:hAnsi="Times New Roman"/>
          <w:i w:val="0"/>
          <w:color w:val="auto"/>
          <w:sz w:val="28"/>
          <w:szCs w:val="28"/>
        </w:rPr>
        <w:t xml:space="preserve">Рисунок </w:t>
      </w:r>
      <w:r w:rsidR="00074AE5" w:rsidRPr="00577593">
        <w:rPr>
          <w:rFonts w:ascii="Times New Roman" w:hAnsi="Times New Roman"/>
          <w:i w:val="0"/>
          <w:color w:val="auto"/>
          <w:sz w:val="28"/>
          <w:szCs w:val="28"/>
        </w:rPr>
        <w:fldChar w:fldCharType="begin"/>
      </w:r>
      <w:r w:rsidRPr="00577593">
        <w:rPr>
          <w:rFonts w:ascii="Times New Roman" w:hAnsi="Times New Roman"/>
          <w:i w:val="0"/>
          <w:color w:val="auto"/>
          <w:sz w:val="28"/>
          <w:szCs w:val="28"/>
        </w:rPr>
        <w:instrText xml:space="preserve"> SEQ Рисунок \* ARABIC </w:instrText>
      </w:r>
      <w:r w:rsidR="00074AE5" w:rsidRPr="00577593">
        <w:rPr>
          <w:rFonts w:ascii="Times New Roman" w:hAnsi="Times New Roman"/>
          <w:i w:val="0"/>
          <w:color w:val="auto"/>
          <w:sz w:val="28"/>
          <w:szCs w:val="28"/>
        </w:rPr>
        <w:fldChar w:fldCharType="separate"/>
      </w:r>
      <w:r w:rsidR="00071499">
        <w:rPr>
          <w:rFonts w:ascii="Times New Roman" w:hAnsi="Times New Roman"/>
          <w:i w:val="0"/>
          <w:noProof/>
          <w:color w:val="auto"/>
          <w:sz w:val="28"/>
          <w:szCs w:val="28"/>
        </w:rPr>
        <w:t>16</w:t>
      </w:r>
      <w:r w:rsidR="00074AE5" w:rsidRPr="00577593">
        <w:rPr>
          <w:rFonts w:ascii="Times New Roman" w:hAnsi="Times New Roman"/>
          <w:i w:val="0"/>
          <w:color w:val="auto"/>
          <w:sz w:val="28"/>
          <w:szCs w:val="28"/>
        </w:rPr>
        <w:fldChar w:fldCharType="end"/>
      </w:r>
      <w:bookmarkEnd w:id="28"/>
      <w:r w:rsidRPr="00577593">
        <w:rPr>
          <w:rFonts w:ascii="Times New Roman" w:hAnsi="Times New Roman"/>
          <w:i w:val="0"/>
          <w:color w:val="auto"/>
          <w:sz w:val="28"/>
          <w:szCs w:val="28"/>
        </w:rPr>
        <w:t xml:space="preserve"> </w:t>
      </w:r>
      <w:r w:rsidR="00484779" w:rsidRPr="00577593">
        <w:rPr>
          <w:rFonts w:ascii="Times New Roman" w:hAnsi="Times New Roman"/>
          <w:i w:val="0"/>
          <w:color w:val="auto"/>
          <w:sz w:val="28"/>
          <w:szCs w:val="28"/>
        </w:rPr>
        <w:t>–</w:t>
      </w:r>
      <w:r w:rsidRPr="00577593">
        <w:rPr>
          <w:rFonts w:ascii="Times New Roman" w:hAnsi="Times New Roman"/>
          <w:i w:val="0"/>
          <w:color w:val="auto"/>
          <w:sz w:val="28"/>
          <w:szCs w:val="28"/>
        </w:rPr>
        <w:t xml:space="preserve"> Общая площадь жилых помещений, приходящаяся в среднем </w:t>
      </w:r>
      <w:r w:rsidR="005D340D" w:rsidRPr="00577593">
        <w:rPr>
          <w:rFonts w:ascii="Times New Roman" w:hAnsi="Times New Roman"/>
          <w:i w:val="0"/>
          <w:color w:val="auto"/>
          <w:sz w:val="28"/>
          <w:szCs w:val="28"/>
        </w:rPr>
        <w:br/>
      </w:r>
      <w:r w:rsidRPr="00577593">
        <w:rPr>
          <w:rFonts w:ascii="Times New Roman" w:hAnsi="Times New Roman"/>
          <w:i w:val="0"/>
          <w:color w:val="auto"/>
          <w:sz w:val="28"/>
          <w:szCs w:val="28"/>
        </w:rPr>
        <w:t xml:space="preserve">на одного жителя, </w:t>
      </w:r>
      <w:r w:rsidR="000F76C4">
        <w:rPr>
          <w:rFonts w:ascii="Times New Roman" w:hAnsi="Times New Roman"/>
          <w:i w:val="0"/>
          <w:color w:val="auto"/>
          <w:sz w:val="28"/>
          <w:szCs w:val="28"/>
        </w:rPr>
        <w:t>кв. м</w:t>
      </w:r>
    </w:p>
    <w:p w:rsidR="00317761" w:rsidRDefault="00317761" w:rsidP="00317761">
      <w:pPr>
        <w:pStyle w:val="aff9"/>
        <w:spacing w:after="0"/>
        <w:rPr>
          <w:rFonts w:ascii="Times New Roman" w:hAnsi="Times New Roman"/>
          <w:i w:val="0"/>
          <w:color w:val="auto"/>
          <w:sz w:val="28"/>
          <w:szCs w:val="28"/>
        </w:rPr>
      </w:pPr>
      <w:r w:rsidRPr="00577593">
        <w:rPr>
          <w:rFonts w:ascii="Times New Roman" w:hAnsi="Times New Roman"/>
          <w:i w:val="0"/>
          <w:color w:val="auto"/>
          <w:sz w:val="28"/>
          <w:szCs w:val="28"/>
        </w:rPr>
        <w:t>Примечание – Источник: расчет по данным Росстата</w:t>
      </w:r>
    </w:p>
    <w:p w:rsidR="005B68BD" w:rsidRPr="005B68BD" w:rsidRDefault="005B68BD" w:rsidP="002000D4">
      <w:pPr>
        <w:spacing w:after="0" w:line="240" w:lineRule="auto"/>
        <w:ind w:firstLine="709"/>
        <w:jc w:val="both"/>
        <w:rPr>
          <w:rFonts w:ascii="Times New Roman" w:hAnsi="Times New Roman"/>
          <w:sz w:val="24"/>
          <w:szCs w:val="24"/>
        </w:rPr>
      </w:pP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По результатам анализа уровня жизни населения в </w:t>
      </w:r>
      <w:r w:rsidR="00E052D3">
        <w:rPr>
          <w:rFonts w:ascii="Times New Roman" w:hAnsi="Times New Roman"/>
          <w:sz w:val="28"/>
          <w:szCs w:val="28"/>
        </w:rPr>
        <w:t xml:space="preserve">городе </w:t>
      </w:r>
      <w:r w:rsidRPr="00577593">
        <w:rPr>
          <w:rFonts w:ascii="Times New Roman" w:hAnsi="Times New Roman"/>
          <w:sz w:val="28"/>
          <w:szCs w:val="28"/>
        </w:rPr>
        <w:t xml:space="preserve">Барнауле можно отметить: </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 xml:space="preserve">сравнительно низкий уровень заработной платы; </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низкий уровень среднедушевых денежных доходов.</w:t>
      </w:r>
    </w:p>
    <w:p w:rsidR="00FC41F4" w:rsidRPr="00577593" w:rsidRDefault="00FC41F4" w:rsidP="002000D4">
      <w:pPr>
        <w:spacing w:after="0" w:line="240" w:lineRule="auto"/>
        <w:rPr>
          <w:rFonts w:ascii="Times New Roman" w:hAnsi="Times New Roman"/>
          <w:b/>
          <w:sz w:val="28"/>
          <w:szCs w:val="28"/>
        </w:rPr>
      </w:pPr>
      <w:bookmarkStart w:id="29" w:name="_Toc1870075574"/>
    </w:p>
    <w:p w:rsidR="00FC41F4" w:rsidRPr="00577593" w:rsidRDefault="008925FA" w:rsidP="008D738C">
      <w:pPr>
        <w:pStyle w:val="3"/>
        <w:spacing w:before="0" w:line="240" w:lineRule="auto"/>
        <w:ind w:firstLine="709"/>
        <w:rPr>
          <w:rFonts w:ascii="Times New Roman" w:hAnsi="Times New Roman"/>
          <w:b/>
          <w:color w:val="auto"/>
          <w:sz w:val="28"/>
          <w:szCs w:val="28"/>
        </w:rPr>
      </w:pPr>
      <w:bookmarkStart w:id="30" w:name="_Toc212804263"/>
      <w:r w:rsidRPr="00577593">
        <w:rPr>
          <w:rFonts w:ascii="Times New Roman" w:hAnsi="Times New Roman"/>
          <w:b/>
          <w:color w:val="auto"/>
          <w:sz w:val="28"/>
          <w:szCs w:val="28"/>
        </w:rPr>
        <w:t>2.4</w:t>
      </w:r>
      <w:r w:rsidR="00E052D3">
        <w:rPr>
          <w:rFonts w:ascii="Times New Roman" w:hAnsi="Times New Roman"/>
          <w:b/>
          <w:color w:val="auto"/>
          <w:sz w:val="28"/>
          <w:szCs w:val="28"/>
        </w:rPr>
        <w:t>.</w:t>
      </w:r>
      <w:r w:rsidRPr="00577593">
        <w:rPr>
          <w:rFonts w:ascii="Times New Roman" w:hAnsi="Times New Roman"/>
          <w:b/>
          <w:color w:val="auto"/>
          <w:sz w:val="28"/>
          <w:szCs w:val="28"/>
        </w:rPr>
        <w:t xml:space="preserve"> Социальная сфера</w:t>
      </w:r>
      <w:bookmarkEnd w:id="29"/>
      <w:bookmarkEnd w:id="30"/>
    </w:p>
    <w:p w:rsidR="00FC41F4" w:rsidRPr="00577593" w:rsidRDefault="008925FA" w:rsidP="008D738C">
      <w:pPr>
        <w:pStyle w:val="3"/>
        <w:spacing w:before="0" w:line="240" w:lineRule="auto"/>
        <w:ind w:firstLine="709"/>
        <w:rPr>
          <w:rFonts w:ascii="Times New Roman" w:hAnsi="Times New Roman"/>
          <w:b/>
          <w:color w:val="auto"/>
          <w:sz w:val="28"/>
          <w:szCs w:val="28"/>
        </w:rPr>
      </w:pPr>
      <w:bookmarkStart w:id="31" w:name="_Toc1605887604"/>
      <w:bookmarkStart w:id="32" w:name="_Toc204922995"/>
      <w:bookmarkStart w:id="33" w:name="_Toc204933329"/>
      <w:bookmarkStart w:id="34" w:name="_Toc208496633"/>
      <w:bookmarkStart w:id="35" w:name="_Toc208668915"/>
      <w:bookmarkStart w:id="36" w:name="_Toc212804264"/>
      <w:r w:rsidRPr="00577593">
        <w:rPr>
          <w:rFonts w:ascii="Times New Roman" w:hAnsi="Times New Roman"/>
          <w:b/>
          <w:color w:val="auto"/>
          <w:sz w:val="28"/>
          <w:szCs w:val="28"/>
        </w:rPr>
        <w:t>2.4.1</w:t>
      </w:r>
      <w:r w:rsidR="0092773C">
        <w:rPr>
          <w:rFonts w:ascii="Times New Roman" w:hAnsi="Times New Roman"/>
          <w:b/>
          <w:color w:val="auto"/>
          <w:sz w:val="28"/>
          <w:szCs w:val="28"/>
        </w:rPr>
        <w:t>.</w:t>
      </w:r>
      <w:r w:rsidRPr="00577593">
        <w:rPr>
          <w:rFonts w:ascii="Times New Roman" w:hAnsi="Times New Roman"/>
          <w:b/>
          <w:color w:val="auto"/>
          <w:sz w:val="28"/>
          <w:szCs w:val="28"/>
        </w:rPr>
        <w:t xml:space="preserve"> </w:t>
      </w:r>
      <w:bookmarkEnd w:id="5"/>
      <w:bookmarkEnd w:id="6"/>
      <w:r w:rsidRPr="00577593">
        <w:rPr>
          <w:rFonts w:ascii="Times New Roman" w:hAnsi="Times New Roman"/>
          <w:b/>
          <w:color w:val="auto"/>
          <w:sz w:val="28"/>
          <w:szCs w:val="28"/>
        </w:rPr>
        <w:t>Здравоохранение</w:t>
      </w:r>
      <w:bookmarkEnd w:id="31"/>
      <w:bookmarkEnd w:id="32"/>
      <w:bookmarkEnd w:id="33"/>
      <w:bookmarkEnd w:id="34"/>
      <w:bookmarkEnd w:id="35"/>
      <w:bookmarkEnd w:id="36"/>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На территории </w:t>
      </w:r>
      <w:r w:rsidR="00E052D3">
        <w:rPr>
          <w:rFonts w:ascii="Times New Roman" w:hAnsi="Times New Roman"/>
          <w:sz w:val="28"/>
          <w:szCs w:val="28"/>
        </w:rPr>
        <w:t xml:space="preserve">города </w:t>
      </w:r>
      <w:r w:rsidRPr="00577593">
        <w:rPr>
          <w:rFonts w:ascii="Times New Roman" w:hAnsi="Times New Roman"/>
          <w:sz w:val="28"/>
          <w:szCs w:val="28"/>
        </w:rPr>
        <w:t xml:space="preserve">Барнаула действуют 48 краевых государственных бюджетных учреждений здравоохранения, в том числе краевая клиническая больница, </w:t>
      </w:r>
      <w:r w:rsidR="002B10DC">
        <w:rPr>
          <w:rFonts w:ascii="Times New Roman" w:hAnsi="Times New Roman"/>
          <w:sz w:val="28"/>
          <w:szCs w:val="28"/>
        </w:rPr>
        <w:t>пять</w:t>
      </w:r>
      <w:r w:rsidRPr="00577593">
        <w:rPr>
          <w:rFonts w:ascii="Times New Roman" w:hAnsi="Times New Roman"/>
          <w:sz w:val="28"/>
          <w:szCs w:val="28"/>
        </w:rPr>
        <w:t xml:space="preserve"> городских больниц, </w:t>
      </w:r>
      <w:r w:rsidR="002B10DC">
        <w:rPr>
          <w:rFonts w:ascii="Times New Roman" w:hAnsi="Times New Roman"/>
          <w:sz w:val="28"/>
          <w:szCs w:val="28"/>
        </w:rPr>
        <w:t>две</w:t>
      </w:r>
      <w:r w:rsidRPr="00577593">
        <w:rPr>
          <w:rFonts w:ascii="Times New Roman" w:hAnsi="Times New Roman"/>
          <w:sz w:val="28"/>
          <w:szCs w:val="28"/>
        </w:rPr>
        <w:t xml:space="preserve"> клинические больницы скорой помощи, госпиталь для ветеранов войн, перинатальный центр, родильный дом, диагностический центр, </w:t>
      </w:r>
      <w:r w:rsidR="002B10DC">
        <w:rPr>
          <w:rFonts w:ascii="Times New Roman" w:hAnsi="Times New Roman"/>
          <w:sz w:val="28"/>
          <w:szCs w:val="28"/>
        </w:rPr>
        <w:t>две</w:t>
      </w:r>
      <w:r w:rsidRPr="00577593">
        <w:rPr>
          <w:rFonts w:ascii="Times New Roman" w:hAnsi="Times New Roman"/>
          <w:sz w:val="28"/>
          <w:szCs w:val="28"/>
        </w:rPr>
        <w:t xml:space="preserve"> детские больницы, </w:t>
      </w:r>
      <w:r w:rsidR="002B10DC">
        <w:rPr>
          <w:rFonts w:ascii="Times New Roman" w:hAnsi="Times New Roman"/>
          <w:sz w:val="28"/>
          <w:szCs w:val="28"/>
        </w:rPr>
        <w:t xml:space="preserve"> семь </w:t>
      </w:r>
      <w:r w:rsidRPr="00577593">
        <w:rPr>
          <w:rFonts w:ascii="Times New Roman" w:hAnsi="Times New Roman"/>
          <w:sz w:val="28"/>
          <w:szCs w:val="28"/>
        </w:rPr>
        <w:t xml:space="preserve">взрослых и </w:t>
      </w:r>
      <w:r w:rsidR="002B10DC">
        <w:rPr>
          <w:rFonts w:ascii="Times New Roman" w:hAnsi="Times New Roman"/>
          <w:sz w:val="28"/>
          <w:szCs w:val="28"/>
        </w:rPr>
        <w:t>четыре детских городских поликлиник, три</w:t>
      </w:r>
      <w:r w:rsidRPr="00577593">
        <w:rPr>
          <w:rFonts w:ascii="Times New Roman" w:hAnsi="Times New Roman"/>
          <w:sz w:val="28"/>
          <w:szCs w:val="28"/>
        </w:rPr>
        <w:t xml:space="preserve"> взрослых и </w:t>
      </w:r>
      <w:r w:rsidR="002B10DC">
        <w:rPr>
          <w:rFonts w:ascii="Times New Roman" w:hAnsi="Times New Roman"/>
          <w:sz w:val="28"/>
          <w:szCs w:val="28"/>
        </w:rPr>
        <w:t>две</w:t>
      </w:r>
      <w:r w:rsidRPr="00577593">
        <w:rPr>
          <w:rFonts w:ascii="Times New Roman" w:hAnsi="Times New Roman"/>
          <w:sz w:val="28"/>
          <w:szCs w:val="28"/>
        </w:rPr>
        <w:t xml:space="preserve"> детских стоматологических поликлиник, станция скорой помощи, бюро судебно-медицинской экспертизы, ряд специализированных медицинских учреждений. В </w:t>
      </w:r>
      <w:r w:rsidR="0059444E">
        <w:rPr>
          <w:rFonts w:ascii="Times New Roman" w:hAnsi="Times New Roman"/>
          <w:sz w:val="28"/>
          <w:szCs w:val="28"/>
        </w:rPr>
        <w:t>городе</w:t>
      </w:r>
      <w:r w:rsidRPr="00577593">
        <w:rPr>
          <w:rFonts w:ascii="Times New Roman" w:hAnsi="Times New Roman"/>
          <w:sz w:val="28"/>
          <w:szCs w:val="28"/>
        </w:rPr>
        <w:t xml:space="preserve"> действует Федеральный центр травматологии, ортопедии и эндопротезирования.</w:t>
      </w:r>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Система здравоохранения на территории городского округа представлена объектами федерального и регионального значения, а также </w:t>
      </w:r>
      <w:r w:rsidRPr="00577593">
        <w:rPr>
          <w:rFonts w:ascii="Times New Roman" w:hAnsi="Times New Roman"/>
          <w:sz w:val="28"/>
          <w:szCs w:val="28"/>
        </w:rPr>
        <w:lastRenderedPageBreak/>
        <w:t>объектами коммерческих организаций. На территории края реализуется государственная программа «Развитие здравоохранения в Алтайском крае».</w:t>
      </w:r>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На территории </w:t>
      </w:r>
      <w:r w:rsidR="0059444E">
        <w:rPr>
          <w:rFonts w:ascii="Times New Roman" w:hAnsi="Times New Roman"/>
          <w:sz w:val="28"/>
          <w:szCs w:val="28"/>
        </w:rPr>
        <w:t xml:space="preserve">города </w:t>
      </w:r>
      <w:r w:rsidRPr="00577593">
        <w:rPr>
          <w:rFonts w:ascii="Times New Roman" w:hAnsi="Times New Roman"/>
          <w:sz w:val="28"/>
          <w:szCs w:val="28"/>
        </w:rPr>
        <w:t>Барнаула располагается Алтайский медицинский кластер, в состав которого входят Краевая клиническая больница, Городская больница № 5, Алтайский краевой госпиталь для ветеранов войн, Алтайский краевой онкологический диспансер «Надежда», Алтайский краевой клинический перинатальный центр «Дар», Федеральный Центр травматологии, ортопедии и эндопротезирования, Центр ядерной медицины МИБС. Организовано взаимодействие медицинских организаций, входящих в кластер, что</w:t>
      </w:r>
      <w:r w:rsidR="002B10DC">
        <w:rPr>
          <w:rFonts w:ascii="Times New Roman" w:hAnsi="Times New Roman"/>
          <w:sz w:val="28"/>
          <w:szCs w:val="28"/>
        </w:rPr>
        <w:t xml:space="preserve"> </w:t>
      </w:r>
      <w:r w:rsidRPr="00577593">
        <w:rPr>
          <w:rFonts w:ascii="Times New Roman" w:hAnsi="Times New Roman"/>
          <w:sz w:val="28"/>
          <w:szCs w:val="28"/>
        </w:rPr>
        <w:t>обеспечивает маршрутизацию пациентов и повышение эффективности лечения.</w:t>
      </w:r>
    </w:p>
    <w:p w:rsidR="00FC41F4" w:rsidRPr="00577593" w:rsidRDefault="0059444E" w:rsidP="008D738C">
      <w:pPr>
        <w:spacing w:after="0" w:line="240" w:lineRule="auto"/>
        <w:ind w:firstLine="709"/>
        <w:jc w:val="both"/>
        <w:rPr>
          <w:rFonts w:ascii="Times New Roman" w:hAnsi="Times New Roman"/>
          <w:sz w:val="28"/>
          <w:szCs w:val="28"/>
        </w:rPr>
      </w:pPr>
      <w:r>
        <w:rPr>
          <w:rFonts w:ascii="Times New Roman" w:hAnsi="Times New Roman"/>
          <w:sz w:val="28"/>
          <w:szCs w:val="28"/>
        </w:rPr>
        <w:t>М</w:t>
      </w:r>
      <w:r w:rsidRPr="00577593">
        <w:rPr>
          <w:rFonts w:ascii="Times New Roman" w:hAnsi="Times New Roman"/>
          <w:sz w:val="28"/>
          <w:szCs w:val="28"/>
        </w:rPr>
        <w:t xml:space="preserve">едицинская помощь </w:t>
      </w:r>
      <w:r w:rsidR="008925FA" w:rsidRPr="00577593">
        <w:rPr>
          <w:rFonts w:ascii="Times New Roman" w:hAnsi="Times New Roman"/>
          <w:sz w:val="28"/>
          <w:szCs w:val="28"/>
        </w:rPr>
        <w:t xml:space="preserve">оказывается жителям города, Алтайского края, а также жителям других субъектов </w:t>
      </w:r>
      <w:r w:rsidR="00F175BA" w:rsidRPr="00577593">
        <w:rPr>
          <w:rFonts w:ascii="Times New Roman" w:hAnsi="Times New Roman"/>
          <w:sz w:val="28"/>
          <w:szCs w:val="28"/>
        </w:rPr>
        <w:t>России</w:t>
      </w:r>
      <w:r w:rsidR="008925FA" w:rsidRPr="00577593">
        <w:rPr>
          <w:rFonts w:ascii="Times New Roman" w:hAnsi="Times New Roman"/>
          <w:sz w:val="28"/>
          <w:szCs w:val="28"/>
        </w:rPr>
        <w:t xml:space="preserve"> и иностранным гражданам. </w:t>
      </w:r>
      <w:r>
        <w:rPr>
          <w:rFonts w:ascii="Times New Roman" w:hAnsi="Times New Roman"/>
          <w:sz w:val="28"/>
          <w:szCs w:val="28"/>
        </w:rPr>
        <w:t xml:space="preserve">         </w:t>
      </w:r>
      <w:r w:rsidR="008925FA" w:rsidRPr="00577593">
        <w:rPr>
          <w:rFonts w:ascii="Times New Roman" w:hAnsi="Times New Roman"/>
          <w:sz w:val="28"/>
          <w:szCs w:val="28"/>
        </w:rPr>
        <w:t xml:space="preserve">В </w:t>
      </w:r>
      <w:r>
        <w:rPr>
          <w:rFonts w:ascii="Times New Roman" w:hAnsi="Times New Roman"/>
          <w:sz w:val="28"/>
          <w:szCs w:val="28"/>
        </w:rPr>
        <w:t xml:space="preserve">город Барнаул приезжают </w:t>
      </w:r>
      <w:r w:rsidR="002B10DC">
        <w:rPr>
          <w:rFonts w:ascii="Times New Roman" w:hAnsi="Times New Roman"/>
          <w:sz w:val="28"/>
          <w:szCs w:val="28"/>
        </w:rPr>
        <w:t xml:space="preserve">на </w:t>
      </w:r>
      <w:r w:rsidR="008925FA" w:rsidRPr="00577593">
        <w:rPr>
          <w:rFonts w:ascii="Times New Roman" w:hAnsi="Times New Roman"/>
          <w:sz w:val="28"/>
          <w:szCs w:val="28"/>
        </w:rPr>
        <w:t>лечение из Республики Алтай, Новосибирской, Омской, Кемеровской областей, Казахстана, Таджикистана, Узбекистана. Жителями других регионов и государств востребованы услуги Алтайского краевого клинического перинатального центра «Дар», Федерального Центра травматологии, ортопедии и эндопротезирования, развит стоматологический туризм.</w:t>
      </w:r>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hAnsi="Times New Roman"/>
          <w:sz w:val="28"/>
          <w:szCs w:val="28"/>
        </w:rPr>
        <w:t>Ряд объектов здравоохранения нуждаются в модернизации материально-технической базы, в том числе Алтайская краевая офтальмологическая больница, Алтайский краевой онкологический диспансер «Надежда», Краевая клиническая больница скорой медицинской помощи.</w:t>
      </w:r>
    </w:p>
    <w:p w:rsidR="00FC41F4" w:rsidRPr="00577593" w:rsidRDefault="00490067" w:rsidP="008D738C">
      <w:pPr>
        <w:spacing w:after="0" w:line="240" w:lineRule="auto"/>
        <w:ind w:firstLine="709"/>
        <w:jc w:val="both"/>
        <w:rPr>
          <w:rFonts w:ascii="Times New Roman" w:hAnsi="Times New Roman"/>
          <w:sz w:val="28"/>
          <w:szCs w:val="28"/>
        </w:rPr>
      </w:pPr>
      <w:r w:rsidRPr="00577593">
        <w:rPr>
          <w:rStyle w:val="15"/>
          <w:rFonts w:eastAsia="Calibri"/>
          <w:color w:val="auto"/>
          <w:sz w:val="28"/>
          <w:szCs w:val="28"/>
          <w:u w:val="none"/>
        </w:rPr>
        <w:t xml:space="preserve">За последние годы проведены капитальный ремонт и реконструкция ряда объектов здравоохранения. В 2024 году в Индустриальном районе города Барнаула открылась КГБУЗ «Консультативно-диагностическая поликлиника №14, г. Барнаул», рассчитанная на 900 посещений в смену. Ведется строительство хирургического корпуса и капитальный ремонт инфекционного корпуса «КГБУЗ Алтайский краевой клинический центр охраны материнства и детства». До 2030 года планируется капитальный ремонт шести поликлиник в развивающихся микрорайонах </w:t>
      </w:r>
      <w:r w:rsidR="0059444E">
        <w:rPr>
          <w:rStyle w:val="15"/>
          <w:rFonts w:eastAsia="Calibri"/>
          <w:color w:val="auto"/>
          <w:sz w:val="28"/>
          <w:szCs w:val="28"/>
          <w:u w:val="none"/>
        </w:rPr>
        <w:t xml:space="preserve">города </w:t>
      </w:r>
      <w:r w:rsidRPr="00577593">
        <w:rPr>
          <w:rStyle w:val="15"/>
          <w:rFonts w:eastAsia="Calibri"/>
          <w:color w:val="auto"/>
          <w:sz w:val="28"/>
          <w:szCs w:val="28"/>
          <w:u w:val="none"/>
        </w:rPr>
        <w:t>Барнаула.</w:t>
      </w:r>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Одним из рисков развития системы здравоохранения является сокращение численности населения Алтайского края, что может негативно повлиять на объемы медицинской помощи, оказываемой в рамках территориальной программы государственных гарантий бесплатного оказания гражданам медицинской помощи. </w:t>
      </w:r>
    </w:p>
    <w:p w:rsidR="00FC41F4" w:rsidRPr="00577593" w:rsidRDefault="008925FA" w:rsidP="00974951">
      <w:pPr>
        <w:spacing w:after="0" w:line="332" w:lineRule="exact"/>
        <w:ind w:firstLine="709"/>
        <w:jc w:val="both"/>
        <w:rPr>
          <w:rFonts w:ascii="Times New Roman" w:hAnsi="Times New Roman"/>
          <w:sz w:val="28"/>
          <w:szCs w:val="28"/>
        </w:rPr>
      </w:pPr>
      <w:r w:rsidRPr="00577593">
        <w:rPr>
          <w:rFonts w:ascii="Times New Roman" w:hAnsi="Times New Roman"/>
          <w:sz w:val="28"/>
          <w:szCs w:val="28"/>
        </w:rPr>
        <w:t xml:space="preserve">Кадровый дефицит в системе здравоохранения Алтайского края составляет 1,2 тысячи врачей, 1,5 тысячи средних медицинских работников, более половины кадрового дефицита приходится на </w:t>
      </w:r>
      <w:r w:rsidR="0092773C">
        <w:rPr>
          <w:rFonts w:ascii="Times New Roman" w:hAnsi="Times New Roman"/>
          <w:sz w:val="28"/>
          <w:szCs w:val="28"/>
        </w:rPr>
        <w:t xml:space="preserve">город </w:t>
      </w:r>
      <w:r w:rsidRPr="00577593">
        <w:rPr>
          <w:rFonts w:ascii="Times New Roman" w:hAnsi="Times New Roman"/>
          <w:sz w:val="28"/>
          <w:szCs w:val="28"/>
        </w:rPr>
        <w:t xml:space="preserve">Барнаул. Наиболее востребованы хирурги, анестезиологи, реаниматологи, специалисты первичного звена здравоохранения. Для сокращения дефицита кадров совершенствуются процессы оказания медицинской помощи, ведется целевая подготовка специалистов, вводятся меры поддержки для </w:t>
      </w:r>
      <w:r w:rsidRPr="00577593">
        <w:rPr>
          <w:rFonts w:ascii="Times New Roman" w:hAnsi="Times New Roman"/>
          <w:sz w:val="28"/>
          <w:szCs w:val="28"/>
        </w:rPr>
        <w:lastRenderedPageBreak/>
        <w:t xml:space="preserve">работников здравоохранения. Создается образовательный кластер среднего профессионального образования «Клиническая и профилактическая медицина». В 2025 году после завершения реорганизации на базе средних профессиональных образовательных организаций будет создан </w:t>
      </w:r>
      <w:r w:rsidR="009056CE" w:rsidRPr="00577593">
        <w:rPr>
          <w:rFonts w:ascii="Times New Roman" w:hAnsi="Times New Roman"/>
          <w:sz w:val="28"/>
          <w:szCs w:val="28"/>
        </w:rPr>
        <w:br/>
      </w:r>
      <w:r w:rsidRPr="00577593">
        <w:rPr>
          <w:rFonts w:ascii="Times New Roman" w:hAnsi="Times New Roman"/>
          <w:sz w:val="28"/>
          <w:szCs w:val="28"/>
        </w:rPr>
        <w:t>КГБУЗ «Алтайский институт медицинского образования».</w:t>
      </w:r>
    </w:p>
    <w:p w:rsidR="00FC41F4" w:rsidRPr="00577593" w:rsidRDefault="008925FA" w:rsidP="00974951">
      <w:pPr>
        <w:spacing w:after="0" w:line="332" w:lineRule="exact"/>
        <w:ind w:firstLine="709"/>
        <w:jc w:val="both"/>
        <w:rPr>
          <w:rFonts w:ascii="Times New Roman" w:hAnsi="Times New Roman"/>
          <w:sz w:val="28"/>
          <w:szCs w:val="28"/>
        </w:rPr>
      </w:pPr>
      <w:r w:rsidRPr="00577593">
        <w:rPr>
          <w:rFonts w:ascii="Times New Roman" w:hAnsi="Times New Roman"/>
          <w:sz w:val="28"/>
          <w:szCs w:val="28"/>
        </w:rPr>
        <w:t xml:space="preserve">Общий уровень удовлетворенности медициной в Алтайском крае </w:t>
      </w:r>
      <w:r w:rsidR="009056CE" w:rsidRPr="00577593">
        <w:rPr>
          <w:rFonts w:ascii="Times New Roman" w:hAnsi="Times New Roman"/>
          <w:sz w:val="28"/>
          <w:szCs w:val="28"/>
        </w:rPr>
        <w:br/>
      </w:r>
      <w:r w:rsidRPr="00577593">
        <w:rPr>
          <w:rFonts w:ascii="Times New Roman" w:hAnsi="Times New Roman"/>
          <w:sz w:val="28"/>
          <w:szCs w:val="28"/>
        </w:rPr>
        <w:t>в 2024 году составил 56,5% и превысил общероссийский показатель (54,8%). Среди обращений граждан, связанных со здравоохранением, 38% касаются доступности поликлинического звена, в первую очередь узких специалистов.</w:t>
      </w:r>
    </w:p>
    <w:p w:rsidR="00FC41F4" w:rsidRPr="00577593" w:rsidRDefault="008925FA" w:rsidP="00974951">
      <w:pPr>
        <w:spacing w:after="0" w:line="332" w:lineRule="exact"/>
        <w:ind w:firstLine="709"/>
        <w:jc w:val="both"/>
        <w:rPr>
          <w:rFonts w:ascii="Times New Roman" w:hAnsi="Times New Roman"/>
          <w:sz w:val="28"/>
          <w:szCs w:val="28"/>
        </w:rPr>
      </w:pPr>
      <w:r w:rsidRPr="00577593">
        <w:rPr>
          <w:rFonts w:ascii="Times New Roman" w:hAnsi="Times New Roman"/>
          <w:sz w:val="28"/>
          <w:szCs w:val="28"/>
        </w:rPr>
        <w:t>К основным проблемам в сфере здравоохранения можно отнести:</w:t>
      </w:r>
    </w:p>
    <w:p w:rsidR="00FC41F4" w:rsidRPr="00577593" w:rsidRDefault="008925FA" w:rsidP="00974951">
      <w:pPr>
        <w:pStyle w:val="af5"/>
        <w:numPr>
          <w:ilvl w:val="0"/>
          <w:numId w:val="1"/>
        </w:numPr>
        <w:tabs>
          <w:tab w:val="left" w:pos="993"/>
        </w:tabs>
        <w:spacing w:after="0" w:line="332" w:lineRule="exact"/>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 xml:space="preserve">сокращение государственного финансирования в связи </w:t>
      </w:r>
      <w:r w:rsidR="009056CE" w:rsidRPr="00577593">
        <w:rPr>
          <w:rFonts w:ascii="Times New Roman" w:eastAsia="Times New Roman" w:hAnsi="Times New Roman"/>
          <w:sz w:val="28"/>
          <w:szCs w:val="28"/>
          <w:lang w:eastAsia="ru-RU"/>
        </w:rPr>
        <w:br/>
      </w:r>
      <w:r w:rsidRPr="00577593">
        <w:rPr>
          <w:rFonts w:ascii="Times New Roman" w:eastAsia="Times New Roman" w:hAnsi="Times New Roman"/>
          <w:sz w:val="28"/>
          <w:szCs w:val="28"/>
          <w:lang w:eastAsia="ru-RU"/>
        </w:rPr>
        <w:t>с уменьшением численности населения Алтайского края;</w:t>
      </w:r>
    </w:p>
    <w:p w:rsidR="00FC41F4" w:rsidRPr="00577593" w:rsidRDefault="008925FA" w:rsidP="00974951">
      <w:pPr>
        <w:pStyle w:val="af5"/>
        <w:numPr>
          <w:ilvl w:val="0"/>
          <w:numId w:val="1"/>
        </w:numPr>
        <w:tabs>
          <w:tab w:val="left" w:pos="993"/>
        </w:tabs>
        <w:spacing w:after="0" w:line="332" w:lineRule="exact"/>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устаревание материально-технической базы медицинских организаций;</w:t>
      </w:r>
    </w:p>
    <w:p w:rsidR="00FC41F4" w:rsidRPr="00577593" w:rsidRDefault="008925FA" w:rsidP="00974951">
      <w:pPr>
        <w:pStyle w:val="af5"/>
        <w:numPr>
          <w:ilvl w:val="0"/>
          <w:numId w:val="1"/>
        </w:numPr>
        <w:tabs>
          <w:tab w:val="left" w:pos="993"/>
        </w:tabs>
        <w:spacing w:after="0" w:line="332" w:lineRule="exact"/>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дефицит кадров;</w:t>
      </w:r>
    </w:p>
    <w:p w:rsidR="00FC41F4" w:rsidRPr="00577593" w:rsidRDefault="008925FA" w:rsidP="00974951">
      <w:pPr>
        <w:pStyle w:val="af5"/>
        <w:numPr>
          <w:ilvl w:val="0"/>
          <w:numId w:val="1"/>
        </w:numPr>
        <w:tabs>
          <w:tab w:val="left" w:pos="993"/>
        </w:tabs>
        <w:spacing w:after="0" w:line="332" w:lineRule="exact"/>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отставание создания новых объектов здравоохранения относительно жилищного строительства.</w:t>
      </w:r>
      <w:bookmarkStart w:id="37" w:name="_Toc625986924"/>
    </w:p>
    <w:p w:rsidR="00FC41F4" w:rsidRPr="00577593" w:rsidRDefault="008925FA" w:rsidP="00974951">
      <w:pPr>
        <w:pStyle w:val="3"/>
        <w:spacing w:before="0" w:line="332" w:lineRule="exact"/>
        <w:ind w:firstLine="709"/>
        <w:rPr>
          <w:rFonts w:ascii="Times New Roman" w:hAnsi="Times New Roman"/>
          <w:b/>
          <w:color w:val="auto"/>
          <w:sz w:val="28"/>
          <w:szCs w:val="28"/>
        </w:rPr>
      </w:pPr>
      <w:bookmarkStart w:id="38" w:name="_Toc204922996"/>
      <w:bookmarkStart w:id="39" w:name="_Toc204933330"/>
      <w:bookmarkStart w:id="40" w:name="_Toc208496634"/>
      <w:bookmarkStart w:id="41" w:name="_Toc208668916"/>
      <w:bookmarkStart w:id="42" w:name="_Toc212804265"/>
      <w:r w:rsidRPr="00577593">
        <w:rPr>
          <w:rFonts w:ascii="Times New Roman" w:hAnsi="Times New Roman"/>
          <w:b/>
          <w:color w:val="auto"/>
          <w:sz w:val="28"/>
          <w:szCs w:val="28"/>
        </w:rPr>
        <w:t>2.4.2</w:t>
      </w:r>
      <w:r w:rsidR="0092773C">
        <w:rPr>
          <w:rFonts w:ascii="Times New Roman" w:hAnsi="Times New Roman"/>
          <w:b/>
          <w:color w:val="auto"/>
          <w:sz w:val="28"/>
          <w:szCs w:val="28"/>
        </w:rPr>
        <w:t>.</w:t>
      </w:r>
      <w:r w:rsidRPr="00577593">
        <w:rPr>
          <w:rFonts w:ascii="Times New Roman" w:hAnsi="Times New Roman"/>
          <w:b/>
          <w:color w:val="auto"/>
          <w:sz w:val="28"/>
          <w:szCs w:val="28"/>
        </w:rPr>
        <w:t xml:space="preserve"> Образование</w:t>
      </w:r>
      <w:bookmarkEnd w:id="37"/>
      <w:bookmarkEnd w:id="38"/>
      <w:bookmarkEnd w:id="39"/>
      <w:bookmarkEnd w:id="40"/>
      <w:bookmarkEnd w:id="41"/>
      <w:bookmarkEnd w:id="42"/>
    </w:p>
    <w:p w:rsidR="002B10DC" w:rsidRDefault="008925FA" w:rsidP="00974951">
      <w:pPr>
        <w:spacing w:after="0" w:line="332" w:lineRule="exact"/>
        <w:ind w:firstLine="709"/>
        <w:jc w:val="both"/>
        <w:rPr>
          <w:rFonts w:ascii="Times New Roman" w:eastAsia="Times New Roman" w:hAnsi="Times New Roman"/>
          <w:sz w:val="28"/>
          <w:szCs w:val="28"/>
        </w:rPr>
      </w:pPr>
      <w:r w:rsidRPr="00577593">
        <w:rPr>
          <w:rFonts w:ascii="Times New Roman" w:hAnsi="Times New Roman"/>
          <w:sz w:val="28"/>
          <w:szCs w:val="28"/>
        </w:rPr>
        <w:t xml:space="preserve">Образовательная инфраструктура города Барнаула по состоянию </w:t>
      </w:r>
      <w:r w:rsidR="0089320D" w:rsidRPr="00577593">
        <w:rPr>
          <w:rFonts w:ascii="Times New Roman" w:hAnsi="Times New Roman"/>
          <w:sz w:val="28"/>
          <w:szCs w:val="28"/>
        </w:rPr>
        <w:br/>
      </w:r>
      <w:r w:rsidRPr="00577593">
        <w:rPr>
          <w:rFonts w:ascii="Times New Roman" w:hAnsi="Times New Roman"/>
          <w:sz w:val="28"/>
          <w:szCs w:val="28"/>
        </w:rPr>
        <w:t xml:space="preserve">на 2025 год представлена 150 дошкольными образовательными организациями (включая </w:t>
      </w:r>
      <w:r w:rsidR="0089320D" w:rsidRPr="00577593">
        <w:rPr>
          <w:rFonts w:ascii="Times New Roman" w:hAnsi="Times New Roman"/>
          <w:sz w:val="28"/>
          <w:szCs w:val="28"/>
        </w:rPr>
        <w:t>одно</w:t>
      </w:r>
      <w:r w:rsidRPr="00577593">
        <w:rPr>
          <w:rFonts w:ascii="Times New Roman" w:hAnsi="Times New Roman"/>
          <w:sz w:val="28"/>
          <w:szCs w:val="28"/>
        </w:rPr>
        <w:t xml:space="preserve"> структурное подразделение общеобразовательной организации), 88 муниципальными</w:t>
      </w:r>
      <w:r w:rsidR="0089320D" w:rsidRPr="00577593">
        <w:rPr>
          <w:rFonts w:ascii="Times New Roman" w:hAnsi="Times New Roman"/>
          <w:sz w:val="28"/>
          <w:szCs w:val="28"/>
        </w:rPr>
        <w:t xml:space="preserve"> </w:t>
      </w:r>
      <w:r w:rsidRPr="00577593">
        <w:rPr>
          <w:rFonts w:ascii="Times New Roman" w:hAnsi="Times New Roman"/>
          <w:sz w:val="28"/>
          <w:szCs w:val="28"/>
        </w:rPr>
        <w:t xml:space="preserve">общеобразовательными организациями, </w:t>
      </w:r>
      <w:r w:rsidR="0089320D" w:rsidRPr="00577593">
        <w:rPr>
          <w:rFonts w:ascii="Times New Roman" w:hAnsi="Times New Roman"/>
          <w:sz w:val="28"/>
          <w:szCs w:val="28"/>
        </w:rPr>
        <w:t>четырьмя</w:t>
      </w:r>
      <w:r w:rsidRPr="00577593">
        <w:rPr>
          <w:rFonts w:ascii="Times New Roman" w:hAnsi="Times New Roman"/>
          <w:sz w:val="28"/>
          <w:szCs w:val="28"/>
        </w:rPr>
        <w:t xml:space="preserve"> краевыми </w:t>
      </w:r>
      <w:r w:rsidR="0089320D" w:rsidRPr="00577593">
        <w:rPr>
          <w:rFonts w:ascii="Times New Roman" w:hAnsi="Times New Roman"/>
          <w:sz w:val="28"/>
          <w:szCs w:val="28"/>
        </w:rPr>
        <w:br/>
      </w:r>
      <w:r w:rsidRPr="00577593">
        <w:rPr>
          <w:rFonts w:ascii="Times New Roman" w:hAnsi="Times New Roman"/>
          <w:sz w:val="28"/>
          <w:szCs w:val="28"/>
        </w:rPr>
        <w:t>и 19 муниципальными организациями дополнительного образования</w:t>
      </w:r>
      <w:r w:rsidRPr="00577593">
        <w:rPr>
          <w:rFonts w:ascii="Times New Roman" w:eastAsia="Times New Roman" w:hAnsi="Times New Roman"/>
          <w:sz w:val="28"/>
          <w:szCs w:val="28"/>
        </w:rPr>
        <w:t>, муниципальным автономным учреждением Центром отдыха и оздоровления «Каникулы», в структуру которого в</w:t>
      </w:r>
      <w:r w:rsidR="006E2696" w:rsidRPr="00577593">
        <w:rPr>
          <w:rFonts w:ascii="Times New Roman" w:eastAsia="Times New Roman" w:hAnsi="Times New Roman"/>
          <w:sz w:val="28"/>
          <w:szCs w:val="28"/>
        </w:rPr>
        <w:t xml:space="preserve">ходят семь загородных лагерей. </w:t>
      </w:r>
    </w:p>
    <w:p w:rsidR="00FC41F4" w:rsidRPr="00577593" w:rsidRDefault="007216CB" w:rsidP="00974951">
      <w:pPr>
        <w:spacing w:after="0" w:line="332" w:lineRule="exact"/>
        <w:ind w:firstLine="709"/>
        <w:jc w:val="both"/>
        <w:rPr>
          <w:rFonts w:ascii="Times New Roman" w:hAnsi="Times New Roman"/>
          <w:sz w:val="28"/>
          <w:szCs w:val="28"/>
          <w:shd w:val="clear" w:color="auto" w:fill="FFFFFF"/>
        </w:rPr>
      </w:pPr>
      <w:r w:rsidRPr="00577593">
        <w:rPr>
          <w:rFonts w:ascii="Times New Roman" w:hAnsi="Times New Roman"/>
          <w:sz w:val="28"/>
          <w:szCs w:val="28"/>
          <w:shd w:val="clear" w:color="auto" w:fill="FFFFFF"/>
        </w:rPr>
        <w:t xml:space="preserve">В 2025 году проведена реорганизация муниципальных </w:t>
      </w:r>
      <w:r w:rsidR="00974951">
        <w:rPr>
          <w:rFonts w:ascii="Times New Roman" w:hAnsi="Times New Roman"/>
          <w:sz w:val="28"/>
          <w:szCs w:val="28"/>
          <w:shd w:val="clear" w:color="auto" w:fill="FFFFFF"/>
        </w:rPr>
        <w:br/>
      </w:r>
      <w:r w:rsidRPr="00577593">
        <w:rPr>
          <w:rFonts w:ascii="Times New Roman" w:hAnsi="Times New Roman"/>
          <w:sz w:val="28"/>
          <w:szCs w:val="28"/>
          <w:shd w:val="clear" w:color="auto" w:fill="FFFFFF"/>
        </w:rPr>
        <w:t xml:space="preserve">дошкольных образовательных организаций путем присоединения, функционирует в городе 145 муниципальных дошкольных образовательных организаций и 87 муниципальных общеобразовательных организаций. </w:t>
      </w:r>
      <w:r w:rsidR="00974951">
        <w:rPr>
          <w:rFonts w:ascii="Times New Roman" w:hAnsi="Times New Roman"/>
          <w:sz w:val="28"/>
          <w:szCs w:val="28"/>
          <w:shd w:val="clear" w:color="auto" w:fill="FFFFFF"/>
        </w:rPr>
        <w:br/>
        <w:t>Н</w:t>
      </w:r>
      <w:r w:rsidRPr="00577593">
        <w:rPr>
          <w:rFonts w:ascii="Times New Roman" w:hAnsi="Times New Roman"/>
          <w:sz w:val="28"/>
          <w:szCs w:val="28"/>
          <w:shd w:val="clear" w:color="auto" w:fill="FFFFFF"/>
        </w:rPr>
        <w:t xml:space="preserve">а 01.06.2025 в городе </w:t>
      </w:r>
      <w:r w:rsidR="008407A9" w:rsidRPr="00577593">
        <w:rPr>
          <w:rFonts w:ascii="Times New Roman" w:hAnsi="Times New Roman"/>
          <w:sz w:val="28"/>
          <w:szCs w:val="28"/>
          <w:shd w:val="clear" w:color="auto" w:fill="FFFFFF"/>
        </w:rPr>
        <w:t>действует</w:t>
      </w:r>
      <w:r w:rsidRPr="00577593">
        <w:rPr>
          <w:rFonts w:ascii="Times New Roman" w:hAnsi="Times New Roman"/>
          <w:b/>
          <w:sz w:val="28"/>
          <w:szCs w:val="28"/>
          <w:shd w:val="clear" w:color="auto" w:fill="FFFFFF"/>
        </w:rPr>
        <w:t xml:space="preserve"> </w:t>
      </w:r>
      <w:r w:rsidRPr="00577593">
        <w:rPr>
          <w:rFonts w:ascii="Times New Roman" w:hAnsi="Times New Roman"/>
          <w:sz w:val="28"/>
          <w:szCs w:val="28"/>
          <w:shd w:val="clear" w:color="auto" w:fill="FFFFFF"/>
        </w:rPr>
        <w:t xml:space="preserve">17 муниципальных организаций дополнительного образования, два муниципальных центра </w:t>
      </w:r>
      <w:r w:rsidR="00974951">
        <w:rPr>
          <w:rFonts w:ascii="Times New Roman" w:hAnsi="Times New Roman"/>
          <w:sz w:val="28"/>
          <w:szCs w:val="28"/>
          <w:shd w:val="clear" w:color="auto" w:fill="FFFFFF"/>
        </w:rPr>
        <w:br/>
      </w:r>
      <w:r w:rsidRPr="00577593">
        <w:rPr>
          <w:rFonts w:ascii="Times New Roman" w:hAnsi="Times New Roman"/>
          <w:sz w:val="28"/>
          <w:szCs w:val="28"/>
          <w:shd w:val="clear" w:color="auto" w:fill="FFFFFF"/>
        </w:rPr>
        <w:t>психолого-педагогической, медицинской и социальной помощи</w:t>
      </w:r>
      <w:r w:rsidR="008925FA" w:rsidRPr="00577593">
        <w:rPr>
          <w:rFonts w:ascii="Times New Roman" w:hAnsi="Times New Roman"/>
          <w:sz w:val="28"/>
          <w:szCs w:val="28"/>
        </w:rPr>
        <w:t xml:space="preserve">. </w:t>
      </w:r>
      <w:r w:rsidR="00974951">
        <w:rPr>
          <w:rFonts w:ascii="Times New Roman" w:hAnsi="Times New Roman"/>
          <w:sz w:val="28"/>
          <w:szCs w:val="28"/>
        </w:rPr>
        <w:br/>
      </w:r>
      <w:r w:rsidR="008925FA" w:rsidRPr="00577593">
        <w:rPr>
          <w:rFonts w:ascii="Times New Roman" w:hAnsi="Times New Roman"/>
          <w:sz w:val="28"/>
          <w:szCs w:val="28"/>
        </w:rPr>
        <w:t>В</w:t>
      </w:r>
      <w:r w:rsidR="002B10DC">
        <w:rPr>
          <w:rFonts w:ascii="Times New Roman" w:hAnsi="Times New Roman"/>
          <w:sz w:val="28"/>
          <w:szCs w:val="28"/>
        </w:rPr>
        <w:t xml:space="preserve"> городе </w:t>
      </w:r>
      <w:r w:rsidR="008925FA" w:rsidRPr="00577593">
        <w:rPr>
          <w:rFonts w:ascii="Times New Roman" w:hAnsi="Times New Roman"/>
          <w:sz w:val="28"/>
          <w:szCs w:val="28"/>
        </w:rPr>
        <w:t xml:space="preserve">Барнауле действуют </w:t>
      </w:r>
      <w:r w:rsidR="002B10DC">
        <w:rPr>
          <w:rFonts w:ascii="Times New Roman" w:hAnsi="Times New Roman"/>
          <w:sz w:val="28"/>
          <w:szCs w:val="28"/>
        </w:rPr>
        <w:t>семь</w:t>
      </w:r>
      <w:r w:rsidR="008925FA" w:rsidRPr="00577593">
        <w:rPr>
          <w:rFonts w:ascii="Times New Roman" w:hAnsi="Times New Roman"/>
          <w:sz w:val="28"/>
          <w:szCs w:val="28"/>
        </w:rPr>
        <w:t xml:space="preserve"> вузов, </w:t>
      </w:r>
      <w:r w:rsidR="002B10DC">
        <w:rPr>
          <w:rFonts w:ascii="Times New Roman" w:hAnsi="Times New Roman"/>
          <w:sz w:val="28"/>
          <w:szCs w:val="28"/>
        </w:rPr>
        <w:t xml:space="preserve">четыре </w:t>
      </w:r>
      <w:r w:rsidR="008925FA" w:rsidRPr="00577593">
        <w:rPr>
          <w:rFonts w:ascii="Times New Roman" w:hAnsi="Times New Roman"/>
          <w:sz w:val="28"/>
          <w:szCs w:val="28"/>
        </w:rPr>
        <w:t xml:space="preserve">филиала вузов, </w:t>
      </w:r>
      <w:r w:rsidR="00974951">
        <w:rPr>
          <w:rFonts w:ascii="Times New Roman" w:hAnsi="Times New Roman"/>
          <w:sz w:val="28"/>
          <w:szCs w:val="28"/>
        </w:rPr>
        <w:br/>
      </w:r>
      <w:r w:rsidR="008925FA" w:rsidRPr="00577593">
        <w:rPr>
          <w:rFonts w:ascii="Times New Roman" w:hAnsi="Times New Roman"/>
          <w:sz w:val="28"/>
          <w:szCs w:val="28"/>
        </w:rPr>
        <w:t>18 профессиональных образовательных организаций.</w:t>
      </w:r>
      <w:r w:rsidR="00A407D6" w:rsidRPr="00577593">
        <w:rPr>
          <w:rFonts w:ascii="Times New Roman" w:hAnsi="Times New Roman"/>
          <w:sz w:val="28"/>
          <w:szCs w:val="28"/>
          <w:shd w:val="clear" w:color="auto" w:fill="FFFFFF"/>
        </w:rPr>
        <w:t xml:space="preserve"> </w:t>
      </w:r>
      <w:r w:rsidR="008925FA" w:rsidRPr="00577593">
        <w:rPr>
          <w:rFonts w:ascii="Times New Roman" w:hAnsi="Times New Roman"/>
          <w:sz w:val="28"/>
          <w:szCs w:val="28"/>
        </w:rPr>
        <w:t>В целях развития образования в городе реализуются:</w:t>
      </w:r>
    </w:p>
    <w:p w:rsidR="00FC41F4" w:rsidRPr="00577593" w:rsidRDefault="008925FA" w:rsidP="00974951">
      <w:pPr>
        <w:pStyle w:val="af5"/>
        <w:numPr>
          <w:ilvl w:val="0"/>
          <w:numId w:val="1"/>
        </w:numPr>
        <w:tabs>
          <w:tab w:val="left" w:pos="993"/>
        </w:tabs>
        <w:spacing w:after="0" w:line="332" w:lineRule="exact"/>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государственная программа «Развитие образования в Алтайском крае»;</w:t>
      </w:r>
    </w:p>
    <w:p w:rsidR="00EA7CE5" w:rsidRPr="00577593" w:rsidRDefault="008925FA" w:rsidP="00974951">
      <w:pPr>
        <w:pStyle w:val="af5"/>
        <w:numPr>
          <w:ilvl w:val="0"/>
          <w:numId w:val="1"/>
        </w:numPr>
        <w:tabs>
          <w:tab w:val="left" w:pos="993"/>
        </w:tabs>
        <w:spacing w:after="0" w:line="332" w:lineRule="exact"/>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муниципальная программа «Развитие образования и молодежной политики города Барнаула».</w:t>
      </w:r>
    </w:p>
    <w:p w:rsidR="00F175BA" w:rsidRPr="00577593" w:rsidRDefault="00F175BA" w:rsidP="00974951">
      <w:pPr>
        <w:pStyle w:val="af5"/>
        <w:tabs>
          <w:tab w:val="left" w:pos="993"/>
        </w:tabs>
        <w:spacing w:after="0" w:line="336" w:lineRule="exact"/>
        <w:ind w:left="0" w:firstLine="709"/>
        <w:jc w:val="both"/>
        <w:rPr>
          <w:rFonts w:ascii="Times New Roman" w:eastAsia="Times New Roman" w:hAnsi="Times New Roman"/>
          <w:sz w:val="28"/>
          <w:szCs w:val="28"/>
          <w:lang w:eastAsia="ru-RU"/>
        </w:rPr>
      </w:pPr>
      <w:r w:rsidRPr="00577593">
        <w:rPr>
          <w:rFonts w:ascii="Times New Roman" w:hAnsi="Times New Roman"/>
          <w:sz w:val="28"/>
          <w:szCs w:val="28"/>
        </w:rPr>
        <w:lastRenderedPageBreak/>
        <w:t xml:space="preserve">Дошкольные образовательные организации города посещают свыше 33 тысяч детей. Обеспечен полный охват детей дошкольного возраста </w:t>
      </w:r>
      <w:r w:rsidR="00484779" w:rsidRPr="00577593">
        <w:rPr>
          <w:rFonts w:ascii="Times New Roman" w:hAnsi="Times New Roman"/>
          <w:sz w:val="28"/>
          <w:szCs w:val="28"/>
        </w:rPr>
        <w:t>–</w:t>
      </w:r>
      <w:r w:rsidRPr="00577593">
        <w:rPr>
          <w:rFonts w:ascii="Times New Roman" w:hAnsi="Times New Roman"/>
          <w:sz w:val="28"/>
          <w:szCs w:val="28"/>
        </w:rPr>
        <w:t xml:space="preserve"> </w:t>
      </w:r>
      <w:r w:rsidR="00180B3F">
        <w:rPr>
          <w:rFonts w:ascii="Times New Roman" w:hAnsi="Times New Roman"/>
          <w:sz w:val="28"/>
          <w:szCs w:val="28"/>
        </w:rPr>
        <w:br/>
      </w:r>
      <w:r w:rsidRPr="00577593">
        <w:rPr>
          <w:rFonts w:ascii="Times New Roman" w:hAnsi="Times New Roman"/>
          <w:sz w:val="28"/>
          <w:szCs w:val="28"/>
        </w:rPr>
        <w:t xml:space="preserve">от 2 месяцев до 7 лет </w:t>
      </w:r>
      <w:r w:rsidR="00484779" w:rsidRPr="00577593">
        <w:rPr>
          <w:rFonts w:ascii="Times New Roman" w:hAnsi="Times New Roman"/>
          <w:sz w:val="28"/>
          <w:szCs w:val="28"/>
        </w:rPr>
        <w:t>–</w:t>
      </w:r>
      <w:r w:rsidRPr="00577593">
        <w:rPr>
          <w:rFonts w:ascii="Times New Roman" w:hAnsi="Times New Roman"/>
          <w:sz w:val="28"/>
          <w:szCs w:val="28"/>
        </w:rPr>
        <w:t xml:space="preserve"> различными формами дошкольного образования. </w:t>
      </w:r>
      <w:r w:rsidR="00180B3F">
        <w:rPr>
          <w:rFonts w:ascii="Times New Roman" w:hAnsi="Times New Roman"/>
          <w:sz w:val="28"/>
          <w:szCs w:val="28"/>
        </w:rPr>
        <w:br/>
      </w:r>
      <w:r w:rsidRPr="00577593">
        <w:rPr>
          <w:rFonts w:ascii="Times New Roman" w:hAnsi="Times New Roman"/>
          <w:sz w:val="28"/>
          <w:szCs w:val="28"/>
        </w:rPr>
        <w:t xml:space="preserve">В отдельных детских садах имеются свободные места, однако </w:t>
      </w:r>
      <w:r w:rsidR="0089320D" w:rsidRPr="00577593">
        <w:rPr>
          <w:rFonts w:ascii="Times New Roman" w:hAnsi="Times New Roman"/>
          <w:sz w:val="28"/>
          <w:szCs w:val="28"/>
        </w:rPr>
        <w:br/>
      </w:r>
      <w:r w:rsidRPr="00577593">
        <w:rPr>
          <w:rFonts w:ascii="Times New Roman" w:hAnsi="Times New Roman"/>
          <w:sz w:val="28"/>
          <w:szCs w:val="28"/>
        </w:rPr>
        <w:t>в Индустриальном районе, где активно ведётся жилищное строительство, сохраняется высокая потребность в создании новых дошкольных учреждений.</w:t>
      </w:r>
    </w:p>
    <w:p w:rsidR="00FC41F4" w:rsidRPr="00577593" w:rsidRDefault="008925FA" w:rsidP="008D738C">
      <w:pPr>
        <w:spacing w:after="0" w:line="240" w:lineRule="auto"/>
        <w:ind w:firstLine="709"/>
        <w:jc w:val="both"/>
        <w:rPr>
          <w:rFonts w:ascii="Times New Roman" w:eastAsia="Times New Roman" w:hAnsi="Times New Roman"/>
          <w:sz w:val="28"/>
          <w:szCs w:val="28"/>
        </w:rPr>
      </w:pPr>
      <w:r w:rsidRPr="00577593">
        <w:rPr>
          <w:rFonts w:ascii="Times New Roman" w:hAnsi="Times New Roman"/>
          <w:sz w:val="28"/>
          <w:szCs w:val="28"/>
        </w:rPr>
        <w:t>Численность детей, посещающих общеобразовательные организации, составляет 93,6 тыс</w:t>
      </w:r>
      <w:r w:rsidR="00F0698A" w:rsidRPr="00577593">
        <w:rPr>
          <w:rFonts w:ascii="Times New Roman" w:hAnsi="Times New Roman"/>
          <w:sz w:val="28"/>
          <w:szCs w:val="28"/>
        </w:rPr>
        <w:t>яч</w:t>
      </w:r>
      <w:r w:rsidRPr="00577593">
        <w:rPr>
          <w:rFonts w:ascii="Times New Roman" w:hAnsi="Times New Roman"/>
          <w:sz w:val="28"/>
          <w:szCs w:val="28"/>
        </w:rPr>
        <w:t xml:space="preserve"> человек</w:t>
      </w:r>
      <w:r w:rsidRPr="00577593">
        <w:rPr>
          <w:rFonts w:ascii="Times New Roman" w:eastAsia="Times New Roman" w:hAnsi="Times New Roman"/>
          <w:sz w:val="28"/>
          <w:szCs w:val="28"/>
        </w:rPr>
        <w:t>,</w:t>
      </w:r>
      <w:r w:rsidRPr="00577593">
        <w:rPr>
          <w:rFonts w:ascii="Times New Roman" w:eastAsia="Times New Roman" w:hAnsi="Times New Roman"/>
          <w:b/>
          <w:bCs/>
          <w:i/>
          <w:iCs/>
          <w:sz w:val="28"/>
          <w:szCs w:val="28"/>
        </w:rPr>
        <w:t xml:space="preserve"> </w:t>
      </w:r>
      <w:r w:rsidRPr="00577593">
        <w:rPr>
          <w:rFonts w:ascii="Times New Roman" w:eastAsia="Times New Roman" w:hAnsi="Times New Roman"/>
          <w:sz w:val="28"/>
          <w:szCs w:val="28"/>
        </w:rPr>
        <w:t>из них 60,9</w:t>
      </w:r>
      <w:r w:rsidR="00A463AF" w:rsidRPr="00577593">
        <w:rPr>
          <w:rFonts w:ascii="Times New Roman" w:eastAsia="Times New Roman" w:hAnsi="Times New Roman"/>
          <w:sz w:val="28"/>
          <w:szCs w:val="28"/>
        </w:rPr>
        <w:t xml:space="preserve"> тысяч</w:t>
      </w:r>
      <w:r w:rsidRPr="00577593">
        <w:rPr>
          <w:rFonts w:ascii="Times New Roman" w:eastAsia="Times New Roman" w:hAnsi="Times New Roman"/>
          <w:sz w:val="28"/>
          <w:szCs w:val="28"/>
        </w:rPr>
        <w:t>и (65%) учащихся обучаются в первую смену. В</w:t>
      </w:r>
      <w:r w:rsidR="00EC67BE" w:rsidRPr="00577593">
        <w:rPr>
          <w:rFonts w:ascii="Times New Roman" w:eastAsia="Times New Roman" w:hAnsi="Times New Roman"/>
          <w:sz w:val="28"/>
          <w:szCs w:val="28"/>
        </w:rPr>
        <w:t> </w:t>
      </w:r>
      <w:r w:rsidRPr="00577593">
        <w:rPr>
          <w:rFonts w:ascii="Times New Roman" w:eastAsia="Times New Roman" w:hAnsi="Times New Roman"/>
          <w:sz w:val="28"/>
          <w:szCs w:val="28"/>
        </w:rPr>
        <w:t xml:space="preserve">односменном режиме работают </w:t>
      </w:r>
      <w:r w:rsidR="0089320D" w:rsidRPr="00577593">
        <w:rPr>
          <w:rFonts w:ascii="Times New Roman" w:eastAsia="Times New Roman" w:hAnsi="Times New Roman"/>
          <w:sz w:val="28"/>
          <w:szCs w:val="28"/>
        </w:rPr>
        <w:br/>
      </w:r>
      <w:r w:rsidRPr="00577593">
        <w:rPr>
          <w:rFonts w:ascii="Times New Roman" w:eastAsia="Times New Roman" w:hAnsi="Times New Roman"/>
          <w:sz w:val="28"/>
          <w:szCs w:val="28"/>
        </w:rPr>
        <w:t xml:space="preserve">20 муниципальных </w:t>
      </w:r>
      <w:r w:rsidR="00630A37" w:rsidRPr="00577593">
        <w:rPr>
          <w:rFonts w:ascii="Times New Roman" w:eastAsia="Times New Roman" w:hAnsi="Times New Roman"/>
          <w:sz w:val="28"/>
          <w:szCs w:val="28"/>
        </w:rPr>
        <w:t>школ</w:t>
      </w:r>
      <w:r w:rsidRPr="00577593">
        <w:rPr>
          <w:rFonts w:ascii="Times New Roman" w:eastAsia="Times New Roman" w:hAnsi="Times New Roman"/>
          <w:sz w:val="28"/>
          <w:szCs w:val="28"/>
        </w:rPr>
        <w:t xml:space="preserve"> (23%).</w:t>
      </w:r>
    </w:p>
    <w:p w:rsidR="00497DBA" w:rsidRPr="00577593" w:rsidRDefault="00630A37" w:rsidP="008D738C">
      <w:pPr>
        <w:spacing w:after="0" w:line="240" w:lineRule="auto"/>
        <w:ind w:firstLine="709"/>
        <w:jc w:val="both"/>
        <w:rPr>
          <w:rStyle w:val="15"/>
          <w:rFonts w:eastAsia="SimSun"/>
          <w:color w:val="auto"/>
          <w:sz w:val="28"/>
          <w:szCs w:val="28"/>
          <w:u w:val="none"/>
          <w:shd w:val="clear" w:color="auto" w:fill="auto"/>
        </w:rPr>
      </w:pPr>
      <w:r w:rsidRPr="00577593">
        <w:rPr>
          <w:rFonts w:ascii="Times New Roman" w:eastAsia="Times New Roman" w:hAnsi="Times New Roman"/>
          <w:sz w:val="28"/>
          <w:szCs w:val="28"/>
          <w:lang w:eastAsia="ru-RU"/>
        </w:rPr>
        <w:t xml:space="preserve">Особо стоит отметить успехи городских школ, входящих в число лучших учебных заведений региона и страны. Так, </w:t>
      </w:r>
      <w:r w:rsidR="003302DA" w:rsidRPr="00577593">
        <w:rPr>
          <w:rFonts w:ascii="Times New Roman" w:eastAsia="Times New Roman" w:hAnsi="Times New Roman"/>
          <w:sz w:val="28"/>
          <w:szCs w:val="28"/>
          <w:lang w:eastAsia="ru-RU"/>
        </w:rPr>
        <w:t>«МБОУ «</w:t>
      </w:r>
      <w:r w:rsidR="003302DA" w:rsidRPr="00577593">
        <w:rPr>
          <w:rFonts w:ascii="Times New Roman" w:hAnsi="Times New Roman"/>
          <w:sz w:val="28"/>
          <w:szCs w:val="28"/>
        </w:rPr>
        <w:t>Г</w:t>
      </w:r>
      <w:r w:rsidR="008925FA" w:rsidRPr="00577593">
        <w:rPr>
          <w:rFonts w:ascii="Times New Roman" w:hAnsi="Times New Roman"/>
          <w:sz w:val="28"/>
          <w:szCs w:val="28"/>
        </w:rPr>
        <w:t>имназия №42</w:t>
      </w:r>
      <w:r w:rsidR="003302DA" w:rsidRPr="00577593">
        <w:rPr>
          <w:rFonts w:ascii="Times New Roman" w:hAnsi="Times New Roman"/>
          <w:sz w:val="28"/>
          <w:szCs w:val="28"/>
        </w:rPr>
        <w:t>»</w:t>
      </w:r>
      <w:r w:rsidR="008925FA" w:rsidRPr="00577593">
        <w:rPr>
          <w:rFonts w:ascii="Times New Roman" w:hAnsi="Times New Roman"/>
          <w:sz w:val="28"/>
          <w:szCs w:val="28"/>
        </w:rPr>
        <w:t xml:space="preserve"> вошла в топ-300 школ России по конкурентоспособности выпускников (по версии агентства RAEX). </w:t>
      </w:r>
      <w:r w:rsidR="00497DBA" w:rsidRPr="00577593">
        <w:rPr>
          <w:rFonts w:ascii="Times New Roman" w:hAnsi="Times New Roman"/>
          <w:sz w:val="28"/>
          <w:szCs w:val="28"/>
        </w:rPr>
        <w:t>МБОУ «</w:t>
      </w:r>
      <w:r w:rsidR="008925FA" w:rsidRPr="00577593">
        <w:rPr>
          <w:rFonts w:ascii="Times New Roman" w:eastAsia="Times New Roman" w:hAnsi="Times New Roman"/>
          <w:sz w:val="28"/>
          <w:szCs w:val="28"/>
        </w:rPr>
        <w:t>Лицей №124</w:t>
      </w:r>
      <w:r w:rsidR="00497DBA" w:rsidRPr="00577593">
        <w:rPr>
          <w:rFonts w:ascii="Times New Roman" w:eastAsia="Times New Roman" w:hAnsi="Times New Roman"/>
          <w:sz w:val="28"/>
          <w:szCs w:val="28"/>
        </w:rPr>
        <w:t>»</w:t>
      </w:r>
      <w:r w:rsidR="008925FA" w:rsidRPr="00577593">
        <w:rPr>
          <w:rFonts w:ascii="Times New Roman" w:eastAsia="Times New Roman" w:hAnsi="Times New Roman"/>
          <w:sz w:val="28"/>
          <w:szCs w:val="28"/>
        </w:rPr>
        <w:t xml:space="preserve"> возглавляет топ-10 лучших школ Алтайского края (по версии агентства </w:t>
      </w:r>
      <w:r w:rsidR="008925FA" w:rsidRPr="00577593">
        <w:rPr>
          <w:rFonts w:ascii="Times New Roman" w:eastAsia="Times New Roman" w:hAnsi="Times New Roman"/>
          <w:sz w:val="28"/>
          <w:szCs w:val="28"/>
          <w:lang w:val="en-US"/>
        </w:rPr>
        <w:t>RAEX</w:t>
      </w:r>
      <w:r w:rsidR="008925FA" w:rsidRPr="00577593">
        <w:rPr>
          <w:rFonts w:ascii="Times New Roman" w:eastAsia="Times New Roman" w:hAnsi="Times New Roman"/>
          <w:sz w:val="28"/>
          <w:szCs w:val="28"/>
        </w:rPr>
        <w:t xml:space="preserve">), которые готовят наибольшее число выпускников для ведущих университетов страны, а также в него включены </w:t>
      </w:r>
      <w:r w:rsidR="00497DBA" w:rsidRPr="00577593">
        <w:rPr>
          <w:rStyle w:val="15"/>
          <w:rFonts w:eastAsia="Calibri"/>
          <w:color w:val="auto"/>
          <w:sz w:val="28"/>
          <w:szCs w:val="28"/>
          <w:u w:val="none"/>
        </w:rPr>
        <w:t>МБОУ «Гимназия №</w:t>
      </w:r>
      <w:r w:rsidR="0092773C">
        <w:rPr>
          <w:rStyle w:val="15"/>
          <w:rFonts w:eastAsia="Calibri"/>
          <w:color w:val="auto"/>
          <w:sz w:val="28"/>
          <w:szCs w:val="28"/>
          <w:u w:val="none"/>
        </w:rPr>
        <w:t xml:space="preserve">22», </w:t>
      </w:r>
      <w:r w:rsidR="0092773C">
        <w:rPr>
          <w:rStyle w:val="15"/>
          <w:rFonts w:eastAsia="Calibri"/>
          <w:color w:val="auto"/>
          <w:sz w:val="28"/>
          <w:szCs w:val="28"/>
          <w:u w:val="none"/>
        </w:rPr>
        <w:br/>
        <w:t>МБОУ «Гимназия №</w:t>
      </w:r>
      <w:r w:rsidR="00497DBA" w:rsidRPr="00577593">
        <w:rPr>
          <w:rStyle w:val="15"/>
          <w:rFonts w:eastAsia="Calibri"/>
          <w:color w:val="auto"/>
          <w:sz w:val="28"/>
          <w:szCs w:val="28"/>
          <w:u w:val="none"/>
        </w:rPr>
        <w:t>42», МБОУ «Гимназия №69», МБОУ «Гимназия №123», МБОУ «Лицей №112», МАОУ «СОШ  №132» им. Н.М. Малахова».</w:t>
      </w:r>
    </w:p>
    <w:p w:rsidR="00FC41F4" w:rsidRPr="00577593" w:rsidRDefault="008925FA" w:rsidP="008D738C">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В школах </w:t>
      </w:r>
      <w:r w:rsidR="00C7041A">
        <w:rPr>
          <w:rFonts w:ascii="Times New Roman" w:eastAsia="Times New Roman" w:hAnsi="Times New Roman"/>
          <w:sz w:val="28"/>
          <w:szCs w:val="28"/>
        </w:rPr>
        <w:t xml:space="preserve">города </w:t>
      </w:r>
      <w:r w:rsidRPr="00577593">
        <w:rPr>
          <w:rFonts w:ascii="Times New Roman" w:eastAsia="Times New Roman" w:hAnsi="Times New Roman"/>
          <w:sz w:val="28"/>
          <w:szCs w:val="28"/>
        </w:rPr>
        <w:t>действуют предпрофессиональные профильные классы, организованные в сотрудничестве с организациями высшего и среднего специального образования: психолого-педагогические, медицинские, инженерные, аграрные, правоохранительные и прокурорские.</w:t>
      </w:r>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Среди выпускников общеобразовательных организаций </w:t>
      </w:r>
      <w:r w:rsidR="002B10DC">
        <w:rPr>
          <w:rFonts w:ascii="Times New Roman" w:hAnsi="Times New Roman"/>
          <w:sz w:val="28"/>
          <w:szCs w:val="28"/>
        </w:rPr>
        <w:t xml:space="preserve">города </w:t>
      </w:r>
      <w:r w:rsidRPr="00577593">
        <w:rPr>
          <w:rFonts w:ascii="Times New Roman" w:hAnsi="Times New Roman"/>
          <w:sz w:val="28"/>
          <w:szCs w:val="28"/>
        </w:rPr>
        <w:t xml:space="preserve">Барнаула 2024 года 69% поступили в высшие учебные заведения, 23% </w:t>
      </w:r>
      <w:r w:rsidR="00484779" w:rsidRPr="00577593">
        <w:rPr>
          <w:rFonts w:ascii="Times New Roman" w:hAnsi="Times New Roman"/>
          <w:sz w:val="28"/>
          <w:szCs w:val="28"/>
        </w:rPr>
        <w:t>–</w:t>
      </w:r>
      <w:r w:rsidRPr="00577593">
        <w:rPr>
          <w:rFonts w:ascii="Times New Roman" w:hAnsi="Times New Roman"/>
          <w:sz w:val="28"/>
          <w:szCs w:val="28"/>
        </w:rPr>
        <w:t xml:space="preserve"> </w:t>
      </w:r>
      <w:r w:rsidR="00856F8C" w:rsidRPr="00577593">
        <w:rPr>
          <w:rFonts w:ascii="Times New Roman" w:hAnsi="Times New Roman"/>
          <w:sz w:val="28"/>
          <w:szCs w:val="28"/>
        </w:rPr>
        <w:br/>
      </w:r>
      <w:r w:rsidRPr="00577593">
        <w:rPr>
          <w:rFonts w:ascii="Times New Roman" w:hAnsi="Times New Roman"/>
          <w:sz w:val="28"/>
          <w:szCs w:val="28"/>
        </w:rPr>
        <w:t xml:space="preserve">в профессиональные образовательные организации. Из поступивших в вузы 74% выбрали учебные заведения Алтайского края, 26% уехали в другие регионы. Наиболее популярные </w:t>
      </w:r>
      <w:r w:rsidR="00630A37" w:rsidRPr="00577593">
        <w:rPr>
          <w:rFonts w:ascii="Times New Roman" w:hAnsi="Times New Roman"/>
          <w:sz w:val="28"/>
          <w:szCs w:val="28"/>
        </w:rPr>
        <w:t>среди</w:t>
      </w:r>
      <w:r w:rsidRPr="00577593">
        <w:rPr>
          <w:rFonts w:ascii="Times New Roman" w:hAnsi="Times New Roman"/>
          <w:sz w:val="28"/>
          <w:szCs w:val="28"/>
        </w:rPr>
        <w:t xml:space="preserve"> выпускников школ </w:t>
      </w:r>
      <w:r w:rsidR="00484779" w:rsidRPr="00577593">
        <w:rPr>
          <w:rFonts w:ascii="Times New Roman" w:hAnsi="Times New Roman"/>
          <w:sz w:val="28"/>
          <w:szCs w:val="28"/>
        </w:rPr>
        <w:t>–</w:t>
      </w:r>
      <w:r w:rsidRPr="00577593">
        <w:rPr>
          <w:rFonts w:ascii="Times New Roman" w:hAnsi="Times New Roman"/>
          <w:sz w:val="28"/>
          <w:szCs w:val="28"/>
        </w:rPr>
        <w:t xml:space="preserve"> </w:t>
      </w:r>
      <w:r w:rsidR="002B10DC">
        <w:rPr>
          <w:rFonts w:ascii="Times New Roman" w:hAnsi="Times New Roman"/>
          <w:sz w:val="28"/>
          <w:szCs w:val="28"/>
        </w:rPr>
        <w:t xml:space="preserve">города </w:t>
      </w:r>
      <w:r w:rsidRPr="00577593">
        <w:rPr>
          <w:rFonts w:ascii="Times New Roman" w:hAnsi="Times New Roman"/>
          <w:sz w:val="28"/>
          <w:szCs w:val="28"/>
        </w:rPr>
        <w:t>Новосибирск, Москва, Санкт-Петербург, Томск.</w:t>
      </w:r>
    </w:p>
    <w:p w:rsidR="00FC41F4" w:rsidRPr="00577593" w:rsidRDefault="00630A37" w:rsidP="008D738C">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Развитие системы образования города во многом связано с кадровым обеспечением. </w:t>
      </w:r>
      <w:r w:rsidR="008925FA" w:rsidRPr="00577593">
        <w:rPr>
          <w:rFonts w:ascii="Times New Roman" w:hAnsi="Times New Roman"/>
          <w:sz w:val="28"/>
          <w:szCs w:val="28"/>
        </w:rPr>
        <w:t>Средняя нагрузка на учителя школы в 2024/2025 году составила 1,7 ставки. Нехватка кадров связана с опережающим ростом количества обучающихся (ежегодно в среднем на 3 тысячи человек), оттоком специалистов пенсионного возраста. Действуют меры поддержки молодых специалистов, более 90% привлекаемых кадров работают более трех лет.</w:t>
      </w:r>
    </w:p>
    <w:p w:rsidR="00FC41F4" w:rsidRPr="00577593" w:rsidRDefault="008925FA" w:rsidP="008D738C">
      <w:pPr>
        <w:spacing w:after="0" w:line="240" w:lineRule="auto"/>
        <w:ind w:firstLine="709"/>
        <w:jc w:val="both"/>
        <w:rPr>
          <w:rFonts w:ascii="Times New Roman" w:eastAsia="Times New Roman" w:hAnsi="Times New Roman"/>
          <w:sz w:val="28"/>
          <w:szCs w:val="28"/>
        </w:rPr>
      </w:pPr>
      <w:r w:rsidRPr="00577593">
        <w:rPr>
          <w:rFonts w:ascii="Times New Roman" w:hAnsi="Times New Roman"/>
          <w:sz w:val="28"/>
          <w:szCs w:val="28"/>
        </w:rPr>
        <w:t xml:space="preserve">В 2024 году </w:t>
      </w:r>
      <w:r w:rsidRPr="00577593">
        <w:rPr>
          <w:rFonts w:ascii="Times New Roman" w:eastAsia="Times New Roman" w:hAnsi="Times New Roman"/>
          <w:sz w:val="28"/>
          <w:szCs w:val="28"/>
        </w:rPr>
        <w:t>охвачены дополнительными общеобразовательными программами разл</w:t>
      </w:r>
      <w:r w:rsidR="00630A37" w:rsidRPr="00577593">
        <w:rPr>
          <w:rFonts w:ascii="Times New Roman" w:eastAsia="Times New Roman" w:hAnsi="Times New Roman"/>
          <w:sz w:val="28"/>
          <w:szCs w:val="28"/>
        </w:rPr>
        <w:t>ичных направленностей 171,6 тысяч</w:t>
      </w:r>
      <w:r w:rsidRPr="00577593">
        <w:rPr>
          <w:rFonts w:ascii="Times New Roman" w:eastAsia="Times New Roman" w:hAnsi="Times New Roman"/>
          <w:sz w:val="28"/>
          <w:szCs w:val="28"/>
        </w:rPr>
        <w:t xml:space="preserve"> обучающихся, в том числе 60,3 тыс</w:t>
      </w:r>
      <w:r w:rsidR="00630A37" w:rsidRPr="00577593">
        <w:rPr>
          <w:rFonts w:ascii="Times New Roman" w:eastAsia="Times New Roman" w:hAnsi="Times New Roman"/>
          <w:sz w:val="28"/>
          <w:szCs w:val="28"/>
        </w:rPr>
        <w:t>ячи</w:t>
      </w:r>
      <w:r w:rsidRPr="00577593">
        <w:rPr>
          <w:rFonts w:ascii="Times New Roman" w:eastAsia="Times New Roman" w:hAnsi="Times New Roman"/>
          <w:sz w:val="28"/>
          <w:szCs w:val="28"/>
        </w:rPr>
        <w:t xml:space="preserve"> человек </w:t>
      </w:r>
      <w:r w:rsidR="00484779" w:rsidRPr="00577593">
        <w:rPr>
          <w:rFonts w:ascii="Times New Roman" w:eastAsia="Times New Roman" w:hAnsi="Times New Roman"/>
          <w:sz w:val="28"/>
          <w:szCs w:val="28"/>
        </w:rPr>
        <w:t>–</w:t>
      </w:r>
      <w:r w:rsidRPr="00577593">
        <w:rPr>
          <w:rFonts w:ascii="Times New Roman" w:eastAsia="Times New Roman" w:hAnsi="Times New Roman"/>
          <w:sz w:val="28"/>
          <w:szCs w:val="28"/>
        </w:rPr>
        <w:t xml:space="preserve"> дополнительными общеразвивающими программами по социально-гуманитарной </w:t>
      </w:r>
      <w:r w:rsidR="00630A37" w:rsidRPr="00577593">
        <w:rPr>
          <w:rFonts w:ascii="Times New Roman" w:eastAsia="Times New Roman" w:hAnsi="Times New Roman"/>
          <w:sz w:val="28"/>
          <w:szCs w:val="28"/>
        </w:rPr>
        <w:t xml:space="preserve">направленности, </w:t>
      </w:r>
      <w:r w:rsidR="00856F8C" w:rsidRPr="00577593">
        <w:rPr>
          <w:rFonts w:ascii="Times New Roman" w:eastAsia="Times New Roman" w:hAnsi="Times New Roman"/>
          <w:sz w:val="28"/>
          <w:szCs w:val="28"/>
        </w:rPr>
        <w:br/>
      </w:r>
      <w:r w:rsidR="00630A37" w:rsidRPr="00577593">
        <w:rPr>
          <w:rFonts w:ascii="Times New Roman" w:eastAsia="Times New Roman" w:hAnsi="Times New Roman"/>
          <w:sz w:val="28"/>
          <w:szCs w:val="28"/>
        </w:rPr>
        <w:t>40,9 тысячи</w:t>
      </w:r>
      <w:r w:rsidRPr="00577593">
        <w:rPr>
          <w:rFonts w:ascii="Times New Roman" w:eastAsia="Times New Roman" w:hAnsi="Times New Roman"/>
          <w:sz w:val="28"/>
          <w:szCs w:val="28"/>
        </w:rPr>
        <w:t xml:space="preserve"> человек </w:t>
      </w:r>
      <w:r w:rsidR="00484779" w:rsidRPr="00577593">
        <w:rPr>
          <w:rFonts w:ascii="Times New Roman" w:eastAsia="Times New Roman" w:hAnsi="Times New Roman"/>
          <w:sz w:val="28"/>
          <w:szCs w:val="28"/>
        </w:rPr>
        <w:t>–</w:t>
      </w:r>
      <w:r w:rsidRPr="00577593">
        <w:rPr>
          <w:rFonts w:ascii="Times New Roman" w:eastAsia="Times New Roman" w:hAnsi="Times New Roman"/>
          <w:sz w:val="28"/>
          <w:szCs w:val="28"/>
        </w:rPr>
        <w:t xml:space="preserve"> дополнительными общеразвивающими программами художе</w:t>
      </w:r>
      <w:r w:rsidR="00630A37" w:rsidRPr="00577593">
        <w:rPr>
          <w:rFonts w:ascii="Times New Roman" w:eastAsia="Times New Roman" w:hAnsi="Times New Roman"/>
          <w:sz w:val="28"/>
          <w:szCs w:val="28"/>
        </w:rPr>
        <w:t>ственной направленности, 23 тысячи</w:t>
      </w:r>
      <w:r w:rsidRPr="00577593">
        <w:rPr>
          <w:rFonts w:ascii="Times New Roman" w:eastAsia="Times New Roman" w:hAnsi="Times New Roman"/>
          <w:sz w:val="28"/>
          <w:szCs w:val="28"/>
        </w:rPr>
        <w:t xml:space="preserve"> человек </w:t>
      </w:r>
      <w:r w:rsidR="00484779" w:rsidRPr="00577593">
        <w:rPr>
          <w:rFonts w:ascii="Times New Roman" w:eastAsia="Times New Roman" w:hAnsi="Times New Roman"/>
          <w:sz w:val="28"/>
          <w:szCs w:val="28"/>
        </w:rPr>
        <w:t>–</w:t>
      </w:r>
      <w:r w:rsidRPr="00577593">
        <w:rPr>
          <w:rFonts w:ascii="Times New Roman" w:eastAsia="Times New Roman" w:hAnsi="Times New Roman"/>
          <w:sz w:val="28"/>
          <w:szCs w:val="28"/>
        </w:rPr>
        <w:t xml:space="preserve"> дополнительными общеразвивающими программами физкультурно-спортивной</w:t>
      </w:r>
      <w:r w:rsidR="00582B67" w:rsidRPr="00577593">
        <w:rPr>
          <w:rFonts w:ascii="Times New Roman" w:eastAsia="Times New Roman" w:hAnsi="Times New Roman"/>
          <w:sz w:val="28"/>
          <w:szCs w:val="28"/>
        </w:rPr>
        <w:t xml:space="preserve"> </w:t>
      </w:r>
      <w:r w:rsidRPr="00577593">
        <w:rPr>
          <w:rFonts w:ascii="Times New Roman" w:eastAsia="Times New Roman" w:hAnsi="Times New Roman"/>
          <w:sz w:val="28"/>
          <w:szCs w:val="28"/>
        </w:rPr>
        <w:lastRenderedPageBreak/>
        <w:t>направленности. В условиях высокой востребованности дополнительного образования и нехватки свободных помещений организуется предоставление услуг дополнительного образования на базе общеобразовательных и</w:t>
      </w:r>
      <w:r w:rsidRPr="00577593">
        <w:rPr>
          <w:rFonts w:ascii="Times New Roman" w:eastAsia="Times New Roman" w:hAnsi="Times New Roman"/>
          <w:b/>
          <w:bCs/>
          <w:i/>
          <w:iCs/>
          <w:sz w:val="28"/>
          <w:szCs w:val="28"/>
        </w:rPr>
        <w:t xml:space="preserve"> </w:t>
      </w:r>
      <w:r w:rsidRPr="00577593">
        <w:rPr>
          <w:rFonts w:ascii="Times New Roman" w:eastAsia="Times New Roman" w:hAnsi="Times New Roman"/>
          <w:sz w:val="28"/>
          <w:szCs w:val="28"/>
        </w:rPr>
        <w:t>дошкольных образовательных организаций.</w:t>
      </w:r>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В </w:t>
      </w:r>
      <w:r w:rsidR="0092773C">
        <w:rPr>
          <w:rFonts w:ascii="Times New Roman" w:hAnsi="Times New Roman"/>
          <w:sz w:val="28"/>
          <w:szCs w:val="28"/>
        </w:rPr>
        <w:t xml:space="preserve">городе </w:t>
      </w:r>
      <w:r w:rsidRPr="00577593">
        <w:rPr>
          <w:rFonts w:ascii="Times New Roman" w:hAnsi="Times New Roman"/>
          <w:sz w:val="28"/>
          <w:szCs w:val="28"/>
        </w:rPr>
        <w:t xml:space="preserve">Барнауле действуют </w:t>
      </w:r>
      <w:r w:rsidR="002B10DC">
        <w:rPr>
          <w:rFonts w:ascii="Times New Roman" w:hAnsi="Times New Roman"/>
          <w:sz w:val="28"/>
          <w:szCs w:val="28"/>
        </w:rPr>
        <w:t>четыре</w:t>
      </w:r>
      <w:r w:rsidRPr="00577593">
        <w:rPr>
          <w:rFonts w:ascii="Times New Roman" w:hAnsi="Times New Roman"/>
          <w:sz w:val="28"/>
          <w:szCs w:val="28"/>
        </w:rPr>
        <w:t xml:space="preserve"> центра молодежного инновационного творчества, оказывающих услуги для школьников, студентов, молодых ученых и субъектов предпринимательства, и </w:t>
      </w:r>
      <w:r w:rsidR="00AF428F" w:rsidRPr="00577593">
        <w:rPr>
          <w:rFonts w:ascii="Times New Roman" w:hAnsi="Times New Roman"/>
          <w:sz w:val="28"/>
          <w:szCs w:val="28"/>
        </w:rPr>
        <w:t>КГБУ ДО «Д</w:t>
      </w:r>
      <w:r w:rsidRPr="00577593">
        <w:rPr>
          <w:rFonts w:ascii="Times New Roman" w:hAnsi="Times New Roman"/>
          <w:sz w:val="28"/>
          <w:szCs w:val="28"/>
        </w:rPr>
        <w:t xml:space="preserve">етский технопарк </w:t>
      </w:r>
      <w:r w:rsidR="00AF428F" w:rsidRPr="00577593">
        <w:rPr>
          <w:rFonts w:ascii="Times New Roman" w:hAnsi="Times New Roman"/>
          <w:sz w:val="28"/>
          <w:szCs w:val="28"/>
        </w:rPr>
        <w:t xml:space="preserve">Алтайского края </w:t>
      </w:r>
      <w:r w:rsidRPr="00577593">
        <w:rPr>
          <w:rFonts w:ascii="Times New Roman" w:hAnsi="Times New Roman"/>
          <w:sz w:val="28"/>
          <w:szCs w:val="28"/>
        </w:rPr>
        <w:t>«Кванториум</w:t>
      </w:r>
      <w:r w:rsidR="00657BF0" w:rsidRPr="00577593">
        <w:rPr>
          <w:rFonts w:ascii="Times New Roman" w:hAnsi="Times New Roman"/>
          <w:sz w:val="28"/>
          <w:szCs w:val="28"/>
        </w:rPr>
        <w:t>.22</w:t>
      </w:r>
      <w:r w:rsidRPr="00577593">
        <w:rPr>
          <w:rFonts w:ascii="Times New Roman" w:hAnsi="Times New Roman"/>
          <w:sz w:val="28"/>
          <w:szCs w:val="28"/>
        </w:rPr>
        <w:t>» для детей 12</w:t>
      </w:r>
      <w:r w:rsidR="00484779" w:rsidRPr="00577593">
        <w:rPr>
          <w:rFonts w:ascii="Times New Roman" w:hAnsi="Times New Roman"/>
          <w:sz w:val="28"/>
          <w:szCs w:val="28"/>
        </w:rPr>
        <w:t>-</w:t>
      </w:r>
      <w:r w:rsidRPr="00577593">
        <w:rPr>
          <w:rFonts w:ascii="Times New Roman" w:hAnsi="Times New Roman"/>
          <w:sz w:val="28"/>
          <w:szCs w:val="28"/>
        </w:rPr>
        <w:t xml:space="preserve">17 лет. Работает Центр цифрового образования детей «IT-куб», где можно получить навыки для развития в сфере информационных технологий. Развивается сеть Центров образования естественно-научной </w:t>
      </w:r>
      <w:r w:rsidR="00657BF0" w:rsidRPr="00577593">
        <w:rPr>
          <w:rFonts w:ascii="Times New Roman" w:hAnsi="Times New Roman"/>
          <w:sz w:val="28"/>
          <w:szCs w:val="28"/>
        </w:rPr>
        <w:t xml:space="preserve">и технологической </w:t>
      </w:r>
      <w:r w:rsidRPr="00577593">
        <w:rPr>
          <w:rFonts w:ascii="Times New Roman" w:hAnsi="Times New Roman"/>
          <w:sz w:val="28"/>
          <w:szCs w:val="28"/>
        </w:rPr>
        <w:t xml:space="preserve">направленности «Точка роста», где школьники могут изучать </w:t>
      </w:r>
      <w:r w:rsidR="00657BF0" w:rsidRPr="00577593">
        <w:rPr>
          <w:rStyle w:val="15"/>
          <w:rFonts w:eastAsia="Calibri"/>
          <w:color w:val="auto"/>
          <w:sz w:val="28"/>
          <w:szCs w:val="28"/>
          <w:u w:val="none"/>
        </w:rPr>
        <w:t>учебные предметы с использованием современного оборудования</w:t>
      </w:r>
      <w:r w:rsidRPr="00577593">
        <w:rPr>
          <w:rFonts w:ascii="Times New Roman" w:hAnsi="Times New Roman"/>
          <w:sz w:val="28"/>
          <w:szCs w:val="28"/>
        </w:rPr>
        <w:t>.</w:t>
      </w:r>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hAnsi="Times New Roman"/>
          <w:sz w:val="28"/>
          <w:szCs w:val="28"/>
        </w:rPr>
        <w:t>Независимая оценка качества условий оказания услуг муниципальными организациями в с</w:t>
      </w:r>
      <w:r w:rsidR="00484779" w:rsidRPr="00577593">
        <w:rPr>
          <w:rFonts w:ascii="Times New Roman" w:hAnsi="Times New Roman"/>
          <w:sz w:val="28"/>
          <w:szCs w:val="28"/>
        </w:rPr>
        <w:t>фере образования в 2023–2024 годы</w:t>
      </w:r>
      <w:r w:rsidRPr="00577593">
        <w:rPr>
          <w:rFonts w:ascii="Times New Roman" w:hAnsi="Times New Roman"/>
          <w:sz w:val="28"/>
          <w:szCs w:val="28"/>
        </w:rPr>
        <w:t xml:space="preserve"> превышала 90 баллов (из 100 возможных).</w:t>
      </w:r>
    </w:p>
    <w:p w:rsidR="00FC41F4" w:rsidRPr="00577593" w:rsidRDefault="0092773C" w:rsidP="008D738C">
      <w:pPr>
        <w:spacing w:after="0" w:line="240" w:lineRule="auto"/>
        <w:ind w:firstLine="709"/>
        <w:jc w:val="both"/>
        <w:rPr>
          <w:rFonts w:ascii="Times New Roman" w:hAnsi="Times New Roman"/>
          <w:sz w:val="28"/>
          <w:szCs w:val="28"/>
        </w:rPr>
      </w:pPr>
      <w:r>
        <w:rPr>
          <w:rFonts w:ascii="Times New Roman" w:hAnsi="Times New Roman"/>
          <w:sz w:val="28"/>
          <w:szCs w:val="28"/>
        </w:rPr>
        <w:t xml:space="preserve">Город </w:t>
      </w:r>
      <w:r w:rsidR="008925FA" w:rsidRPr="00577593">
        <w:rPr>
          <w:rFonts w:ascii="Times New Roman" w:hAnsi="Times New Roman"/>
          <w:sz w:val="28"/>
          <w:szCs w:val="28"/>
        </w:rPr>
        <w:t>Барнаул является краевым центром профессионального образования. Число обучающихся в профессиональных образовательных о</w:t>
      </w:r>
      <w:r w:rsidR="00630A37" w:rsidRPr="00577593">
        <w:rPr>
          <w:rFonts w:ascii="Times New Roman" w:hAnsi="Times New Roman"/>
          <w:sz w:val="28"/>
          <w:szCs w:val="28"/>
        </w:rPr>
        <w:t xml:space="preserve">рганизациях составляет </w:t>
      </w:r>
      <w:r w:rsidR="0080561D" w:rsidRPr="00577593">
        <w:rPr>
          <w:rFonts w:ascii="Times New Roman" w:hAnsi="Times New Roman"/>
          <w:sz w:val="28"/>
          <w:szCs w:val="28"/>
        </w:rPr>
        <w:t>свыше</w:t>
      </w:r>
      <w:r w:rsidR="00856F8C" w:rsidRPr="00577593">
        <w:rPr>
          <w:rFonts w:ascii="Times New Roman" w:hAnsi="Times New Roman"/>
          <w:sz w:val="28"/>
          <w:szCs w:val="28"/>
        </w:rPr>
        <w:t xml:space="preserve"> </w:t>
      </w:r>
      <w:r w:rsidR="0080561D" w:rsidRPr="00577593">
        <w:rPr>
          <w:rFonts w:ascii="Times New Roman" w:hAnsi="Times New Roman"/>
          <w:sz w:val="28"/>
          <w:szCs w:val="28"/>
        </w:rPr>
        <w:t>21</w:t>
      </w:r>
      <w:r w:rsidR="00630A37" w:rsidRPr="00577593">
        <w:rPr>
          <w:rFonts w:ascii="Times New Roman" w:hAnsi="Times New Roman"/>
          <w:sz w:val="28"/>
          <w:szCs w:val="28"/>
        </w:rPr>
        <w:t xml:space="preserve"> тысячи</w:t>
      </w:r>
      <w:r w:rsidR="008925FA" w:rsidRPr="00577593">
        <w:rPr>
          <w:rFonts w:ascii="Times New Roman" w:hAnsi="Times New Roman"/>
          <w:sz w:val="28"/>
          <w:szCs w:val="28"/>
        </w:rPr>
        <w:t xml:space="preserve"> человек. Существенная часть выпускников профессиональных образовательных организаций после окончания учебы возвращается в другие муниципалитеты Алтайского края, также значимым направлением исходящей миграции выпускников является Новосибирск.</w:t>
      </w:r>
    </w:p>
    <w:p w:rsidR="00FC41F4" w:rsidRPr="00577593" w:rsidRDefault="008925FA" w:rsidP="008D738C">
      <w:pPr>
        <w:spacing w:after="0" w:line="240" w:lineRule="auto"/>
        <w:ind w:firstLine="709"/>
        <w:jc w:val="both"/>
        <w:rPr>
          <w:rFonts w:ascii="Times New Roman" w:eastAsia="Calibri" w:hAnsi="Times New Roman"/>
          <w:sz w:val="28"/>
          <w:szCs w:val="28"/>
          <w:shd w:val="clear" w:color="auto" w:fill="FFFFFF"/>
        </w:rPr>
      </w:pPr>
      <w:r w:rsidRPr="00577593">
        <w:rPr>
          <w:rFonts w:ascii="Times New Roman" w:hAnsi="Times New Roman"/>
          <w:sz w:val="28"/>
          <w:szCs w:val="28"/>
        </w:rPr>
        <w:t xml:space="preserve">При участии профессиональных образовательных организаций </w:t>
      </w:r>
      <w:r w:rsidR="0092773C">
        <w:rPr>
          <w:rFonts w:ascii="Times New Roman" w:hAnsi="Times New Roman"/>
          <w:sz w:val="28"/>
          <w:szCs w:val="28"/>
        </w:rPr>
        <w:t xml:space="preserve">города </w:t>
      </w:r>
      <w:r w:rsidR="002F0D57" w:rsidRPr="00577593">
        <w:rPr>
          <w:rFonts w:ascii="Times New Roman" w:hAnsi="Times New Roman"/>
          <w:sz w:val="28"/>
          <w:szCs w:val="28"/>
        </w:rPr>
        <w:t>создано шесть</w:t>
      </w:r>
      <w:r w:rsidRPr="00577593">
        <w:rPr>
          <w:rFonts w:ascii="Times New Roman" w:hAnsi="Times New Roman"/>
          <w:sz w:val="28"/>
          <w:szCs w:val="28"/>
        </w:rPr>
        <w:t xml:space="preserve"> кластеров «Профессионалитет». В 2022 году создан кластер по легкой промышленности, в 2023 году </w:t>
      </w:r>
      <w:r w:rsidR="00484779" w:rsidRPr="00577593">
        <w:rPr>
          <w:rFonts w:ascii="Times New Roman" w:hAnsi="Times New Roman"/>
          <w:sz w:val="28"/>
          <w:szCs w:val="28"/>
        </w:rPr>
        <w:t>–</w:t>
      </w:r>
      <w:r w:rsidRPr="00577593">
        <w:rPr>
          <w:rFonts w:ascii="Times New Roman" w:hAnsi="Times New Roman"/>
          <w:sz w:val="28"/>
          <w:szCs w:val="28"/>
        </w:rPr>
        <w:t xml:space="preserve"> кластеры в транспортной отрасли и машиностроении, в 2024 году </w:t>
      </w:r>
      <w:r w:rsidR="00484779" w:rsidRPr="00577593">
        <w:rPr>
          <w:rFonts w:ascii="Times New Roman" w:hAnsi="Times New Roman"/>
          <w:sz w:val="28"/>
          <w:szCs w:val="28"/>
        </w:rPr>
        <w:t>–</w:t>
      </w:r>
      <w:r w:rsidRPr="00577593">
        <w:rPr>
          <w:rFonts w:ascii="Times New Roman" w:hAnsi="Times New Roman"/>
          <w:sz w:val="28"/>
          <w:szCs w:val="28"/>
        </w:rPr>
        <w:t xml:space="preserve"> кластеры по педагогике, сельскому хозяйству, информационным технологиям. В 2025 году создан кластер по клинической и профилактической медицине. </w:t>
      </w:r>
      <w:r w:rsidR="0076340C" w:rsidRPr="00577593">
        <w:rPr>
          <w:rStyle w:val="15"/>
          <w:rFonts w:eastAsia="Calibri"/>
          <w:color w:val="auto"/>
          <w:sz w:val="28"/>
          <w:szCs w:val="28"/>
          <w:u w:val="none"/>
        </w:rPr>
        <w:t>Также в 2024 году созданы два кластера на базе организаций высшего образования, в структуре которых функционирует колледжи: по сельскому хозяйству на базе Алтайского государственного аграрного университета и на базе Алтайского государственного технического университета</w:t>
      </w:r>
      <w:r w:rsidR="00EE41A3" w:rsidRPr="00577593">
        <w:rPr>
          <w:rStyle w:val="15"/>
          <w:rFonts w:eastAsia="Calibri"/>
          <w:color w:val="auto"/>
          <w:sz w:val="28"/>
          <w:szCs w:val="28"/>
          <w:u w:val="none"/>
        </w:rPr>
        <w:t xml:space="preserve"> </w:t>
      </w:r>
      <w:r w:rsidR="0076340C" w:rsidRPr="00577593">
        <w:rPr>
          <w:rStyle w:val="15"/>
          <w:rFonts w:eastAsia="Calibri"/>
          <w:color w:val="auto"/>
          <w:sz w:val="28"/>
          <w:szCs w:val="28"/>
          <w:u w:val="none"/>
        </w:rPr>
        <w:t>им. И.И. Ползунова кластер информационные технологии</w:t>
      </w:r>
      <w:r w:rsidRPr="00577593">
        <w:rPr>
          <w:rFonts w:ascii="Times New Roman" w:hAnsi="Times New Roman"/>
          <w:sz w:val="28"/>
          <w:szCs w:val="28"/>
        </w:rPr>
        <w:t>. Общее количество обучающихся по программам среднего профессионального образования в рамках федерального проекта «Профессионалитет»</w:t>
      </w:r>
      <w:r w:rsidR="00110080" w:rsidRPr="00577593">
        <w:rPr>
          <w:rFonts w:ascii="Times New Roman" w:hAnsi="Times New Roman"/>
          <w:sz w:val="28"/>
          <w:szCs w:val="28"/>
        </w:rPr>
        <w:t xml:space="preserve"> на </w:t>
      </w:r>
      <w:r w:rsidR="001A4F46" w:rsidRPr="00577593">
        <w:rPr>
          <w:rFonts w:ascii="Times New Roman" w:hAnsi="Times New Roman"/>
          <w:sz w:val="28"/>
          <w:szCs w:val="28"/>
        </w:rPr>
        <w:t xml:space="preserve">2025 год составляет </w:t>
      </w:r>
      <w:r w:rsidR="0092773C">
        <w:rPr>
          <w:rFonts w:ascii="Times New Roman" w:hAnsi="Times New Roman"/>
          <w:sz w:val="28"/>
          <w:szCs w:val="28"/>
        </w:rPr>
        <w:br/>
      </w:r>
      <w:r w:rsidR="001A4F46" w:rsidRPr="00577593">
        <w:rPr>
          <w:rFonts w:ascii="Times New Roman" w:hAnsi="Times New Roman"/>
          <w:sz w:val="28"/>
          <w:szCs w:val="28"/>
        </w:rPr>
        <w:t>4</w:t>
      </w:r>
      <w:r w:rsidR="00110080" w:rsidRPr="00577593">
        <w:rPr>
          <w:rFonts w:ascii="Times New Roman" w:hAnsi="Times New Roman"/>
          <w:sz w:val="28"/>
          <w:szCs w:val="28"/>
        </w:rPr>
        <w:t>,1 тысячи</w:t>
      </w:r>
      <w:r w:rsidRPr="00577593">
        <w:rPr>
          <w:rFonts w:ascii="Times New Roman" w:hAnsi="Times New Roman"/>
          <w:sz w:val="28"/>
          <w:szCs w:val="28"/>
        </w:rPr>
        <w:t xml:space="preserve"> человек. Рассматривается возможность создания новых кластеров с учетом потребностей работодателей.</w:t>
      </w:r>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В </w:t>
      </w:r>
      <w:r w:rsidR="0092773C">
        <w:rPr>
          <w:rFonts w:ascii="Times New Roman" w:hAnsi="Times New Roman"/>
          <w:sz w:val="28"/>
          <w:szCs w:val="28"/>
        </w:rPr>
        <w:t xml:space="preserve">городе </w:t>
      </w:r>
      <w:r w:rsidRPr="00577593">
        <w:rPr>
          <w:rFonts w:ascii="Times New Roman" w:hAnsi="Times New Roman"/>
          <w:sz w:val="28"/>
          <w:szCs w:val="28"/>
        </w:rPr>
        <w:t xml:space="preserve">работают семь государственных вузов: Алтайский государственный университет, Алтайский государственный технический университет им. И.И. Ползунова, Алтайский государственный аграрный университет, Алтайский государственный медицинский университет, Алтайский государственный институт культуры, Алтайский государственный педагогический университет, Барнаульский юридический институт Министерства внутренних дел Российской Федерации. Также </w:t>
      </w:r>
      <w:r w:rsidRPr="00577593">
        <w:rPr>
          <w:rFonts w:ascii="Times New Roman" w:hAnsi="Times New Roman"/>
          <w:sz w:val="28"/>
          <w:szCs w:val="28"/>
        </w:rPr>
        <w:lastRenderedPageBreak/>
        <w:t xml:space="preserve">действуют филиалы двух государственных вузов </w:t>
      </w:r>
      <w:r w:rsidR="00484779" w:rsidRPr="00577593">
        <w:rPr>
          <w:rFonts w:ascii="Times New Roman" w:hAnsi="Times New Roman"/>
          <w:sz w:val="28"/>
          <w:szCs w:val="28"/>
        </w:rPr>
        <w:t>–</w:t>
      </w:r>
      <w:r w:rsidRPr="00577593">
        <w:rPr>
          <w:rFonts w:ascii="Times New Roman" w:hAnsi="Times New Roman"/>
          <w:sz w:val="28"/>
          <w:szCs w:val="28"/>
        </w:rPr>
        <w:t xml:space="preserve"> Российской академии народного хозяйства и государственной службы при Президенте Российской Федерации, Финансового университета при Правительстве Российской Федерации, и двух негосударственных: Алтайский институт экономики </w:t>
      </w:r>
      <w:r w:rsidR="00484779" w:rsidRPr="00577593">
        <w:rPr>
          <w:rFonts w:ascii="Times New Roman" w:hAnsi="Times New Roman"/>
          <w:sz w:val="28"/>
          <w:szCs w:val="28"/>
        </w:rPr>
        <w:t>–</w:t>
      </w:r>
      <w:r w:rsidRPr="00577593">
        <w:rPr>
          <w:rFonts w:ascii="Times New Roman" w:hAnsi="Times New Roman"/>
          <w:sz w:val="28"/>
          <w:szCs w:val="28"/>
        </w:rPr>
        <w:t xml:space="preserve"> филиал ЧОУ ВО «Санкт-Петербургский университет технологий управления и экономики», Алтайский институт труда и права (филиал) ОУП Академия труда и социальных отношений.</w:t>
      </w:r>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hAnsi="Times New Roman"/>
          <w:sz w:val="28"/>
          <w:szCs w:val="28"/>
        </w:rPr>
        <w:t>Наибольшее число выпускников в 2024 году окончили Алтайский госуд</w:t>
      </w:r>
      <w:r w:rsidR="00110080" w:rsidRPr="00577593">
        <w:rPr>
          <w:rFonts w:ascii="Times New Roman" w:hAnsi="Times New Roman"/>
          <w:sz w:val="28"/>
          <w:szCs w:val="28"/>
        </w:rPr>
        <w:t>арственный университет (4,5 тысячи</w:t>
      </w:r>
      <w:r w:rsidRPr="00577593">
        <w:rPr>
          <w:rFonts w:ascii="Times New Roman" w:hAnsi="Times New Roman"/>
          <w:sz w:val="28"/>
          <w:szCs w:val="28"/>
        </w:rPr>
        <w:t xml:space="preserve"> человек), Алтайский государственный педа</w:t>
      </w:r>
      <w:r w:rsidR="00110080" w:rsidRPr="00577593">
        <w:rPr>
          <w:rFonts w:ascii="Times New Roman" w:hAnsi="Times New Roman"/>
          <w:sz w:val="28"/>
          <w:szCs w:val="28"/>
        </w:rPr>
        <w:t>гогический университет (2,2 тысячи</w:t>
      </w:r>
      <w:r w:rsidRPr="00577593">
        <w:rPr>
          <w:rFonts w:ascii="Times New Roman" w:hAnsi="Times New Roman"/>
          <w:sz w:val="28"/>
          <w:szCs w:val="28"/>
        </w:rPr>
        <w:t xml:space="preserve"> человек), Алтайский государственный технический университет им.</w:t>
      </w:r>
      <w:r w:rsidR="003F0645" w:rsidRPr="00577593">
        <w:rPr>
          <w:rFonts w:ascii="Times New Roman" w:hAnsi="Times New Roman"/>
          <w:sz w:val="28"/>
          <w:szCs w:val="28"/>
        </w:rPr>
        <w:t> </w:t>
      </w:r>
      <w:r w:rsidRPr="00577593">
        <w:rPr>
          <w:rFonts w:ascii="Times New Roman" w:hAnsi="Times New Roman"/>
          <w:sz w:val="28"/>
          <w:szCs w:val="28"/>
        </w:rPr>
        <w:t>И.И.</w:t>
      </w:r>
      <w:r w:rsidR="003F0645" w:rsidRPr="00577593">
        <w:rPr>
          <w:rFonts w:ascii="Times New Roman" w:hAnsi="Times New Roman"/>
          <w:sz w:val="28"/>
          <w:szCs w:val="28"/>
        </w:rPr>
        <w:t> </w:t>
      </w:r>
      <w:r w:rsidR="00110080" w:rsidRPr="00577593">
        <w:rPr>
          <w:rFonts w:ascii="Times New Roman" w:hAnsi="Times New Roman"/>
          <w:sz w:val="28"/>
          <w:szCs w:val="28"/>
        </w:rPr>
        <w:t>Ползунова (1,2 тысячи</w:t>
      </w:r>
      <w:r w:rsidRPr="00577593">
        <w:rPr>
          <w:rFonts w:ascii="Times New Roman" w:hAnsi="Times New Roman"/>
          <w:sz w:val="28"/>
          <w:szCs w:val="28"/>
        </w:rPr>
        <w:t xml:space="preserve"> человек), Алтайский государственный м</w:t>
      </w:r>
      <w:r w:rsidR="00110080" w:rsidRPr="00577593">
        <w:rPr>
          <w:rFonts w:ascii="Times New Roman" w:hAnsi="Times New Roman"/>
          <w:sz w:val="28"/>
          <w:szCs w:val="28"/>
        </w:rPr>
        <w:t>едицинский университет (1,1 тысячи</w:t>
      </w:r>
      <w:r w:rsidRPr="00577593">
        <w:rPr>
          <w:rFonts w:ascii="Times New Roman" w:hAnsi="Times New Roman"/>
          <w:sz w:val="28"/>
          <w:szCs w:val="28"/>
        </w:rPr>
        <w:t xml:space="preserve"> человек). Доля выпускников, трудоустроенных в </w:t>
      </w:r>
      <w:r w:rsidR="002B10DC">
        <w:rPr>
          <w:rFonts w:ascii="Times New Roman" w:hAnsi="Times New Roman"/>
          <w:sz w:val="28"/>
          <w:szCs w:val="28"/>
        </w:rPr>
        <w:t xml:space="preserve">городе </w:t>
      </w:r>
      <w:r w:rsidRPr="00577593">
        <w:rPr>
          <w:rFonts w:ascii="Times New Roman" w:hAnsi="Times New Roman"/>
          <w:sz w:val="28"/>
          <w:szCs w:val="28"/>
        </w:rPr>
        <w:t>Барнауле, в 2024 году составила для АлтГУ</w:t>
      </w:r>
      <w:r w:rsidR="00A12DF7" w:rsidRPr="00577593">
        <w:rPr>
          <w:rFonts w:ascii="Times New Roman" w:hAnsi="Times New Roman"/>
          <w:sz w:val="28"/>
          <w:szCs w:val="28"/>
        </w:rPr>
        <w:t xml:space="preserve"> –</w:t>
      </w:r>
      <w:r w:rsidRPr="00577593">
        <w:rPr>
          <w:rFonts w:ascii="Times New Roman" w:hAnsi="Times New Roman"/>
          <w:sz w:val="28"/>
          <w:szCs w:val="28"/>
        </w:rPr>
        <w:t xml:space="preserve"> 25%, для АлтГПУ</w:t>
      </w:r>
      <w:r w:rsidR="00A12DF7" w:rsidRPr="00577593">
        <w:rPr>
          <w:rFonts w:ascii="Times New Roman" w:hAnsi="Times New Roman"/>
          <w:sz w:val="28"/>
          <w:szCs w:val="28"/>
        </w:rPr>
        <w:t xml:space="preserve"> –</w:t>
      </w:r>
      <w:r w:rsidRPr="00577593">
        <w:rPr>
          <w:rFonts w:ascii="Times New Roman" w:hAnsi="Times New Roman"/>
          <w:sz w:val="28"/>
          <w:szCs w:val="28"/>
        </w:rPr>
        <w:t xml:space="preserve"> 14%, для АлтГТУ им. И.И. Ползунова </w:t>
      </w:r>
      <w:r w:rsidR="00484779" w:rsidRPr="00577593">
        <w:rPr>
          <w:rFonts w:ascii="Times New Roman" w:hAnsi="Times New Roman"/>
          <w:sz w:val="28"/>
          <w:szCs w:val="28"/>
        </w:rPr>
        <w:t xml:space="preserve">– </w:t>
      </w:r>
      <w:r w:rsidRPr="00577593">
        <w:rPr>
          <w:rFonts w:ascii="Times New Roman" w:hAnsi="Times New Roman"/>
          <w:sz w:val="28"/>
          <w:szCs w:val="28"/>
        </w:rPr>
        <w:t xml:space="preserve">26%, для АГМУ </w:t>
      </w:r>
      <w:r w:rsidR="00484779" w:rsidRPr="00577593">
        <w:rPr>
          <w:rFonts w:ascii="Times New Roman" w:hAnsi="Times New Roman"/>
          <w:sz w:val="28"/>
          <w:szCs w:val="28"/>
        </w:rPr>
        <w:t>–</w:t>
      </w:r>
      <w:r w:rsidRPr="00577593">
        <w:rPr>
          <w:rFonts w:ascii="Times New Roman" w:hAnsi="Times New Roman"/>
          <w:sz w:val="28"/>
          <w:szCs w:val="28"/>
        </w:rPr>
        <w:t xml:space="preserve"> 24%.</w:t>
      </w:r>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В рейтинге Forbes «Лучшие российские вузы </w:t>
      </w:r>
      <w:r w:rsidR="00484779" w:rsidRPr="00577593">
        <w:rPr>
          <w:rFonts w:ascii="Times New Roman" w:hAnsi="Times New Roman"/>
          <w:sz w:val="28"/>
          <w:szCs w:val="28"/>
        </w:rPr>
        <w:t>–</w:t>
      </w:r>
      <w:r w:rsidRPr="00577593">
        <w:rPr>
          <w:rFonts w:ascii="Times New Roman" w:hAnsi="Times New Roman"/>
          <w:sz w:val="28"/>
          <w:szCs w:val="28"/>
        </w:rPr>
        <w:t xml:space="preserve"> 2025» Алтайский государственный университет занял 74-е место, другие вузы не вошли в топ-100 (для сравнения: Новосибирский национальный исследовательский государственный университет </w:t>
      </w:r>
      <w:r w:rsidR="00484779" w:rsidRPr="00577593">
        <w:rPr>
          <w:rFonts w:ascii="Times New Roman" w:hAnsi="Times New Roman"/>
          <w:sz w:val="28"/>
          <w:szCs w:val="28"/>
        </w:rPr>
        <w:t>–</w:t>
      </w:r>
      <w:r w:rsidRPr="00577593">
        <w:rPr>
          <w:rFonts w:ascii="Times New Roman" w:hAnsi="Times New Roman"/>
          <w:sz w:val="28"/>
          <w:szCs w:val="28"/>
        </w:rPr>
        <w:t xml:space="preserve"> 15</w:t>
      </w:r>
      <w:r w:rsidRPr="00577593">
        <w:rPr>
          <w:rFonts w:ascii="Times New Roman" w:hAnsi="Times New Roman"/>
          <w:sz w:val="28"/>
          <w:szCs w:val="28"/>
        </w:rPr>
        <w:noBreakHyphen/>
        <w:t xml:space="preserve">е место, Национальный исследовательский Томский государственный университет </w:t>
      </w:r>
      <w:r w:rsidR="00484779" w:rsidRPr="00577593">
        <w:rPr>
          <w:rFonts w:ascii="Times New Roman" w:hAnsi="Times New Roman"/>
          <w:sz w:val="28"/>
          <w:szCs w:val="28"/>
        </w:rPr>
        <w:t>–</w:t>
      </w:r>
      <w:r w:rsidRPr="00577593">
        <w:rPr>
          <w:rFonts w:ascii="Times New Roman" w:hAnsi="Times New Roman"/>
          <w:sz w:val="28"/>
          <w:szCs w:val="28"/>
        </w:rPr>
        <w:t xml:space="preserve"> 17-е место, Национальный исследовательский Томский политехнический университет </w:t>
      </w:r>
      <w:r w:rsidR="00484779" w:rsidRPr="00577593">
        <w:rPr>
          <w:rFonts w:ascii="Times New Roman" w:hAnsi="Times New Roman"/>
          <w:sz w:val="28"/>
          <w:szCs w:val="28"/>
        </w:rPr>
        <w:t>–</w:t>
      </w:r>
      <w:r w:rsidRPr="00577593">
        <w:rPr>
          <w:rFonts w:ascii="Times New Roman" w:hAnsi="Times New Roman"/>
          <w:sz w:val="28"/>
          <w:szCs w:val="28"/>
        </w:rPr>
        <w:t xml:space="preserve"> 25-е место). В рейтинге лучших вузов России RAEX-100 (2024 год) Алтайский государственный университет также оказался единственным вузом Алтайского края в топ</w:t>
      </w:r>
      <w:r w:rsidRPr="00577593">
        <w:rPr>
          <w:rFonts w:ascii="Times New Roman" w:hAnsi="Times New Roman"/>
          <w:sz w:val="28"/>
          <w:szCs w:val="28"/>
        </w:rPr>
        <w:noBreakHyphen/>
        <w:t>100 и занял 63-е место, пропустив вперед Национальный исследовательский Томский политехнический университет (9-е место), Новосибирский национальный исследовательский государственный университет (14-е место), Национальный исследовательский Томский государственный университет (18-е место), Новосибирский государственный технический университет (40</w:t>
      </w:r>
      <w:r w:rsidR="00DE566D" w:rsidRPr="00577593">
        <w:rPr>
          <w:rFonts w:ascii="Times New Roman" w:hAnsi="Times New Roman"/>
          <w:sz w:val="28"/>
          <w:szCs w:val="28"/>
        </w:rPr>
        <w:t>-</w:t>
      </w:r>
      <w:r w:rsidRPr="00577593">
        <w:rPr>
          <w:rFonts w:ascii="Times New Roman" w:hAnsi="Times New Roman"/>
          <w:sz w:val="28"/>
          <w:szCs w:val="28"/>
        </w:rPr>
        <w:t xml:space="preserve">е место) </w:t>
      </w:r>
      <w:r w:rsidR="00856F8C" w:rsidRPr="00577593">
        <w:rPr>
          <w:rFonts w:ascii="Times New Roman" w:hAnsi="Times New Roman"/>
          <w:sz w:val="28"/>
          <w:szCs w:val="28"/>
        </w:rPr>
        <w:br/>
      </w:r>
      <w:r w:rsidRPr="00577593">
        <w:rPr>
          <w:rFonts w:ascii="Times New Roman" w:hAnsi="Times New Roman"/>
          <w:sz w:val="28"/>
          <w:szCs w:val="28"/>
        </w:rPr>
        <w:t xml:space="preserve">и Томский государственный университет систем управления </w:t>
      </w:r>
      <w:r w:rsidR="00856F8C" w:rsidRPr="00577593">
        <w:rPr>
          <w:rFonts w:ascii="Times New Roman" w:hAnsi="Times New Roman"/>
          <w:sz w:val="28"/>
          <w:szCs w:val="28"/>
        </w:rPr>
        <w:br/>
      </w:r>
      <w:r w:rsidRPr="00577593">
        <w:rPr>
          <w:rFonts w:ascii="Times New Roman" w:hAnsi="Times New Roman"/>
          <w:sz w:val="28"/>
          <w:szCs w:val="28"/>
        </w:rPr>
        <w:t>и радиоэлектроники (61-е место). В Национальном рейтинге университетов Интерфакс 2024 наивысшую позицию среди вузов Алтайского края занял Алтайский государственный технический университет им. И.И. Ползунова (172</w:t>
      </w:r>
      <w:r w:rsidR="00484779" w:rsidRPr="00577593">
        <w:rPr>
          <w:rFonts w:ascii="Times New Roman" w:hAnsi="Times New Roman"/>
          <w:sz w:val="28"/>
          <w:szCs w:val="28"/>
        </w:rPr>
        <w:t>–</w:t>
      </w:r>
      <w:r w:rsidRPr="00577593">
        <w:rPr>
          <w:rFonts w:ascii="Times New Roman" w:hAnsi="Times New Roman"/>
          <w:sz w:val="28"/>
          <w:szCs w:val="28"/>
        </w:rPr>
        <w:t>174-е место), в то время как ряд вузов Томской, Новосибирской, Омской областей попали в топ-100.</w:t>
      </w:r>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hAnsi="Times New Roman"/>
          <w:sz w:val="28"/>
          <w:szCs w:val="28"/>
        </w:rPr>
        <w:t>Динамика основных показателей, характеризующих систему образования</w:t>
      </w:r>
      <w:r w:rsidR="0092773C">
        <w:rPr>
          <w:rFonts w:ascii="Times New Roman" w:hAnsi="Times New Roman"/>
          <w:sz w:val="28"/>
          <w:szCs w:val="28"/>
        </w:rPr>
        <w:t xml:space="preserve"> города</w:t>
      </w:r>
      <w:r w:rsidRPr="00577593">
        <w:rPr>
          <w:rFonts w:ascii="Times New Roman" w:hAnsi="Times New Roman"/>
          <w:sz w:val="28"/>
          <w:szCs w:val="28"/>
        </w:rPr>
        <w:t xml:space="preserve"> Барнаула, приведена в </w:t>
      </w:r>
      <w:r w:rsidR="00974951">
        <w:rPr>
          <w:rFonts w:ascii="Times New Roman" w:hAnsi="Times New Roman"/>
          <w:sz w:val="28"/>
          <w:szCs w:val="28"/>
        </w:rPr>
        <w:t>Таблице 3</w:t>
      </w:r>
      <w:r w:rsidRPr="00577593">
        <w:rPr>
          <w:rFonts w:ascii="Times New Roman" w:hAnsi="Times New Roman"/>
          <w:sz w:val="28"/>
          <w:szCs w:val="28"/>
        </w:rPr>
        <w:t>.</w:t>
      </w:r>
    </w:p>
    <w:p w:rsidR="004369BA" w:rsidRPr="002B10DC" w:rsidRDefault="004369BA" w:rsidP="002000D4">
      <w:pPr>
        <w:spacing w:after="0" w:line="240" w:lineRule="auto"/>
        <w:ind w:firstLine="709"/>
        <w:jc w:val="both"/>
        <w:rPr>
          <w:rFonts w:ascii="Times New Roman" w:hAnsi="Times New Roman"/>
          <w:sz w:val="10"/>
          <w:szCs w:val="10"/>
        </w:rPr>
      </w:pPr>
    </w:p>
    <w:p w:rsidR="00FC41F4" w:rsidRPr="00577593" w:rsidRDefault="008925FA" w:rsidP="002000D4">
      <w:pPr>
        <w:spacing w:after="0" w:line="240" w:lineRule="auto"/>
        <w:jc w:val="both"/>
        <w:rPr>
          <w:rFonts w:ascii="Times New Roman" w:eastAsia="Times New Roman" w:hAnsi="Times New Roman"/>
          <w:iCs/>
          <w:sz w:val="28"/>
          <w:szCs w:val="28"/>
          <w:lang w:eastAsia="ru-RU"/>
        </w:rPr>
      </w:pPr>
      <w:bookmarkStart w:id="43" w:name="_Ref199385587"/>
      <w:r w:rsidRPr="00577593">
        <w:rPr>
          <w:rFonts w:ascii="Times New Roman" w:eastAsia="Times New Roman" w:hAnsi="Times New Roman"/>
          <w:iCs/>
          <w:sz w:val="28"/>
          <w:szCs w:val="28"/>
          <w:lang w:eastAsia="ru-RU"/>
        </w:rPr>
        <w:t xml:space="preserve">Таблица </w:t>
      </w:r>
      <w:r w:rsidR="00074AE5" w:rsidRPr="00577593">
        <w:rPr>
          <w:rFonts w:ascii="Times New Roman" w:eastAsia="Times New Roman" w:hAnsi="Times New Roman"/>
          <w:iCs/>
          <w:sz w:val="28"/>
          <w:szCs w:val="28"/>
          <w:lang w:eastAsia="ru-RU"/>
        </w:rPr>
        <w:fldChar w:fldCharType="begin"/>
      </w:r>
      <w:r w:rsidRPr="00577593">
        <w:rPr>
          <w:rFonts w:ascii="Times New Roman" w:eastAsia="Times New Roman" w:hAnsi="Times New Roman"/>
          <w:iCs/>
          <w:sz w:val="28"/>
          <w:szCs w:val="28"/>
          <w:lang w:eastAsia="ru-RU"/>
        </w:rPr>
        <w:instrText xml:space="preserve"> SEQ Таблица \* ARABIC </w:instrText>
      </w:r>
      <w:r w:rsidR="00074AE5" w:rsidRPr="00577593">
        <w:rPr>
          <w:rFonts w:ascii="Times New Roman" w:eastAsia="Times New Roman" w:hAnsi="Times New Roman"/>
          <w:iCs/>
          <w:sz w:val="28"/>
          <w:szCs w:val="28"/>
          <w:lang w:eastAsia="ru-RU"/>
        </w:rPr>
        <w:fldChar w:fldCharType="separate"/>
      </w:r>
      <w:r w:rsidR="00071499">
        <w:rPr>
          <w:rFonts w:ascii="Times New Roman" w:eastAsia="Times New Roman" w:hAnsi="Times New Roman"/>
          <w:iCs/>
          <w:noProof/>
          <w:sz w:val="28"/>
          <w:szCs w:val="28"/>
          <w:lang w:eastAsia="ru-RU"/>
        </w:rPr>
        <w:t>3</w:t>
      </w:r>
      <w:r w:rsidR="00074AE5" w:rsidRPr="00577593">
        <w:rPr>
          <w:rFonts w:ascii="Times New Roman" w:eastAsia="Times New Roman" w:hAnsi="Times New Roman"/>
          <w:iCs/>
          <w:sz w:val="28"/>
          <w:szCs w:val="28"/>
          <w:lang w:eastAsia="ru-RU"/>
        </w:rPr>
        <w:fldChar w:fldCharType="end"/>
      </w:r>
      <w:bookmarkEnd w:id="43"/>
      <w:r w:rsidRPr="00577593">
        <w:rPr>
          <w:rFonts w:ascii="Times New Roman" w:eastAsia="Times New Roman" w:hAnsi="Times New Roman"/>
          <w:iCs/>
          <w:sz w:val="28"/>
          <w:szCs w:val="28"/>
          <w:lang w:eastAsia="ru-RU"/>
        </w:rPr>
        <w:t xml:space="preserve"> </w:t>
      </w:r>
      <w:r w:rsidRPr="00577593">
        <w:rPr>
          <w:rFonts w:ascii="Times New Roman" w:hAnsi="Times New Roman"/>
          <w:i/>
          <w:sz w:val="28"/>
          <w:szCs w:val="28"/>
        </w:rPr>
        <w:t>—</w:t>
      </w:r>
      <w:r w:rsidRPr="00577593">
        <w:rPr>
          <w:rFonts w:ascii="Times New Roman" w:eastAsia="Times New Roman" w:hAnsi="Times New Roman"/>
          <w:iCs/>
          <w:sz w:val="28"/>
          <w:szCs w:val="28"/>
          <w:lang w:eastAsia="ru-RU"/>
        </w:rPr>
        <w:t xml:space="preserve"> Основные показатели, характеризующие систему образования</w:t>
      </w:r>
      <w:r w:rsidR="00A12DF7" w:rsidRPr="00577593">
        <w:rPr>
          <w:rFonts w:ascii="Times New Roman" w:eastAsia="Times New Roman" w:hAnsi="Times New Roman"/>
          <w:iCs/>
          <w:sz w:val="28"/>
          <w:szCs w:val="28"/>
          <w:lang w:eastAsia="ru-RU"/>
        </w:rPr>
        <w:t xml:space="preserve"> </w:t>
      </w:r>
      <w:r w:rsidR="0092773C">
        <w:rPr>
          <w:rFonts w:ascii="Times New Roman" w:eastAsia="Times New Roman" w:hAnsi="Times New Roman"/>
          <w:iCs/>
          <w:sz w:val="28"/>
          <w:szCs w:val="28"/>
          <w:lang w:eastAsia="ru-RU"/>
        </w:rPr>
        <w:t xml:space="preserve">города </w:t>
      </w:r>
      <w:r w:rsidRPr="00577593">
        <w:rPr>
          <w:rFonts w:ascii="Times New Roman" w:eastAsia="Times New Roman" w:hAnsi="Times New Roman"/>
          <w:iCs/>
          <w:sz w:val="28"/>
          <w:szCs w:val="28"/>
          <w:lang w:eastAsia="ru-RU"/>
        </w:rPr>
        <w:t>Барнаула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204"/>
        <w:gridCol w:w="992"/>
        <w:gridCol w:w="1134"/>
        <w:gridCol w:w="1015"/>
      </w:tblGrid>
      <w:tr w:rsidR="00FC41F4" w:rsidRPr="00577593" w:rsidTr="00974951">
        <w:trPr>
          <w:tblHeader/>
        </w:trPr>
        <w:tc>
          <w:tcPr>
            <w:tcW w:w="6204" w:type="dxa"/>
            <w:shd w:val="clear" w:color="auto" w:fill="auto"/>
          </w:tcPr>
          <w:p w:rsidR="00FC41F4" w:rsidRPr="00577593" w:rsidRDefault="00FC41F4" w:rsidP="002000D4">
            <w:pPr>
              <w:widowControl w:val="0"/>
              <w:spacing w:after="0" w:line="240" w:lineRule="auto"/>
              <w:jc w:val="center"/>
              <w:rPr>
                <w:rFonts w:ascii="Times New Roman" w:eastAsia="Times New Roman" w:hAnsi="Times New Roman"/>
                <w:sz w:val="20"/>
                <w:szCs w:val="20"/>
                <w:lang w:eastAsia="ru-RU"/>
              </w:rPr>
            </w:pPr>
          </w:p>
        </w:tc>
        <w:tc>
          <w:tcPr>
            <w:tcW w:w="992" w:type="dxa"/>
            <w:shd w:val="clear" w:color="auto" w:fill="auto"/>
          </w:tcPr>
          <w:p w:rsidR="00FC41F4" w:rsidRPr="00577593" w:rsidRDefault="008925FA" w:rsidP="002000D4">
            <w:pPr>
              <w:widowControl w:val="0"/>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2012 г.</w:t>
            </w:r>
          </w:p>
        </w:tc>
        <w:tc>
          <w:tcPr>
            <w:tcW w:w="1134" w:type="dxa"/>
            <w:shd w:val="clear" w:color="auto" w:fill="auto"/>
          </w:tcPr>
          <w:p w:rsidR="00FC41F4" w:rsidRPr="00577593" w:rsidRDefault="008925FA" w:rsidP="002000D4">
            <w:pPr>
              <w:widowControl w:val="0"/>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2017 г.</w:t>
            </w:r>
          </w:p>
        </w:tc>
        <w:tc>
          <w:tcPr>
            <w:tcW w:w="1015" w:type="dxa"/>
            <w:shd w:val="clear" w:color="auto" w:fill="auto"/>
          </w:tcPr>
          <w:p w:rsidR="00FC41F4" w:rsidRPr="00577593" w:rsidRDefault="008925FA" w:rsidP="002000D4">
            <w:pPr>
              <w:widowControl w:val="0"/>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2024 г.</w:t>
            </w:r>
          </w:p>
        </w:tc>
      </w:tr>
      <w:tr w:rsidR="00FC41F4" w:rsidRPr="00577593" w:rsidTr="00974951">
        <w:trPr>
          <w:trHeight w:val="271"/>
        </w:trPr>
        <w:tc>
          <w:tcPr>
            <w:tcW w:w="6204" w:type="dxa"/>
            <w:shd w:val="clear" w:color="auto" w:fill="auto"/>
          </w:tcPr>
          <w:p w:rsidR="00FC41F4" w:rsidRPr="00577593" w:rsidRDefault="008925FA" w:rsidP="002000D4">
            <w:pPr>
              <w:widowControl w:val="0"/>
              <w:spacing w:after="0" w:line="240" w:lineRule="auto"/>
              <w:jc w:val="both"/>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Охват детей дошкольного возраста всеми формами дошкольного образования, %</w:t>
            </w:r>
          </w:p>
        </w:tc>
        <w:tc>
          <w:tcPr>
            <w:tcW w:w="992" w:type="dxa"/>
            <w:shd w:val="clear" w:color="auto" w:fill="auto"/>
          </w:tcPr>
          <w:p w:rsidR="00FC41F4" w:rsidRPr="00577593" w:rsidRDefault="008925FA" w:rsidP="002000D4">
            <w:pPr>
              <w:widowControl w:val="0"/>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77,1</w:t>
            </w:r>
          </w:p>
        </w:tc>
        <w:tc>
          <w:tcPr>
            <w:tcW w:w="1134" w:type="dxa"/>
            <w:shd w:val="clear" w:color="auto" w:fill="auto"/>
          </w:tcPr>
          <w:p w:rsidR="00FC41F4" w:rsidRPr="00577593" w:rsidRDefault="008925FA" w:rsidP="002000D4">
            <w:pPr>
              <w:widowControl w:val="0"/>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83,6</w:t>
            </w:r>
          </w:p>
        </w:tc>
        <w:tc>
          <w:tcPr>
            <w:tcW w:w="1015" w:type="dxa"/>
            <w:shd w:val="clear" w:color="auto" w:fill="auto"/>
          </w:tcPr>
          <w:p w:rsidR="00FC41F4" w:rsidRPr="00577593" w:rsidRDefault="008925FA" w:rsidP="002000D4">
            <w:pPr>
              <w:widowControl w:val="0"/>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100</w:t>
            </w:r>
            <w:r w:rsidR="00A12DF7" w:rsidRPr="00577593">
              <w:rPr>
                <w:rFonts w:ascii="Times New Roman" w:eastAsia="Times New Roman" w:hAnsi="Times New Roman"/>
                <w:sz w:val="20"/>
                <w:szCs w:val="20"/>
                <w:lang w:eastAsia="ru-RU"/>
              </w:rPr>
              <w:t>,0</w:t>
            </w:r>
          </w:p>
        </w:tc>
      </w:tr>
      <w:tr w:rsidR="00FC41F4" w:rsidRPr="00577593" w:rsidTr="00974951">
        <w:tc>
          <w:tcPr>
            <w:tcW w:w="6204" w:type="dxa"/>
            <w:shd w:val="clear" w:color="auto" w:fill="auto"/>
          </w:tcPr>
          <w:p w:rsidR="00FC41F4" w:rsidRPr="00577593" w:rsidRDefault="008925FA" w:rsidP="002000D4">
            <w:pPr>
              <w:widowControl w:val="0"/>
              <w:spacing w:after="0" w:line="240" w:lineRule="auto"/>
              <w:jc w:val="both"/>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Доступность дошкольного образования для детей в возрасте от 2 месяцев до 3 лет, %</w:t>
            </w:r>
          </w:p>
        </w:tc>
        <w:tc>
          <w:tcPr>
            <w:tcW w:w="992" w:type="dxa"/>
            <w:shd w:val="clear" w:color="auto" w:fill="auto"/>
          </w:tcPr>
          <w:p w:rsidR="00FC41F4" w:rsidRPr="00577593" w:rsidRDefault="00502632" w:rsidP="002000D4">
            <w:pPr>
              <w:widowControl w:val="0"/>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w:t>
            </w:r>
          </w:p>
        </w:tc>
        <w:tc>
          <w:tcPr>
            <w:tcW w:w="1134" w:type="dxa"/>
            <w:shd w:val="clear" w:color="auto" w:fill="auto"/>
          </w:tcPr>
          <w:p w:rsidR="00FC41F4" w:rsidRPr="00577593" w:rsidRDefault="008925FA" w:rsidP="002000D4">
            <w:pPr>
              <w:widowControl w:val="0"/>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43,3</w:t>
            </w:r>
          </w:p>
        </w:tc>
        <w:tc>
          <w:tcPr>
            <w:tcW w:w="1015" w:type="dxa"/>
            <w:shd w:val="clear" w:color="auto" w:fill="auto"/>
          </w:tcPr>
          <w:p w:rsidR="00FC41F4" w:rsidRPr="00577593" w:rsidRDefault="008925FA" w:rsidP="002000D4">
            <w:pPr>
              <w:widowControl w:val="0"/>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100</w:t>
            </w:r>
            <w:r w:rsidR="00A12DF7" w:rsidRPr="00577593">
              <w:rPr>
                <w:rFonts w:ascii="Times New Roman" w:eastAsia="Times New Roman" w:hAnsi="Times New Roman"/>
                <w:sz w:val="20"/>
                <w:szCs w:val="20"/>
                <w:lang w:eastAsia="ru-RU"/>
              </w:rPr>
              <w:t>,0</w:t>
            </w:r>
          </w:p>
        </w:tc>
      </w:tr>
      <w:tr w:rsidR="00FC41F4" w:rsidRPr="00577593" w:rsidTr="00974951">
        <w:tc>
          <w:tcPr>
            <w:tcW w:w="6204" w:type="dxa"/>
            <w:shd w:val="clear" w:color="auto" w:fill="auto"/>
          </w:tcPr>
          <w:p w:rsidR="00FC41F4" w:rsidRPr="00577593" w:rsidRDefault="008925FA" w:rsidP="002000D4">
            <w:pPr>
              <w:spacing w:after="0" w:line="240" w:lineRule="auto"/>
              <w:jc w:val="both"/>
              <w:rPr>
                <w:rFonts w:ascii="Times New Roman" w:eastAsia="Times New Roman" w:hAnsi="Times New Roman"/>
                <w:sz w:val="20"/>
                <w:szCs w:val="20"/>
              </w:rPr>
            </w:pPr>
            <w:r w:rsidRPr="00577593">
              <w:rPr>
                <w:rFonts w:ascii="Times New Roman" w:eastAsia="Times New Roman" w:hAnsi="Times New Roman"/>
                <w:sz w:val="20"/>
                <w:szCs w:val="20"/>
              </w:rPr>
              <w:t>Доля обучающихся в общеобразовательных организациях, отвечающих современным требованиям безопасности, в общей численности обучающихся в общеобразовательных организациях, %</w:t>
            </w:r>
          </w:p>
        </w:tc>
        <w:tc>
          <w:tcPr>
            <w:tcW w:w="992" w:type="dxa"/>
            <w:shd w:val="clear" w:color="auto" w:fill="auto"/>
          </w:tcPr>
          <w:p w:rsidR="00FC41F4" w:rsidRPr="00577593" w:rsidRDefault="008925FA" w:rsidP="002000D4">
            <w:pPr>
              <w:widowControl w:val="0"/>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75</w:t>
            </w:r>
            <w:r w:rsidR="00A12DF7" w:rsidRPr="00577593">
              <w:rPr>
                <w:rFonts w:ascii="Times New Roman" w:eastAsia="Times New Roman" w:hAnsi="Times New Roman"/>
                <w:sz w:val="20"/>
                <w:szCs w:val="20"/>
                <w:lang w:eastAsia="ru-RU"/>
              </w:rPr>
              <w:t>,0</w:t>
            </w:r>
          </w:p>
        </w:tc>
        <w:tc>
          <w:tcPr>
            <w:tcW w:w="1134" w:type="dxa"/>
            <w:shd w:val="clear" w:color="auto" w:fill="auto"/>
          </w:tcPr>
          <w:p w:rsidR="00FC41F4" w:rsidRPr="00577593" w:rsidRDefault="008925FA" w:rsidP="002000D4">
            <w:pPr>
              <w:widowControl w:val="0"/>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85</w:t>
            </w:r>
            <w:r w:rsidR="00A12DF7" w:rsidRPr="00577593">
              <w:rPr>
                <w:rFonts w:ascii="Times New Roman" w:eastAsia="Times New Roman" w:hAnsi="Times New Roman"/>
                <w:sz w:val="20"/>
                <w:szCs w:val="20"/>
                <w:lang w:eastAsia="ru-RU"/>
              </w:rPr>
              <w:t>,0</w:t>
            </w:r>
          </w:p>
        </w:tc>
        <w:tc>
          <w:tcPr>
            <w:tcW w:w="1015" w:type="dxa"/>
            <w:shd w:val="clear" w:color="auto" w:fill="auto"/>
          </w:tcPr>
          <w:p w:rsidR="00FC41F4" w:rsidRPr="00577593" w:rsidRDefault="008925FA" w:rsidP="002000D4">
            <w:pPr>
              <w:widowControl w:val="0"/>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89</w:t>
            </w:r>
            <w:r w:rsidR="00A12DF7" w:rsidRPr="00577593">
              <w:rPr>
                <w:rFonts w:ascii="Times New Roman" w:eastAsia="Times New Roman" w:hAnsi="Times New Roman"/>
                <w:sz w:val="20"/>
                <w:szCs w:val="20"/>
                <w:lang w:eastAsia="ru-RU"/>
              </w:rPr>
              <w:t>,0</w:t>
            </w:r>
          </w:p>
        </w:tc>
      </w:tr>
      <w:tr w:rsidR="00FC41F4" w:rsidRPr="00577593" w:rsidTr="00974951">
        <w:tc>
          <w:tcPr>
            <w:tcW w:w="6204" w:type="dxa"/>
            <w:shd w:val="clear" w:color="auto" w:fill="auto"/>
          </w:tcPr>
          <w:p w:rsidR="00FC41F4" w:rsidRPr="00577593" w:rsidRDefault="008925FA" w:rsidP="002000D4">
            <w:pPr>
              <w:spacing w:after="0" w:line="240" w:lineRule="auto"/>
              <w:jc w:val="both"/>
              <w:rPr>
                <w:rFonts w:ascii="Times New Roman" w:hAnsi="Times New Roman"/>
                <w:sz w:val="20"/>
                <w:szCs w:val="20"/>
              </w:rPr>
            </w:pPr>
            <w:r w:rsidRPr="00577593">
              <w:rPr>
                <w:rFonts w:ascii="Times New Roman" w:eastAsia="Times New Roman" w:hAnsi="Times New Roman"/>
                <w:sz w:val="20"/>
                <w:szCs w:val="20"/>
              </w:rPr>
              <w:lastRenderedPageBreak/>
              <w:t>Доля общеобразовательных организаций, в которых созданы условия для обучения лиц с ограниченными</w:t>
            </w:r>
          </w:p>
          <w:p w:rsidR="00FC41F4" w:rsidRPr="00577593" w:rsidRDefault="008925FA" w:rsidP="002000D4">
            <w:pPr>
              <w:spacing w:after="0" w:line="240" w:lineRule="auto"/>
              <w:jc w:val="both"/>
              <w:rPr>
                <w:rFonts w:ascii="Times New Roman" w:eastAsia="Times New Roman" w:hAnsi="Times New Roman"/>
                <w:sz w:val="20"/>
                <w:szCs w:val="20"/>
              </w:rPr>
            </w:pPr>
            <w:r w:rsidRPr="00577593">
              <w:rPr>
                <w:rFonts w:ascii="Times New Roman" w:eastAsia="Times New Roman" w:hAnsi="Times New Roman"/>
                <w:sz w:val="20"/>
                <w:szCs w:val="20"/>
              </w:rPr>
              <w:t>возможностями здоровья, %</w:t>
            </w:r>
          </w:p>
        </w:tc>
        <w:tc>
          <w:tcPr>
            <w:tcW w:w="992" w:type="dxa"/>
            <w:shd w:val="clear" w:color="auto" w:fill="auto"/>
          </w:tcPr>
          <w:p w:rsidR="00FC41F4" w:rsidRPr="00577593" w:rsidRDefault="008925FA" w:rsidP="002000D4">
            <w:pPr>
              <w:widowControl w:val="0"/>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10</w:t>
            </w:r>
            <w:r w:rsidR="00A12DF7" w:rsidRPr="00577593">
              <w:rPr>
                <w:rFonts w:ascii="Times New Roman" w:eastAsia="Times New Roman" w:hAnsi="Times New Roman"/>
                <w:sz w:val="20"/>
                <w:szCs w:val="20"/>
                <w:lang w:eastAsia="ru-RU"/>
              </w:rPr>
              <w:t>,0</w:t>
            </w:r>
          </w:p>
        </w:tc>
        <w:tc>
          <w:tcPr>
            <w:tcW w:w="1134" w:type="dxa"/>
            <w:shd w:val="clear" w:color="auto" w:fill="auto"/>
          </w:tcPr>
          <w:p w:rsidR="00FC41F4" w:rsidRPr="00577593" w:rsidRDefault="008925FA" w:rsidP="002000D4">
            <w:pPr>
              <w:widowControl w:val="0"/>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25,3</w:t>
            </w:r>
          </w:p>
        </w:tc>
        <w:tc>
          <w:tcPr>
            <w:tcW w:w="1015" w:type="dxa"/>
            <w:shd w:val="clear" w:color="auto" w:fill="auto"/>
          </w:tcPr>
          <w:p w:rsidR="00FC41F4" w:rsidRPr="00577593" w:rsidRDefault="008925FA" w:rsidP="002000D4">
            <w:pPr>
              <w:widowControl w:val="0"/>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48</w:t>
            </w:r>
            <w:r w:rsidR="00A12DF7" w:rsidRPr="00577593">
              <w:rPr>
                <w:rFonts w:ascii="Times New Roman" w:eastAsia="Times New Roman" w:hAnsi="Times New Roman"/>
                <w:sz w:val="20"/>
                <w:szCs w:val="20"/>
                <w:lang w:eastAsia="ru-RU"/>
              </w:rPr>
              <w:t>,0</w:t>
            </w:r>
          </w:p>
        </w:tc>
      </w:tr>
    </w:tbl>
    <w:p w:rsidR="00FC41F4" w:rsidRPr="00577593" w:rsidRDefault="008925FA" w:rsidP="004369BA">
      <w:pPr>
        <w:pStyle w:val="aff9"/>
        <w:spacing w:after="0"/>
        <w:ind w:firstLine="709"/>
        <w:rPr>
          <w:rFonts w:ascii="Times New Roman" w:hAnsi="Times New Roman"/>
          <w:i w:val="0"/>
          <w:color w:val="auto"/>
          <w:sz w:val="28"/>
          <w:szCs w:val="28"/>
        </w:rPr>
      </w:pPr>
      <w:r w:rsidRPr="00577593">
        <w:rPr>
          <w:rFonts w:ascii="Times New Roman" w:hAnsi="Times New Roman"/>
          <w:i w:val="0"/>
          <w:color w:val="auto"/>
          <w:sz w:val="28"/>
          <w:szCs w:val="28"/>
        </w:rPr>
        <w:t xml:space="preserve">Примечание </w:t>
      </w:r>
      <w:r w:rsidR="00484779" w:rsidRPr="00577593">
        <w:rPr>
          <w:rFonts w:ascii="Times New Roman" w:hAnsi="Times New Roman"/>
          <w:i w:val="0"/>
          <w:color w:val="auto"/>
          <w:sz w:val="28"/>
          <w:szCs w:val="28"/>
        </w:rPr>
        <w:t>–</w:t>
      </w:r>
      <w:r w:rsidRPr="00577593">
        <w:rPr>
          <w:rFonts w:ascii="Times New Roman" w:hAnsi="Times New Roman"/>
          <w:i w:val="0"/>
          <w:color w:val="auto"/>
          <w:sz w:val="28"/>
          <w:szCs w:val="28"/>
        </w:rPr>
        <w:t xml:space="preserve"> Источник: данные </w:t>
      </w:r>
      <w:r w:rsidRPr="00577593">
        <w:rPr>
          <w:rFonts w:ascii="Times New Roman" w:hAnsi="Times New Roman"/>
          <w:i w:val="0"/>
          <w:iCs w:val="0"/>
          <w:color w:val="auto"/>
          <w:sz w:val="28"/>
          <w:szCs w:val="28"/>
        </w:rPr>
        <w:t>администрации</w:t>
      </w:r>
      <w:r w:rsidRPr="00577593">
        <w:rPr>
          <w:rFonts w:ascii="Times New Roman" w:hAnsi="Times New Roman"/>
          <w:i w:val="0"/>
          <w:color w:val="auto"/>
          <w:sz w:val="28"/>
          <w:szCs w:val="28"/>
        </w:rPr>
        <w:t xml:space="preserve"> города Барнаула</w:t>
      </w:r>
    </w:p>
    <w:p w:rsidR="005B68BD" w:rsidRDefault="005B68BD" w:rsidP="008D738C">
      <w:pPr>
        <w:spacing w:after="0" w:line="240" w:lineRule="auto"/>
        <w:ind w:firstLine="709"/>
        <w:jc w:val="both"/>
        <w:rPr>
          <w:rFonts w:ascii="Times New Roman" w:hAnsi="Times New Roman"/>
          <w:sz w:val="28"/>
          <w:szCs w:val="28"/>
        </w:rPr>
      </w:pPr>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hAnsi="Times New Roman"/>
          <w:sz w:val="28"/>
          <w:szCs w:val="28"/>
        </w:rPr>
        <w:t>К основным проблемам в сфере образования можно отнести:</w:t>
      </w:r>
    </w:p>
    <w:p w:rsidR="00FC41F4" w:rsidRPr="00577593" w:rsidRDefault="008925FA" w:rsidP="008D738C">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 xml:space="preserve">неравномерность территориального размещения дошкольных образовательных организаций; </w:t>
      </w:r>
    </w:p>
    <w:p w:rsidR="00FC41F4" w:rsidRPr="00577593" w:rsidRDefault="008925FA" w:rsidP="008D738C">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 xml:space="preserve">отставание создания новых объектов дошкольного и общего образования относительно жилищного строительства; </w:t>
      </w:r>
    </w:p>
    <w:p w:rsidR="00FC41F4" w:rsidRPr="00577593" w:rsidRDefault="008925FA" w:rsidP="008D738C">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дефицит кадров.</w:t>
      </w:r>
      <w:bookmarkStart w:id="44" w:name="_Toc215347743"/>
    </w:p>
    <w:p w:rsidR="00FC41F4" w:rsidRDefault="008925FA" w:rsidP="008D738C">
      <w:pPr>
        <w:pStyle w:val="3"/>
        <w:spacing w:before="0" w:line="240" w:lineRule="auto"/>
        <w:ind w:firstLine="709"/>
        <w:rPr>
          <w:rFonts w:ascii="Times New Roman" w:hAnsi="Times New Roman"/>
          <w:b/>
          <w:color w:val="auto"/>
          <w:sz w:val="28"/>
          <w:szCs w:val="28"/>
        </w:rPr>
      </w:pPr>
      <w:bookmarkStart w:id="45" w:name="_Toc204922997"/>
      <w:bookmarkStart w:id="46" w:name="_Toc204933331"/>
      <w:bookmarkStart w:id="47" w:name="_Toc208496635"/>
      <w:bookmarkStart w:id="48" w:name="_Toc208668917"/>
      <w:bookmarkStart w:id="49" w:name="_Toc212804266"/>
      <w:r w:rsidRPr="00577593">
        <w:rPr>
          <w:rFonts w:ascii="Times New Roman" w:hAnsi="Times New Roman"/>
          <w:b/>
          <w:color w:val="auto"/>
          <w:sz w:val="28"/>
          <w:szCs w:val="28"/>
        </w:rPr>
        <w:t>2.4.3</w:t>
      </w:r>
      <w:r w:rsidR="0092773C">
        <w:rPr>
          <w:rFonts w:ascii="Times New Roman" w:hAnsi="Times New Roman"/>
          <w:b/>
          <w:color w:val="auto"/>
          <w:sz w:val="28"/>
          <w:szCs w:val="28"/>
        </w:rPr>
        <w:t>.</w:t>
      </w:r>
      <w:r w:rsidRPr="00577593">
        <w:rPr>
          <w:rFonts w:ascii="Times New Roman" w:hAnsi="Times New Roman"/>
          <w:b/>
          <w:color w:val="auto"/>
          <w:sz w:val="28"/>
          <w:szCs w:val="28"/>
        </w:rPr>
        <w:t xml:space="preserve"> Культура</w:t>
      </w:r>
      <w:bookmarkEnd w:id="44"/>
      <w:bookmarkEnd w:id="45"/>
      <w:bookmarkEnd w:id="46"/>
      <w:bookmarkEnd w:id="47"/>
      <w:bookmarkEnd w:id="48"/>
      <w:bookmarkEnd w:id="49"/>
    </w:p>
    <w:p w:rsidR="00974951" w:rsidRPr="00974951" w:rsidRDefault="00974951" w:rsidP="00395C5C">
      <w:pPr>
        <w:spacing w:after="0" w:line="240" w:lineRule="auto"/>
        <w:ind w:firstLine="709"/>
        <w:jc w:val="both"/>
        <w:rPr>
          <w:rFonts w:ascii="Times New Roman" w:eastAsia="Times New Roman" w:hAnsi="Times New Roman"/>
          <w:sz w:val="28"/>
          <w:szCs w:val="28"/>
          <w:lang w:eastAsia="ru-RU"/>
        </w:rPr>
      </w:pPr>
      <w:r w:rsidRPr="00974951">
        <w:rPr>
          <w:rFonts w:ascii="Times New Roman" w:eastAsia="Times New Roman" w:hAnsi="Times New Roman"/>
          <w:sz w:val="28"/>
          <w:szCs w:val="28"/>
          <w:lang w:eastAsia="ru-RU"/>
        </w:rPr>
        <w:t xml:space="preserve">Культурная сфера города Барнаула представляет собой развитую, многофункциональную систему учреждений и организаций, обеспечивающих доступ населения к разнообразным формам культурной, просветительской и творческой деятельности. На территории города функционируют </w:t>
      </w:r>
      <w:r w:rsidRPr="00974951">
        <w:rPr>
          <w:rFonts w:ascii="Times New Roman" w:eastAsia="Times New Roman" w:hAnsi="Times New Roman"/>
          <w:bCs/>
          <w:sz w:val="28"/>
          <w:szCs w:val="28"/>
          <w:lang w:eastAsia="ru-RU"/>
        </w:rPr>
        <w:t>24 библиотеки</w:t>
      </w:r>
      <w:r w:rsidR="00395C5C" w:rsidRPr="00395C5C">
        <w:rPr>
          <w:rFonts w:ascii="Times New Roman" w:eastAsia="Times New Roman" w:hAnsi="Times New Roman"/>
          <w:bCs/>
          <w:sz w:val="28"/>
          <w:szCs w:val="28"/>
          <w:lang w:eastAsia="ru-RU"/>
        </w:rPr>
        <w:t xml:space="preserve">, включая </w:t>
      </w:r>
      <w:r w:rsidRPr="00974951">
        <w:rPr>
          <w:rFonts w:ascii="Times New Roman" w:eastAsia="Times New Roman" w:hAnsi="Times New Roman"/>
          <w:sz w:val="28"/>
          <w:szCs w:val="28"/>
          <w:lang w:eastAsia="ru-RU"/>
        </w:rPr>
        <w:t>три краевые</w:t>
      </w:r>
      <w:r w:rsidR="00395C5C" w:rsidRPr="00395C5C">
        <w:rPr>
          <w:rFonts w:ascii="Times New Roman" w:eastAsia="Times New Roman" w:hAnsi="Times New Roman"/>
          <w:sz w:val="28"/>
          <w:szCs w:val="28"/>
          <w:lang w:eastAsia="ru-RU"/>
        </w:rPr>
        <w:t xml:space="preserve"> и</w:t>
      </w:r>
      <w:r w:rsidRPr="00974951">
        <w:rPr>
          <w:rFonts w:ascii="Times New Roman" w:eastAsia="Times New Roman" w:hAnsi="Times New Roman"/>
          <w:sz w:val="28"/>
          <w:szCs w:val="28"/>
          <w:lang w:eastAsia="ru-RU"/>
        </w:rPr>
        <w:t xml:space="preserve"> </w:t>
      </w:r>
      <w:r w:rsidRPr="00974951">
        <w:rPr>
          <w:rFonts w:ascii="Times New Roman" w:eastAsia="Times New Roman" w:hAnsi="Times New Roman"/>
          <w:bCs/>
          <w:sz w:val="28"/>
          <w:szCs w:val="28"/>
          <w:lang w:eastAsia="ru-RU"/>
        </w:rPr>
        <w:t>Централизованн</w:t>
      </w:r>
      <w:r w:rsidR="00395C5C" w:rsidRPr="00395C5C">
        <w:rPr>
          <w:rFonts w:ascii="Times New Roman" w:eastAsia="Times New Roman" w:hAnsi="Times New Roman"/>
          <w:bCs/>
          <w:sz w:val="28"/>
          <w:szCs w:val="28"/>
          <w:lang w:eastAsia="ru-RU"/>
        </w:rPr>
        <w:t>ую</w:t>
      </w:r>
      <w:r w:rsidRPr="00974951">
        <w:rPr>
          <w:rFonts w:ascii="Times New Roman" w:eastAsia="Times New Roman" w:hAnsi="Times New Roman"/>
          <w:bCs/>
          <w:sz w:val="28"/>
          <w:szCs w:val="28"/>
          <w:lang w:eastAsia="ru-RU"/>
        </w:rPr>
        <w:t xml:space="preserve"> библиотечн</w:t>
      </w:r>
      <w:r w:rsidR="00395C5C" w:rsidRPr="00395C5C">
        <w:rPr>
          <w:rFonts w:ascii="Times New Roman" w:eastAsia="Times New Roman" w:hAnsi="Times New Roman"/>
          <w:bCs/>
          <w:sz w:val="28"/>
          <w:szCs w:val="28"/>
          <w:lang w:eastAsia="ru-RU"/>
        </w:rPr>
        <w:t>ую</w:t>
      </w:r>
      <w:r w:rsidRPr="00974951">
        <w:rPr>
          <w:rFonts w:ascii="Times New Roman" w:eastAsia="Times New Roman" w:hAnsi="Times New Roman"/>
          <w:bCs/>
          <w:sz w:val="28"/>
          <w:szCs w:val="28"/>
          <w:lang w:eastAsia="ru-RU"/>
        </w:rPr>
        <w:t xml:space="preserve"> систем</w:t>
      </w:r>
      <w:r w:rsidR="00395C5C" w:rsidRPr="00395C5C">
        <w:rPr>
          <w:rFonts w:ascii="Times New Roman" w:eastAsia="Times New Roman" w:hAnsi="Times New Roman"/>
          <w:bCs/>
          <w:sz w:val="28"/>
          <w:szCs w:val="28"/>
          <w:lang w:eastAsia="ru-RU"/>
        </w:rPr>
        <w:t>у</w:t>
      </w:r>
      <w:r w:rsidRPr="00974951">
        <w:rPr>
          <w:rFonts w:ascii="Times New Roman" w:eastAsia="Times New Roman" w:hAnsi="Times New Roman"/>
          <w:bCs/>
          <w:sz w:val="28"/>
          <w:szCs w:val="28"/>
          <w:lang w:eastAsia="ru-RU"/>
        </w:rPr>
        <w:t xml:space="preserve"> города Барнаула</w:t>
      </w:r>
      <w:r w:rsidR="00395C5C">
        <w:rPr>
          <w:rFonts w:ascii="Times New Roman" w:eastAsia="Times New Roman" w:hAnsi="Times New Roman"/>
          <w:bCs/>
          <w:sz w:val="28"/>
          <w:szCs w:val="28"/>
          <w:lang w:eastAsia="ru-RU"/>
        </w:rPr>
        <w:t xml:space="preserve"> (</w:t>
      </w:r>
      <w:r w:rsidRPr="00974951">
        <w:rPr>
          <w:rFonts w:ascii="Times New Roman" w:eastAsia="Times New Roman" w:hAnsi="Times New Roman"/>
          <w:sz w:val="28"/>
          <w:szCs w:val="28"/>
          <w:lang w:eastAsia="ru-RU"/>
        </w:rPr>
        <w:t>18 библиотек</w:t>
      </w:r>
      <w:r w:rsidRPr="00974951">
        <w:rPr>
          <w:rFonts w:ascii="Times New Roman" w:eastAsia="Times New Roman" w:hAnsi="Times New Roman"/>
          <w:sz w:val="28"/>
          <w:szCs w:val="28"/>
          <w:lang w:eastAsia="ru-RU"/>
        </w:rPr>
        <w:noBreakHyphen/>
        <w:t>филиалов и три библиотеки в Домах культуры</w:t>
      </w:r>
      <w:r w:rsidR="00395C5C">
        <w:rPr>
          <w:rFonts w:ascii="Times New Roman" w:eastAsia="Times New Roman" w:hAnsi="Times New Roman"/>
          <w:sz w:val="28"/>
          <w:szCs w:val="28"/>
          <w:lang w:eastAsia="ru-RU"/>
        </w:rPr>
        <w:t>)</w:t>
      </w:r>
      <w:r w:rsidRPr="00974951">
        <w:rPr>
          <w:rFonts w:ascii="Times New Roman" w:eastAsia="Times New Roman" w:hAnsi="Times New Roman"/>
          <w:sz w:val="28"/>
          <w:szCs w:val="28"/>
          <w:lang w:eastAsia="ru-RU"/>
        </w:rPr>
        <w:t xml:space="preserve">. В </w:t>
      </w:r>
      <w:r w:rsidR="00395C5C">
        <w:rPr>
          <w:rFonts w:ascii="Times New Roman" w:eastAsia="Times New Roman" w:hAnsi="Times New Roman"/>
          <w:sz w:val="28"/>
          <w:szCs w:val="28"/>
          <w:lang w:eastAsia="ru-RU"/>
        </w:rPr>
        <w:t>городе</w:t>
      </w:r>
      <w:r w:rsidRPr="00974951">
        <w:rPr>
          <w:rFonts w:ascii="Times New Roman" w:eastAsia="Times New Roman" w:hAnsi="Times New Roman"/>
          <w:sz w:val="28"/>
          <w:szCs w:val="28"/>
          <w:lang w:eastAsia="ru-RU"/>
        </w:rPr>
        <w:t xml:space="preserve"> действуют </w:t>
      </w:r>
      <w:r w:rsidRPr="00974951">
        <w:rPr>
          <w:rFonts w:ascii="Times New Roman" w:eastAsia="Times New Roman" w:hAnsi="Times New Roman"/>
          <w:bCs/>
          <w:sz w:val="28"/>
          <w:szCs w:val="28"/>
          <w:lang w:eastAsia="ru-RU"/>
        </w:rPr>
        <w:t>три краевых музея</w:t>
      </w:r>
      <w:r w:rsidRPr="00974951">
        <w:rPr>
          <w:rFonts w:ascii="Times New Roman" w:eastAsia="Times New Roman" w:hAnsi="Times New Roman"/>
          <w:sz w:val="28"/>
          <w:szCs w:val="28"/>
          <w:lang w:eastAsia="ru-RU"/>
        </w:rPr>
        <w:t xml:space="preserve">: Государственный художественный музей Алтайского края, Алтайский государственный краеведческий музей и Государственный музей истории литературы, искусства и культуры Алтая, а также </w:t>
      </w:r>
      <w:r w:rsidRPr="00974951">
        <w:rPr>
          <w:rFonts w:ascii="Times New Roman" w:eastAsia="Times New Roman" w:hAnsi="Times New Roman"/>
          <w:bCs/>
          <w:sz w:val="28"/>
          <w:szCs w:val="28"/>
          <w:lang w:eastAsia="ru-RU"/>
        </w:rPr>
        <w:t>муниципальный музей «Город»</w:t>
      </w:r>
      <w:r w:rsidRPr="00974951">
        <w:rPr>
          <w:rFonts w:ascii="Times New Roman" w:eastAsia="Times New Roman" w:hAnsi="Times New Roman"/>
          <w:sz w:val="28"/>
          <w:szCs w:val="28"/>
          <w:lang w:eastAsia="ru-RU"/>
        </w:rPr>
        <w:t xml:space="preserve">. </w:t>
      </w:r>
      <w:r w:rsidRPr="00974951">
        <w:rPr>
          <w:rFonts w:ascii="Times New Roman" w:eastAsia="Times New Roman" w:hAnsi="Times New Roman"/>
          <w:bCs/>
          <w:sz w:val="28"/>
          <w:szCs w:val="28"/>
          <w:lang w:eastAsia="ru-RU"/>
        </w:rPr>
        <w:t>Театральная сеть</w:t>
      </w:r>
      <w:r w:rsidRPr="00974951">
        <w:rPr>
          <w:rFonts w:ascii="Times New Roman" w:eastAsia="Times New Roman" w:hAnsi="Times New Roman"/>
          <w:sz w:val="28"/>
          <w:szCs w:val="28"/>
          <w:lang w:eastAsia="ru-RU"/>
        </w:rPr>
        <w:t xml:space="preserve"> представлена четырьмя учреждениями: Алтайским государственным театром кукол «Сказка», Алтайским краевым театром драмы им. В.М. Шукшина, Алтайским государственным театром для детей и молодежи им. В.С. Золотухина и Алтайским государственным музыкальным театром. В структуру культурного пространства города также входит </w:t>
      </w:r>
      <w:r w:rsidRPr="00974951">
        <w:rPr>
          <w:rFonts w:ascii="Times New Roman" w:eastAsia="Times New Roman" w:hAnsi="Times New Roman"/>
          <w:bCs/>
          <w:sz w:val="28"/>
          <w:szCs w:val="28"/>
          <w:lang w:eastAsia="ru-RU"/>
        </w:rPr>
        <w:t>Государственная филармония Алтайского края</w:t>
      </w:r>
      <w:r w:rsidRPr="00974951">
        <w:rPr>
          <w:rFonts w:ascii="Times New Roman" w:eastAsia="Times New Roman" w:hAnsi="Times New Roman"/>
          <w:sz w:val="28"/>
          <w:szCs w:val="28"/>
          <w:lang w:eastAsia="ru-RU"/>
        </w:rPr>
        <w:t>.</w:t>
      </w:r>
      <w:r w:rsidR="00395C5C" w:rsidRPr="00395C5C">
        <w:rPr>
          <w:rFonts w:ascii="Times New Roman" w:eastAsia="Times New Roman" w:hAnsi="Times New Roman"/>
          <w:sz w:val="28"/>
          <w:szCs w:val="28"/>
          <w:lang w:eastAsia="ru-RU"/>
        </w:rPr>
        <w:t xml:space="preserve"> </w:t>
      </w:r>
      <w:r w:rsidRPr="00974951">
        <w:rPr>
          <w:rFonts w:ascii="Times New Roman" w:eastAsia="Times New Roman" w:hAnsi="Times New Roman"/>
          <w:sz w:val="28"/>
          <w:szCs w:val="28"/>
          <w:lang w:eastAsia="ru-RU"/>
        </w:rPr>
        <w:t xml:space="preserve">В </w:t>
      </w:r>
      <w:r w:rsidR="00395C5C" w:rsidRPr="00395C5C">
        <w:rPr>
          <w:rFonts w:ascii="Times New Roman" w:eastAsia="Times New Roman" w:hAnsi="Times New Roman"/>
          <w:sz w:val="28"/>
          <w:szCs w:val="28"/>
          <w:lang w:eastAsia="ru-RU"/>
        </w:rPr>
        <w:t>городе</w:t>
      </w:r>
      <w:r w:rsidRPr="00974951">
        <w:rPr>
          <w:rFonts w:ascii="Times New Roman" w:eastAsia="Times New Roman" w:hAnsi="Times New Roman"/>
          <w:sz w:val="28"/>
          <w:szCs w:val="28"/>
          <w:lang w:eastAsia="ru-RU"/>
        </w:rPr>
        <w:t xml:space="preserve"> </w:t>
      </w:r>
      <w:r w:rsidRPr="00974951">
        <w:rPr>
          <w:rFonts w:ascii="Times New Roman" w:eastAsia="Times New Roman" w:hAnsi="Times New Roman"/>
          <w:bCs/>
          <w:sz w:val="28"/>
          <w:szCs w:val="28"/>
          <w:lang w:eastAsia="ru-RU"/>
        </w:rPr>
        <w:t>11 дворцов и домов культуры</w:t>
      </w:r>
      <w:r w:rsidRPr="00974951">
        <w:rPr>
          <w:rFonts w:ascii="Times New Roman" w:eastAsia="Times New Roman" w:hAnsi="Times New Roman"/>
          <w:sz w:val="28"/>
          <w:szCs w:val="28"/>
          <w:lang w:eastAsia="ru-RU"/>
        </w:rPr>
        <w:t xml:space="preserve">, включая восемь муниципальных. Ключевую роль </w:t>
      </w:r>
      <w:r w:rsidR="00395C5C">
        <w:rPr>
          <w:rFonts w:ascii="Times New Roman" w:eastAsia="Times New Roman" w:hAnsi="Times New Roman"/>
          <w:sz w:val="28"/>
          <w:szCs w:val="28"/>
          <w:lang w:eastAsia="ru-RU"/>
        </w:rPr>
        <w:br/>
      </w:r>
      <w:r w:rsidRPr="00974951">
        <w:rPr>
          <w:rFonts w:ascii="Times New Roman" w:eastAsia="Times New Roman" w:hAnsi="Times New Roman"/>
          <w:sz w:val="28"/>
          <w:szCs w:val="28"/>
          <w:lang w:eastAsia="ru-RU"/>
        </w:rPr>
        <w:t xml:space="preserve">в профессиональном искусстве города играют </w:t>
      </w:r>
      <w:r w:rsidRPr="00974951">
        <w:rPr>
          <w:rFonts w:ascii="Times New Roman" w:eastAsia="Times New Roman" w:hAnsi="Times New Roman"/>
          <w:bCs/>
          <w:sz w:val="28"/>
          <w:szCs w:val="28"/>
          <w:lang w:eastAsia="ru-RU"/>
        </w:rPr>
        <w:t>три творческих коллектива</w:t>
      </w:r>
      <w:r w:rsidRPr="00974951">
        <w:rPr>
          <w:rFonts w:ascii="Times New Roman" w:eastAsia="Times New Roman" w:hAnsi="Times New Roman"/>
          <w:sz w:val="28"/>
          <w:szCs w:val="28"/>
          <w:lang w:eastAsia="ru-RU"/>
        </w:rPr>
        <w:t xml:space="preserve">: Русский камерный оркестр Барнаула, Барнаульский духовой оркестр </w:t>
      </w:r>
      <w:r w:rsidR="00395C5C">
        <w:rPr>
          <w:rFonts w:ascii="Times New Roman" w:eastAsia="Times New Roman" w:hAnsi="Times New Roman"/>
          <w:sz w:val="28"/>
          <w:szCs w:val="28"/>
          <w:lang w:eastAsia="ru-RU"/>
        </w:rPr>
        <w:br/>
      </w:r>
      <w:r w:rsidRPr="00974951">
        <w:rPr>
          <w:rFonts w:ascii="Times New Roman" w:eastAsia="Times New Roman" w:hAnsi="Times New Roman"/>
          <w:sz w:val="28"/>
          <w:szCs w:val="28"/>
          <w:lang w:eastAsia="ru-RU"/>
        </w:rPr>
        <w:t xml:space="preserve">и Барнаульский академический хор им. А.Б. Тарнецкого. В сфере дополнительного образования функционируют </w:t>
      </w:r>
      <w:r w:rsidRPr="00974951">
        <w:rPr>
          <w:rFonts w:ascii="Times New Roman" w:eastAsia="Times New Roman" w:hAnsi="Times New Roman"/>
          <w:bCs/>
          <w:sz w:val="28"/>
          <w:szCs w:val="28"/>
          <w:lang w:eastAsia="ru-RU"/>
        </w:rPr>
        <w:t>10 учреждений</w:t>
      </w:r>
      <w:r w:rsidR="00395C5C">
        <w:rPr>
          <w:rFonts w:ascii="Times New Roman" w:eastAsia="Times New Roman" w:hAnsi="Times New Roman"/>
          <w:bCs/>
          <w:sz w:val="28"/>
          <w:szCs w:val="28"/>
          <w:lang w:eastAsia="ru-RU"/>
        </w:rPr>
        <w:t xml:space="preserve"> </w:t>
      </w:r>
      <w:r w:rsidR="00395C5C">
        <w:rPr>
          <w:rFonts w:ascii="Times New Roman" w:eastAsia="Times New Roman" w:hAnsi="Times New Roman"/>
          <w:bCs/>
          <w:sz w:val="28"/>
          <w:szCs w:val="28"/>
          <w:lang w:eastAsia="ru-RU"/>
        </w:rPr>
        <w:br/>
        <w:t>(</w:t>
      </w:r>
      <w:r w:rsidRPr="00974951">
        <w:rPr>
          <w:rFonts w:ascii="Times New Roman" w:eastAsia="Times New Roman" w:hAnsi="Times New Roman"/>
          <w:sz w:val="28"/>
          <w:szCs w:val="28"/>
          <w:lang w:eastAsia="ru-RU"/>
        </w:rPr>
        <w:t>три музыкальные школы, одн</w:t>
      </w:r>
      <w:r w:rsidR="00395C5C">
        <w:rPr>
          <w:rFonts w:ascii="Times New Roman" w:eastAsia="Times New Roman" w:hAnsi="Times New Roman"/>
          <w:sz w:val="28"/>
          <w:szCs w:val="28"/>
          <w:lang w:eastAsia="ru-RU"/>
        </w:rPr>
        <w:t>а</w:t>
      </w:r>
      <w:r w:rsidRPr="00974951">
        <w:rPr>
          <w:rFonts w:ascii="Times New Roman" w:eastAsia="Times New Roman" w:hAnsi="Times New Roman"/>
          <w:sz w:val="28"/>
          <w:szCs w:val="28"/>
          <w:lang w:eastAsia="ru-RU"/>
        </w:rPr>
        <w:t xml:space="preserve"> художественн</w:t>
      </w:r>
      <w:r w:rsidR="00395C5C">
        <w:rPr>
          <w:rFonts w:ascii="Times New Roman" w:eastAsia="Times New Roman" w:hAnsi="Times New Roman"/>
          <w:sz w:val="28"/>
          <w:szCs w:val="28"/>
          <w:lang w:eastAsia="ru-RU"/>
        </w:rPr>
        <w:t>ая</w:t>
      </w:r>
      <w:r w:rsidRPr="00974951">
        <w:rPr>
          <w:rFonts w:ascii="Times New Roman" w:eastAsia="Times New Roman" w:hAnsi="Times New Roman"/>
          <w:sz w:val="28"/>
          <w:szCs w:val="28"/>
          <w:lang w:eastAsia="ru-RU"/>
        </w:rPr>
        <w:t xml:space="preserve"> школ</w:t>
      </w:r>
      <w:r w:rsidR="00395C5C">
        <w:rPr>
          <w:rFonts w:ascii="Times New Roman" w:eastAsia="Times New Roman" w:hAnsi="Times New Roman"/>
          <w:sz w:val="28"/>
          <w:szCs w:val="28"/>
          <w:lang w:eastAsia="ru-RU"/>
        </w:rPr>
        <w:t xml:space="preserve">а, </w:t>
      </w:r>
      <w:r w:rsidRPr="00974951">
        <w:rPr>
          <w:rFonts w:ascii="Times New Roman" w:eastAsia="Times New Roman" w:hAnsi="Times New Roman"/>
          <w:sz w:val="28"/>
          <w:szCs w:val="28"/>
          <w:lang w:eastAsia="ru-RU"/>
        </w:rPr>
        <w:t>шесть школ искусств</w:t>
      </w:r>
      <w:r w:rsidR="00395C5C">
        <w:rPr>
          <w:rFonts w:ascii="Times New Roman" w:eastAsia="Times New Roman" w:hAnsi="Times New Roman"/>
          <w:sz w:val="28"/>
          <w:szCs w:val="28"/>
          <w:lang w:eastAsia="ru-RU"/>
        </w:rPr>
        <w:t>)</w:t>
      </w:r>
      <w:r w:rsidRPr="00974951">
        <w:rPr>
          <w:rFonts w:ascii="Times New Roman" w:eastAsia="Times New Roman" w:hAnsi="Times New Roman"/>
          <w:sz w:val="28"/>
          <w:szCs w:val="28"/>
          <w:lang w:eastAsia="ru-RU"/>
        </w:rPr>
        <w:t xml:space="preserve">. Важным элементом </w:t>
      </w:r>
      <w:r w:rsidR="00395C5C">
        <w:rPr>
          <w:rFonts w:ascii="Times New Roman" w:eastAsia="Times New Roman" w:hAnsi="Times New Roman"/>
          <w:sz w:val="28"/>
          <w:szCs w:val="28"/>
          <w:lang w:eastAsia="ru-RU"/>
        </w:rPr>
        <w:t xml:space="preserve">выступает </w:t>
      </w:r>
      <w:r w:rsidRPr="00974951">
        <w:rPr>
          <w:rFonts w:ascii="Times New Roman" w:eastAsia="Times New Roman" w:hAnsi="Times New Roman"/>
          <w:bCs/>
          <w:sz w:val="28"/>
          <w:szCs w:val="28"/>
          <w:lang w:eastAsia="ru-RU"/>
        </w:rPr>
        <w:t>культурно</w:t>
      </w:r>
      <w:r w:rsidRPr="00974951">
        <w:rPr>
          <w:rFonts w:ascii="Times New Roman" w:eastAsia="Times New Roman" w:hAnsi="Times New Roman"/>
          <w:bCs/>
          <w:sz w:val="28"/>
          <w:szCs w:val="28"/>
          <w:lang w:eastAsia="ru-RU"/>
        </w:rPr>
        <w:noBreakHyphen/>
        <w:t>просветительский центр «Планетарий»</w:t>
      </w:r>
      <w:r w:rsidRPr="00974951">
        <w:rPr>
          <w:rFonts w:ascii="Times New Roman" w:eastAsia="Times New Roman" w:hAnsi="Times New Roman"/>
          <w:sz w:val="28"/>
          <w:szCs w:val="28"/>
          <w:lang w:eastAsia="ru-RU"/>
        </w:rPr>
        <w:t>.</w:t>
      </w:r>
    </w:p>
    <w:p w:rsidR="00395C5C" w:rsidRPr="00395C5C" w:rsidRDefault="00395C5C" w:rsidP="00395C5C">
      <w:pPr>
        <w:spacing w:after="0" w:line="240" w:lineRule="auto"/>
        <w:ind w:firstLine="709"/>
        <w:jc w:val="both"/>
        <w:rPr>
          <w:rFonts w:ascii="Times New Roman" w:hAnsi="Times New Roman"/>
          <w:sz w:val="28"/>
          <w:szCs w:val="28"/>
        </w:rPr>
      </w:pPr>
      <w:bookmarkStart w:id="50" w:name="_Ref199385925"/>
      <w:r w:rsidRPr="00395C5C">
        <w:rPr>
          <w:rFonts w:ascii="Times New Roman" w:hAnsi="Times New Roman"/>
          <w:sz w:val="28"/>
          <w:szCs w:val="28"/>
        </w:rPr>
        <w:t>В целях развития культуры в городе реализуются:</w:t>
      </w:r>
    </w:p>
    <w:p w:rsidR="00395C5C" w:rsidRPr="00395C5C" w:rsidRDefault="00395C5C" w:rsidP="00395C5C">
      <w:pPr>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395C5C">
        <w:rPr>
          <w:rFonts w:ascii="Times New Roman" w:eastAsia="Times New Roman" w:hAnsi="Times New Roman"/>
          <w:sz w:val="28"/>
          <w:szCs w:val="28"/>
          <w:lang w:eastAsia="ru-RU"/>
        </w:rPr>
        <w:t>государственная программа «Развитие культуры Алтайского края»;</w:t>
      </w:r>
    </w:p>
    <w:p w:rsidR="00395C5C" w:rsidRPr="00395C5C" w:rsidRDefault="00395C5C" w:rsidP="00395C5C">
      <w:pPr>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395C5C">
        <w:rPr>
          <w:rFonts w:ascii="Times New Roman" w:eastAsia="Times New Roman" w:hAnsi="Times New Roman"/>
          <w:sz w:val="28"/>
          <w:szCs w:val="28"/>
          <w:lang w:eastAsia="ru-RU"/>
        </w:rPr>
        <w:t>муниципальная программа «Развитие культуры города Барнаула».</w:t>
      </w:r>
    </w:p>
    <w:p w:rsidR="00395C5C" w:rsidRPr="00395C5C" w:rsidRDefault="00395C5C" w:rsidP="00395C5C">
      <w:pPr>
        <w:spacing w:after="0" w:line="240" w:lineRule="auto"/>
        <w:ind w:firstLine="709"/>
        <w:jc w:val="both"/>
        <w:rPr>
          <w:rFonts w:ascii="Times New Roman" w:hAnsi="Times New Roman"/>
          <w:sz w:val="28"/>
          <w:szCs w:val="28"/>
        </w:rPr>
      </w:pPr>
      <w:r w:rsidRPr="00395C5C">
        <w:rPr>
          <w:rFonts w:ascii="Times New Roman" w:hAnsi="Times New Roman"/>
          <w:sz w:val="28"/>
          <w:szCs w:val="28"/>
        </w:rPr>
        <w:t xml:space="preserve">Число посещений культурных мероприятий в 2024 году превысило </w:t>
      </w:r>
      <w:r w:rsidRPr="00395C5C">
        <w:rPr>
          <w:rFonts w:ascii="Times New Roman" w:hAnsi="Times New Roman"/>
          <w:sz w:val="28"/>
          <w:szCs w:val="28"/>
        </w:rPr>
        <w:br/>
        <w:t xml:space="preserve">1,5 млн человек (2017 год – 658 тысяч человек). Ежегодно в городе проводится свыше 80 крупных культурно-массовых мероприятий. Организации культуры города Барнаула и события, проводимые </w:t>
      </w:r>
      <w:r w:rsidRPr="00395C5C">
        <w:rPr>
          <w:rFonts w:ascii="Times New Roman" w:hAnsi="Times New Roman"/>
          <w:sz w:val="28"/>
          <w:szCs w:val="28"/>
        </w:rPr>
        <w:br/>
        <w:t xml:space="preserve">на территории города, востребованы жителями других муниципалитетов </w:t>
      </w:r>
      <w:r w:rsidRPr="00395C5C">
        <w:rPr>
          <w:rFonts w:ascii="Times New Roman" w:hAnsi="Times New Roman"/>
          <w:sz w:val="28"/>
          <w:szCs w:val="28"/>
        </w:rPr>
        <w:lastRenderedPageBreak/>
        <w:t>Алтайского края. Город Барнаул является также центром подготовки кадров в области культуры.</w:t>
      </w:r>
    </w:p>
    <w:p w:rsidR="00395C5C" w:rsidRPr="00395C5C" w:rsidRDefault="00395C5C" w:rsidP="00395C5C">
      <w:pPr>
        <w:spacing w:after="0" w:line="240" w:lineRule="auto"/>
        <w:ind w:firstLine="709"/>
        <w:jc w:val="both"/>
        <w:rPr>
          <w:rFonts w:ascii="Times New Roman" w:hAnsi="Times New Roman"/>
          <w:sz w:val="28"/>
          <w:szCs w:val="28"/>
        </w:rPr>
      </w:pPr>
      <w:r w:rsidRPr="00395C5C">
        <w:rPr>
          <w:rFonts w:ascii="Times New Roman" w:hAnsi="Times New Roman"/>
          <w:sz w:val="28"/>
          <w:szCs w:val="28"/>
        </w:rPr>
        <w:t>За 2017-2024 годы удалось реализовать ряд мероприятий, намеченных в Стратегии социально-экономического развития города Барнаула до 2025 года:</w:t>
      </w:r>
    </w:p>
    <w:p w:rsidR="00395C5C" w:rsidRPr="00395C5C" w:rsidRDefault="00395C5C" w:rsidP="00395C5C">
      <w:pPr>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395C5C">
        <w:rPr>
          <w:rFonts w:ascii="Times New Roman" w:eastAsia="Times New Roman" w:hAnsi="Times New Roman"/>
          <w:sz w:val="28"/>
          <w:szCs w:val="28"/>
          <w:lang w:eastAsia="ru-RU"/>
        </w:rPr>
        <w:t xml:space="preserve">развитие (культурное наполнение) пешеходной зоны на </w:t>
      </w:r>
      <w:r w:rsidRPr="00395C5C">
        <w:rPr>
          <w:rFonts w:ascii="Times New Roman" w:eastAsia="Times New Roman" w:hAnsi="Times New Roman"/>
          <w:sz w:val="28"/>
          <w:szCs w:val="28"/>
          <w:lang w:eastAsia="ru-RU"/>
        </w:rPr>
        <w:br/>
        <w:t>ул. Мало-Тобольской;</w:t>
      </w:r>
    </w:p>
    <w:p w:rsidR="00395C5C" w:rsidRPr="00395C5C" w:rsidRDefault="00395C5C" w:rsidP="00395C5C">
      <w:pPr>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395C5C">
        <w:rPr>
          <w:rFonts w:ascii="Times New Roman" w:eastAsia="Times New Roman" w:hAnsi="Times New Roman"/>
          <w:sz w:val="28"/>
          <w:szCs w:val="28"/>
          <w:lang w:eastAsia="ru-RU"/>
        </w:rPr>
        <w:t>строительство нового здания Алтайского государственного театра кукол «Сказка»;</w:t>
      </w:r>
    </w:p>
    <w:p w:rsidR="00395C5C" w:rsidRPr="00395C5C" w:rsidRDefault="00395C5C" w:rsidP="00395C5C">
      <w:pPr>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395C5C">
        <w:rPr>
          <w:rFonts w:ascii="Times New Roman" w:eastAsia="Times New Roman" w:hAnsi="Times New Roman"/>
          <w:sz w:val="28"/>
          <w:szCs w:val="28"/>
          <w:lang w:eastAsia="ru-RU"/>
        </w:rPr>
        <w:t xml:space="preserve">создание общественных консультационных, правовых, коммуникационных и досуговых центров в муниципальных библиотеках города; </w:t>
      </w:r>
    </w:p>
    <w:p w:rsidR="00395C5C" w:rsidRPr="00395C5C" w:rsidRDefault="00395C5C" w:rsidP="00395C5C">
      <w:pPr>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395C5C">
        <w:rPr>
          <w:rFonts w:ascii="Times New Roman" w:eastAsia="Times New Roman" w:hAnsi="Times New Roman"/>
          <w:sz w:val="28"/>
          <w:szCs w:val="28"/>
          <w:lang w:eastAsia="ru-RU"/>
        </w:rPr>
        <w:t>модернизация учреждений культуры за счет внедрения информационных технологий в культурной сфере: формирование электронных баз данных и обеспечение использования современных способов передачи информации.</w:t>
      </w:r>
    </w:p>
    <w:p w:rsidR="00395C5C" w:rsidRPr="00395C5C" w:rsidRDefault="00395C5C" w:rsidP="00395C5C">
      <w:pPr>
        <w:spacing w:after="0" w:line="240" w:lineRule="auto"/>
        <w:ind w:firstLine="709"/>
        <w:jc w:val="both"/>
        <w:rPr>
          <w:rFonts w:ascii="Times New Roman" w:hAnsi="Times New Roman"/>
          <w:sz w:val="28"/>
          <w:szCs w:val="28"/>
        </w:rPr>
      </w:pPr>
      <w:r w:rsidRPr="00395C5C">
        <w:rPr>
          <w:rFonts w:ascii="Times New Roman" w:hAnsi="Times New Roman"/>
          <w:sz w:val="28"/>
          <w:szCs w:val="28"/>
        </w:rPr>
        <w:t>Проведено благоустройство парка культуры и отдыха «Центральный». Культурно-просветительский центр «Планетарий» с 2022 года располагается в новом здании, проведена его модернизация. Завершается реконструкция Музея военной истории (подразделение Алтайского государственного краеведческого музея).</w:t>
      </w:r>
    </w:p>
    <w:p w:rsidR="00395C5C" w:rsidRPr="00395C5C" w:rsidRDefault="00395C5C" w:rsidP="00395C5C">
      <w:pPr>
        <w:spacing w:after="0" w:line="240" w:lineRule="auto"/>
        <w:ind w:firstLine="709"/>
        <w:jc w:val="both"/>
        <w:rPr>
          <w:rFonts w:ascii="Times New Roman" w:hAnsi="Times New Roman"/>
          <w:sz w:val="28"/>
          <w:szCs w:val="28"/>
        </w:rPr>
      </w:pPr>
      <w:r w:rsidRPr="00395C5C">
        <w:rPr>
          <w:rFonts w:ascii="Times New Roman" w:hAnsi="Times New Roman"/>
          <w:sz w:val="28"/>
          <w:szCs w:val="28"/>
        </w:rPr>
        <w:t>Вместе с тем не удалось провести музеефикацию объектов комплекса Барнаульского сереброплавильного завода, реконструировать здания Алтайского государственного краеведческого музея и Государственного художественного музея Алтайского края, создать многофункциональный конгрессно-выставочный центр, ориентированный на проведение масштабных мероприятий регионального уровня.</w:t>
      </w:r>
    </w:p>
    <w:p w:rsidR="00395C5C" w:rsidRPr="00395C5C" w:rsidRDefault="00395C5C" w:rsidP="00395C5C">
      <w:pPr>
        <w:spacing w:after="0" w:line="240" w:lineRule="auto"/>
        <w:ind w:firstLine="709"/>
        <w:jc w:val="both"/>
        <w:rPr>
          <w:rFonts w:ascii="Times New Roman" w:hAnsi="Times New Roman"/>
          <w:sz w:val="28"/>
          <w:szCs w:val="28"/>
        </w:rPr>
      </w:pPr>
      <w:r w:rsidRPr="00395C5C">
        <w:rPr>
          <w:rFonts w:ascii="Times New Roman" w:hAnsi="Times New Roman"/>
          <w:sz w:val="28"/>
          <w:szCs w:val="28"/>
        </w:rPr>
        <w:t>В 2025 году на территории Алтайского края проведен Международный фестиваль искусств «Наш общий дом – Алтай», в котором приняли участие профессиональные творческие коллективы, хореографические и вокальные ансамбли, оркестры, в том числе делегации Казахстана, Китая, Монголии.</w:t>
      </w:r>
    </w:p>
    <w:p w:rsidR="00395C5C" w:rsidRPr="00395C5C" w:rsidRDefault="00395C5C" w:rsidP="00395C5C">
      <w:pPr>
        <w:spacing w:after="0" w:line="240" w:lineRule="auto"/>
        <w:ind w:firstLine="709"/>
        <w:jc w:val="both"/>
        <w:rPr>
          <w:rFonts w:ascii="Times New Roman" w:hAnsi="Times New Roman"/>
          <w:sz w:val="28"/>
          <w:szCs w:val="28"/>
        </w:rPr>
      </w:pPr>
      <w:r w:rsidRPr="00395C5C">
        <w:rPr>
          <w:rFonts w:ascii="Times New Roman" w:hAnsi="Times New Roman"/>
          <w:sz w:val="28"/>
          <w:szCs w:val="28"/>
        </w:rPr>
        <w:t xml:space="preserve">Увеличение спроса на дополнительное образование в сфере культуры, </w:t>
      </w:r>
      <w:r w:rsidRPr="00395C5C">
        <w:rPr>
          <w:rFonts w:ascii="Times New Roman" w:hAnsi="Times New Roman"/>
          <w:sz w:val="28"/>
          <w:szCs w:val="28"/>
        </w:rPr>
        <w:br/>
        <w:t xml:space="preserve">а также новое жилищное строительство обусловливают необходимость создания новых организаций дополнительного образования. На 2026 год запланировано строительство детской школы искусств на 600 обучающихся </w:t>
      </w:r>
      <w:r w:rsidRPr="00395C5C">
        <w:rPr>
          <w:rFonts w:ascii="Times New Roman" w:hAnsi="Times New Roman"/>
          <w:sz w:val="28"/>
          <w:szCs w:val="28"/>
        </w:rPr>
        <w:br/>
        <w:t>в Индустриальном районе.</w:t>
      </w:r>
    </w:p>
    <w:p w:rsidR="00395C5C" w:rsidRPr="00395C5C" w:rsidRDefault="00395C5C" w:rsidP="00395C5C">
      <w:pPr>
        <w:spacing w:after="0" w:line="240" w:lineRule="auto"/>
        <w:ind w:firstLine="709"/>
        <w:jc w:val="both"/>
        <w:rPr>
          <w:rFonts w:ascii="Times New Roman" w:hAnsi="Times New Roman"/>
          <w:sz w:val="28"/>
          <w:szCs w:val="28"/>
        </w:rPr>
      </w:pPr>
      <w:r w:rsidRPr="00395C5C">
        <w:rPr>
          <w:rFonts w:ascii="Times New Roman" w:hAnsi="Times New Roman"/>
          <w:sz w:val="28"/>
          <w:szCs w:val="28"/>
        </w:rPr>
        <w:t xml:space="preserve">По результатам проведения независимой оценки качества условий оказания услуг организациями культуры в Алтайском крае в 2024 году расположенные в городе Барнауле организации получили итоговые баллы </w:t>
      </w:r>
      <w:r w:rsidRPr="00395C5C">
        <w:rPr>
          <w:rFonts w:ascii="Times New Roman" w:hAnsi="Times New Roman"/>
          <w:sz w:val="28"/>
          <w:szCs w:val="28"/>
        </w:rPr>
        <w:br/>
        <w:t>от 88,8 баллов из 100 и выше.</w:t>
      </w:r>
    </w:p>
    <w:p w:rsidR="00395C5C" w:rsidRPr="00395C5C" w:rsidRDefault="00395C5C" w:rsidP="00395C5C">
      <w:pPr>
        <w:spacing w:after="0" w:line="240" w:lineRule="auto"/>
        <w:ind w:firstLine="709"/>
        <w:jc w:val="both"/>
        <w:rPr>
          <w:rFonts w:ascii="Times New Roman" w:hAnsi="Times New Roman"/>
          <w:sz w:val="28"/>
          <w:szCs w:val="28"/>
        </w:rPr>
      </w:pPr>
      <w:r w:rsidRPr="00395C5C">
        <w:rPr>
          <w:rFonts w:ascii="Times New Roman" w:hAnsi="Times New Roman"/>
          <w:sz w:val="28"/>
          <w:szCs w:val="28"/>
        </w:rPr>
        <w:t xml:space="preserve">Основные показатели, характеризующие сферу культуры в городе Барнауле, приведены в Таблице 4. </w:t>
      </w:r>
    </w:p>
    <w:p w:rsidR="00395C5C" w:rsidRPr="00395C5C" w:rsidRDefault="00395C5C" w:rsidP="00395C5C">
      <w:pPr>
        <w:spacing w:after="160" w:line="259" w:lineRule="auto"/>
        <w:rPr>
          <w:rFonts w:asciiTheme="minorHAnsi" w:eastAsiaTheme="minorHAnsi" w:hAnsiTheme="minorHAnsi" w:cstheme="minorBidi"/>
        </w:rPr>
      </w:pPr>
    </w:p>
    <w:p w:rsidR="00FC41F4" w:rsidRPr="00577593" w:rsidRDefault="008925FA" w:rsidP="002000D4">
      <w:pPr>
        <w:spacing w:after="0" w:line="240" w:lineRule="auto"/>
        <w:jc w:val="both"/>
        <w:rPr>
          <w:rFonts w:ascii="Times New Roman" w:eastAsia="Times New Roman" w:hAnsi="Times New Roman"/>
          <w:iCs/>
          <w:sz w:val="28"/>
          <w:szCs w:val="28"/>
          <w:lang w:eastAsia="ru-RU"/>
        </w:rPr>
      </w:pPr>
      <w:r w:rsidRPr="00577593">
        <w:rPr>
          <w:rFonts w:ascii="Times New Roman" w:eastAsia="Times New Roman" w:hAnsi="Times New Roman"/>
          <w:iCs/>
          <w:sz w:val="28"/>
          <w:szCs w:val="28"/>
          <w:lang w:eastAsia="ru-RU"/>
        </w:rPr>
        <w:lastRenderedPageBreak/>
        <w:t xml:space="preserve">Таблица </w:t>
      </w:r>
      <w:r w:rsidR="00074AE5" w:rsidRPr="00577593">
        <w:rPr>
          <w:rFonts w:ascii="Times New Roman" w:eastAsia="Times New Roman" w:hAnsi="Times New Roman"/>
          <w:iCs/>
          <w:sz w:val="28"/>
          <w:szCs w:val="28"/>
          <w:lang w:eastAsia="ru-RU"/>
        </w:rPr>
        <w:fldChar w:fldCharType="begin"/>
      </w:r>
      <w:r w:rsidRPr="00577593">
        <w:rPr>
          <w:rFonts w:ascii="Times New Roman" w:eastAsia="Times New Roman" w:hAnsi="Times New Roman"/>
          <w:iCs/>
          <w:sz w:val="28"/>
          <w:szCs w:val="28"/>
          <w:lang w:eastAsia="ru-RU"/>
        </w:rPr>
        <w:instrText xml:space="preserve"> SEQ Таблица \* ARABIC </w:instrText>
      </w:r>
      <w:r w:rsidR="00074AE5" w:rsidRPr="00577593">
        <w:rPr>
          <w:rFonts w:ascii="Times New Roman" w:eastAsia="Times New Roman" w:hAnsi="Times New Roman"/>
          <w:iCs/>
          <w:sz w:val="28"/>
          <w:szCs w:val="28"/>
          <w:lang w:eastAsia="ru-RU"/>
        </w:rPr>
        <w:fldChar w:fldCharType="separate"/>
      </w:r>
      <w:r w:rsidR="00071499">
        <w:rPr>
          <w:rFonts w:ascii="Times New Roman" w:eastAsia="Times New Roman" w:hAnsi="Times New Roman"/>
          <w:iCs/>
          <w:noProof/>
          <w:sz w:val="28"/>
          <w:szCs w:val="28"/>
          <w:lang w:eastAsia="ru-RU"/>
        </w:rPr>
        <w:t>4</w:t>
      </w:r>
      <w:r w:rsidR="00074AE5" w:rsidRPr="00577593">
        <w:rPr>
          <w:rFonts w:ascii="Times New Roman" w:eastAsia="Times New Roman" w:hAnsi="Times New Roman"/>
          <w:iCs/>
          <w:sz w:val="28"/>
          <w:szCs w:val="28"/>
          <w:lang w:eastAsia="ru-RU"/>
        </w:rPr>
        <w:fldChar w:fldCharType="end"/>
      </w:r>
      <w:bookmarkEnd w:id="50"/>
      <w:r w:rsidRPr="00577593">
        <w:rPr>
          <w:rFonts w:ascii="Times New Roman" w:eastAsia="Times New Roman" w:hAnsi="Times New Roman"/>
          <w:iCs/>
          <w:sz w:val="28"/>
          <w:szCs w:val="28"/>
          <w:lang w:eastAsia="ru-RU"/>
        </w:rPr>
        <w:t xml:space="preserve"> </w:t>
      </w:r>
      <w:r w:rsidR="00484779" w:rsidRPr="00577593">
        <w:rPr>
          <w:rFonts w:ascii="Times New Roman" w:hAnsi="Times New Roman"/>
          <w:i/>
          <w:sz w:val="28"/>
          <w:szCs w:val="28"/>
        </w:rPr>
        <w:t>–</w:t>
      </w:r>
      <w:r w:rsidRPr="00577593">
        <w:rPr>
          <w:rFonts w:ascii="Times New Roman" w:eastAsia="Times New Roman" w:hAnsi="Times New Roman"/>
          <w:iCs/>
          <w:sz w:val="28"/>
          <w:szCs w:val="28"/>
          <w:lang w:eastAsia="ru-RU"/>
        </w:rPr>
        <w:t xml:space="preserve"> Основные показатели, характеризующие сферу культуры </w:t>
      </w:r>
      <w:r w:rsidR="0092773C">
        <w:rPr>
          <w:rFonts w:ascii="Times New Roman" w:eastAsia="Times New Roman" w:hAnsi="Times New Roman"/>
          <w:iCs/>
          <w:sz w:val="28"/>
          <w:szCs w:val="28"/>
          <w:lang w:eastAsia="ru-RU"/>
        </w:rPr>
        <w:t xml:space="preserve">города </w:t>
      </w:r>
      <w:r w:rsidRPr="00577593">
        <w:rPr>
          <w:rFonts w:ascii="Times New Roman" w:eastAsia="Times New Roman" w:hAnsi="Times New Roman"/>
          <w:iCs/>
          <w:sz w:val="28"/>
          <w:szCs w:val="28"/>
          <w:lang w:eastAsia="ru-RU"/>
        </w:rPr>
        <w:t>Барнаула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252"/>
        <w:gridCol w:w="1361"/>
        <w:gridCol w:w="1361"/>
        <w:gridCol w:w="1371"/>
      </w:tblGrid>
      <w:tr w:rsidR="00FC41F4" w:rsidRPr="00577593" w:rsidTr="00EE2F1D">
        <w:trPr>
          <w:tblHeader/>
        </w:trPr>
        <w:tc>
          <w:tcPr>
            <w:tcW w:w="5252" w:type="dxa"/>
            <w:shd w:val="clear" w:color="auto" w:fill="auto"/>
          </w:tcPr>
          <w:p w:rsidR="00FC41F4" w:rsidRPr="00577593" w:rsidRDefault="00FC41F4" w:rsidP="002000D4">
            <w:pPr>
              <w:widowControl w:val="0"/>
              <w:spacing w:after="0" w:line="240" w:lineRule="auto"/>
              <w:jc w:val="center"/>
              <w:rPr>
                <w:rFonts w:ascii="Times New Roman" w:eastAsia="Times New Roman" w:hAnsi="Times New Roman"/>
                <w:sz w:val="20"/>
                <w:szCs w:val="20"/>
                <w:lang w:eastAsia="ru-RU"/>
              </w:rPr>
            </w:pPr>
          </w:p>
        </w:tc>
        <w:tc>
          <w:tcPr>
            <w:tcW w:w="1361" w:type="dxa"/>
            <w:shd w:val="clear" w:color="auto" w:fill="auto"/>
          </w:tcPr>
          <w:p w:rsidR="00FC41F4" w:rsidRPr="00577593" w:rsidRDefault="008925FA" w:rsidP="002000D4">
            <w:pPr>
              <w:widowControl w:val="0"/>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2012 г.</w:t>
            </w:r>
          </w:p>
        </w:tc>
        <w:tc>
          <w:tcPr>
            <w:tcW w:w="1361" w:type="dxa"/>
            <w:shd w:val="clear" w:color="auto" w:fill="auto"/>
          </w:tcPr>
          <w:p w:rsidR="00FC41F4" w:rsidRPr="00577593" w:rsidRDefault="008925FA" w:rsidP="002000D4">
            <w:pPr>
              <w:widowControl w:val="0"/>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2017 г.</w:t>
            </w:r>
          </w:p>
        </w:tc>
        <w:tc>
          <w:tcPr>
            <w:tcW w:w="1371" w:type="dxa"/>
            <w:shd w:val="clear" w:color="auto" w:fill="auto"/>
          </w:tcPr>
          <w:p w:rsidR="00FC41F4" w:rsidRPr="00577593" w:rsidRDefault="008925FA" w:rsidP="002000D4">
            <w:pPr>
              <w:widowControl w:val="0"/>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2024 г.</w:t>
            </w:r>
          </w:p>
        </w:tc>
      </w:tr>
      <w:tr w:rsidR="00FC41F4" w:rsidRPr="00577593" w:rsidTr="00EE2F1D">
        <w:tc>
          <w:tcPr>
            <w:tcW w:w="5252" w:type="dxa"/>
            <w:shd w:val="clear" w:color="auto" w:fill="auto"/>
          </w:tcPr>
          <w:p w:rsidR="00FC41F4" w:rsidRDefault="008925FA" w:rsidP="002000D4">
            <w:pPr>
              <w:widowControl w:val="0"/>
              <w:spacing w:after="0" w:line="240" w:lineRule="auto"/>
              <w:jc w:val="both"/>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Увеличение числа посещений организаций культуры, % к уровню 2019 года</w:t>
            </w:r>
          </w:p>
          <w:p w:rsidR="002B10DC" w:rsidRPr="00577593" w:rsidRDefault="002B10DC" w:rsidP="002000D4">
            <w:pPr>
              <w:widowControl w:val="0"/>
              <w:spacing w:after="0" w:line="240" w:lineRule="auto"/>
              <w:jc w:val="both"/>
              <w:rPr>
                <w:rFonts w:ascii="Times New Roman" w:eastAsia="Times New Roman" w:hAnsi="Times New Roman"/>
                <w:sz w:val="20"/>
                <w:szCs w:val="20"/>
                <w:lang w:eastAsia="ru-RU"/>
              </w:rPr>
            </w:pPr>
          </w:p>
        </w:tc>
        <w:tc>
          <w:tcPr>
            <w:tcW w:w="1361" w:type="dxa"/>
            <w:shd w:val="clear" w:color="auto" w:fill="auto"/>
          </w:tcPr>
          <w:p w:rsidR="00FC41F4" w:rsidRPr="00577593" w:rsidRDefault="00484779" w:rsidP="002000D4">
            <w:pPr>
              <w:widowControl w:val="0"/>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w:t>
            </w:r>
          </w:p>
        </w:tc>
        <w:tc>
          <w:tcPr>
            <w:tcW w:w="1361" w:type="dxa"/>
            <w:shd w:val="clear" w:color="auto" w:fill="auto"/>
          </w:tcPr>
          <w:p w:rsidR="00FC41F4" w:rsidRPr="00577593" w:rsidRDefault="00484779" w:rsidP="002000D4">
            <w:pPr>
              <w:widowControl w:val="0"/>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w:t>
            </w:r>
          </w:p>
        </w:tc>
        <w:tc>
          <w:tcPr>
            <w:tcW w:w="1371" w:type="dxa"/>
            <w:shd w:val="clear" w:color="auto" w:fill="auto"/>
          </w:tcPr>
          <w:p w:rsidR="00FC41F4" w:rsidRPr="00577593" w:rsidRDefault="008925FA" w:rsidP="002000D4">
            <w:pPr>
              <w:widowControl w:val="0"/>
              <w:spacing w:after="0" w:line="240" w:lineRule="auto"/>
              <w:jc w:val="center"/>
              <w:rPr>
                <w:rFonts w:ascii="Times New Roman" w:hAnsi="Times New Roman"/>
                <w:sz w:val="20"/>
                <w:szCs w:val="20"/>
              </w:rPr>
            </w:pPr>
            <w:r w:rsidRPr="00577593">
              <w:rPr>
                <w:rFonts w:ascii="Times New Roman" w:eastAsia="Times New Roman" w:hAnsi="Times New Roman"/>
                <w:sz w:val="20"/>
                <w:szCs w:val="20"/>
                <w:lang w:eastAsia="ru-RU"/>
              </w:rPr>
              <w:t>135,2</w:t>
            </w:r>
          </w:p>
        </w:tc>
      </w:tr>
      <w:tr w:rsidR="00FC41F4" w:rsidRPr="00577593" w:rsidTr="00EE2F1D">
        <w:tc>
          <w:tcPr>
            <w:tcW w:w="5252" w:type="dxa"/>
            <w:shd w:val="clear" w:color="auto" w:fill="auto"/>
          </w:tcPr>
          <w:p w:rsidR="00FC41F4" w:rsidRPr="00577593" w:rsidRDefault="008925FA" w:rsidP="002000D4">
            <w:pPr>
              <w:widowControl w:val="0"/>
              <w:spacing w:after="0" w:line="240" w:lineRule="auto"/>
              <w:jc w:val="both"/>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Удельный вес учреждений культуры, в которых обеспечиваются условия индивидуальной мобильности инвалидов, от общего количества учреждений культуры, %</w:t>
            </w:r>
          </w:p>
        </w:tc>
        <w:tc>
          <w:tcPr>
            <w:tcW w:w="1361" w:type="dxa"/>
            <w:shd w:val="clear" w:color="auto" w:fill="auto"/>
          </w:tcPr>
          <w:p w:rsidR="00FC41F4" w:rsidRPr="00577593" w:rsidRDefault="00484779" w:rsidP="002000D4">
            <w:pPr>
              <w:widowControl w:val="0"/>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w:t>
            </w:r>
          </w:p>
        </w:tc>
        <w:tc>
          <w:tcPr>
            <w:tcW w:w="1361" w:type="dxa"/>
            <w:shd w:val="clear" w:color="auto" w:fill="auto"/>
          </w:tcPr>
          <w:p w:rsidR="00FC41F4" w:rsidRPr="00577593" w:rsidRDefault="008925FA" w:rsidP="002000D4">
            <w:pPr>
              <w:widowControl w:val="0"/>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33,3</w:t>
            </w:r>
          </w:p>
        </w:tc>
        <w:tc>
          <w:tcPr>
            <w:tcW w:w="1371" w:type="dxa"/>
            <w:shd w:val="clear" w:color="auto" w:fill="auto"/>
          </w:tcPr>
          <w:p w:rsidR="00FC41F4" w:rsidRPr="00577593" w:rsidRDefault="008925FA" w:rsidP="002000D4">
            <w:pPr>
              <w:widowControl w:val="0"/>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50</w:t>
            </w:r>
            <w:r w:rsidR="00502632" w:rsidRPr="00577593">
              <w:rPr>
                <w:rFonts w:ascii="Times New Roman" w:eastAsia="Times New Roman" w:hAnsi="Times New Roman"/>
                <w:sz w:val="20"/>
                <w:szCs w:val="20"/>
                <w:lang w:eastAsia="ru-RU"/>
              </w:rPr>
              <w:t>,0</w:t>
            </w:r>
          </w:p>
        </w:tc>
      </w:tr>
    </w:tbl>
    <w:p w:rsidR="00FC41F4" w:rsidRPr="00577593" w:rsidRDefault="008925FA" w:rsidP="004369BA">
      <w:pPr>
        <w:pStyle w:val="aff9"/>
        <w:spacing w:after="0"/>
        <w:ind w:firstLine="709"/>
        <w:rPr>
          <w:rFonts w:ascii="Times New Roman" w:hAnsi="Times New Roman"/>
          <w:i w:val="0"/>
          <w:color w:val="auto"/>
          <w:sz w:val="28"/>
          <w:szCs w:val="28"/>
        </w:rPr>
      </w:pPr>
      <w:r w:rsidRPr="00577593">
        <w:rPr>
          <w:rFonts w:ascii="Times New Roman" w:hAnsi="Times New Roman"/>
          <w:i w:val="0"/>
          <w:color w:val="auto"/>
          <w:sz w:val="28"/>
          <w:szCs w:val="28"/>
        </w:rPr>
        <w:t xml:space="preserve">Примечание </w:t>
      </w:r>
      <w:r w:rsidR="00484779" w:rsidRPr="00577593">
        <w:rPr>
          <w:rFonts w:ascii="Times New Roman" w:hAnsi="Times New Roman"/>
          <w:i w:val="0"/>
          <w:color w:val="auto"/>
          <w:sz w:val="28"/>
          <w:szCs w:val="28"/>
        </w:rPr>
        <w:t>-</w:t>
      </w:r>
      <w:r w:rsidRPr="00577593">
        <w:rPr>
          <w:rFonts w:ascii="Times New Roman" w:hAnsi="Times New Roman"/>
          <w:i w:val="0"/>
          <w:color w:val="auto"/>
          <w:sz w:val="28"/>
          <w:szCs w:val="28"/>
        </w:rPr>
        <w:t xml:space="preserve"> Источник: данные </w:t>
      </w:r>
      <w:r w:rsidRPr="00577593">
        <w:rPr>
          <w:rFonts w:ascii="Times New Roman" w:hAnsi="Times New Roman"/>
          <w:i w:val="0"/>
          <w:iCs w:val="0"/>
          <w:color w:val="auto"/>
          <w:sz w:val="28"/>
          <w:szCs w:val="28"/>
        </w:rPr>
        <w:t>администрации</w:t>
      </w:r>
      <w:r w:rsidRPr="00577593">
        <w:rPr>
          <w:rFonts w:ascii="Times New Roman" w:hAnsi="Times New Roman"/>
          <w:i w:val="0"/>
          <w:color w:val="auto"/>
          <w:sz w:val="28"/>
          <w:szCs w:val="28"/>
        </w:rPr>
        <w:t xml:space="preserve"> города Барнаула</w:t>
      </w:r>
    </w:p>
    <w:p w:rsidR="0092773C" w:rsidRDefault="0092773C" w:rsidP="004369BA">
      <w:pPr>
        <w:spacing w:after="0" w:line="240" w:lineRule="auto"/>
        <w:ind w:firstLine="709"/>
        <w:jc w:val="both"/>
        <w:rPr>
          <w:rFonts w:ascii="Times New Roman" w:hAnsi="Times New Roman"/>
          <w:sz w:val="28"/>
          <w:szCs w:val="28"/>
        </w:rPr>
      </w:pPr>
    </w:p>
    <w:p w:rsidR="00FC41F4" w:rsidRPr="00577593" w:rsidRDefault="008925FA" w:rsidP="004369BA">
      <w:pPr>
        <w:spacing w:after="0" w:line="240" w:lineRule="auto"/>
        <w:ind w:firstLine="709"/>
        <w:jc w:val="both"/>
        <w:rPr>
          <w:rFonts w:ascii="Times New Roman" w:hAnsi="Times New Roman"/>
          <w:sz w:val="28"/>
          <w:szCs w:val="28"/>
        </w:rPr>
      </w:pPr>
      <w:r w:rsidRPr="00577593">
        <w:rPr>
          <w:rFonts w:ascii="Times New Roman" w:hAnsi="Times New Roman"/>
          <w:sz w:val="28"/>
          <w:szCs w:val="28"/>
        </w:rPr>
        <w:t>К основным проблемам в сфере культуры можно отнести:</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отставание создания новых объектов культуры (библиотеки, школы искусств, культурно-досуговые учреждения и др.) относительно жилищного строительства; </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недостаточный уровень материально-технического оснащения учреждений отрасли, программного обеспечения библиотек.</w:t>
      </w:r>
      <w:bookmarkStart w:id="51" w:name="_Toc732797470"/>
    </w:p>
    <w:p w:rsidR="00FC41F4" w:rsidRPr="00577593" w:rsidRDefault="008925FA" w:rsidP="002000D4">
      <w:pPr>
        <w:pStyle w:val="3"/>
        <w:spacing w:before="0" w:line="240" w:lineRule="auto"/>
        <w:ind w:firstLine="709"/>
        <w:rPr>
          <w:rFonts w:ascii="Times New Roman" w:hAnsi="Times New Roman"/>
          <w:b/>
          <w:color w:val="auto"/>
          <w:sz w:val="28"/>
          <w:szCs w:val="28"/>
        </w:rPr>
      </w:pPr>
      <w:bookmarkStart w:id="52" w:name="_Toc204922998"/>
      <w:bookmarkStart w:id="53" w:name="_Toc204933332"/>
      <w:bookmarkStart w:id="54" w:name="_Toc208496636"/>
      <w:bookmarkStart w:id="55" w:name="_Toc208668918"/>
      <w:bookmarkStart w:id="56" w:name="_Toc212804267"/>
      <w:r w:rsidRPr="00577593">
        <w:rPr>
          <w:rFonts w:ascii="Times New Roman" w:hAnsi="Times New Roman"/>
          <w:b/>
          <w:color w:val="auto"/>
          <w:sz w:val="28"/>
          <w:szCs w:val="28"/>
        </w:rPr>
        <w:t>2.4.4</w:t>
      </w:r>
      <w:r w:rsidR="0092773C">
        <w:rPr>
          <w:rFonts w:ascii="Times New Roman" w:hAnsi="Times New Roman"/>
          <w:b/>
          <w:color w:val="auto"/>
          <w:sz w:val="28"/>
          <w:szCs w:val="28"/>
        </w:rPr>
        <w:t>.</w:t>
      </w:r>
      <w:r w:rsidRPr="00577593">
        <w:rPr>
          <w:rFonts w:ascii="Times New Roman" w:hAnsi="Times New Roman"/>
          <w:b/>
          <w:color w:val="auto"/>
          <w:sz w:val="28"/>
          <w:szCs w:val="28"/>
        </w:rPr>
        <w:t xml:space="preserve"> Физическая культура и спорт</w:t>
      </w:r>
      <w:bookmarkEnd w:id="51"/>
      <w:bookmarkEnd w:id="52"/>
      <w:bookmarkEnd w:id="53"/>
      <w:bookmarkEnd w:id="54"/>
      <w:bookmarkEnd w:id="55"/>
      <w:bookmarkEnd w:id="56"/>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Структура физкультурного движения города Барнаула представлена 397 организациями, осуществляющими физкультурно-спортивную работу, </w:t>
      </w:r>
      <w:r w:rsidR="006A55F8" w:rsidRPr="00577593">
        <w:rPr>
          <w:rFonts w:ascii="Times New Roman" w:hAnsi="Times New Roman"/>
          <w:sz w:val="28"/>
          <w:szCs w:val="28"/>
        </w:rPr>
        <w:br/>
      </w:r>
      <w:r w:rsidRPr="00577593">
        <w:rPr>
          <w:rFonts w:ascii="Times New Roman" w:hAnsi="Times New Roman"/>
          <w:sz w:val="28"/>
          <w:szCs w:val="28"/>
        </w:rPr>
        <w:t>в том числе:</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26 спортивными школами (13 муниципальными, 13 краевыми);</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одним училищем олимпийского резерва;</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одним Центром спортивной подготовки;</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258 физкультурно-спортивными клубами, в том числе 81 фитнес-клубом;</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шестью организациями при спортивных сооружениях;</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105 иными организациями в сфере физической культуры и спорта.</w:t>
      </w:r>
    </w:p>
    <w:p w:rsidR="00270729" w:rsidRPr="00270729" w:rsidRDefault="00270729" w:rsidP="00270729">
      <w:pPr>
        <w:spacing w:after="0" w:line="240" w:lineRule="auto"/>
        <w:ind w:firstLine="709"/>
        <w:jc w:val="both"/>
        <w:rPr>
          <w:rFonts w:ascii="Times New Roman" w:hAnsi="Times New Roman"/>
          <w:sz w:val="28"/>
          <w:szCs w:val="28"/>
        </w:rPr>
      </w:pPr>
      <w:r w:rsidRPr="00270729">
        <w:rPr>
          <w:rFonts w:ascii="Times New Roman" w:hAnsi="Times New Roman"/>
          <w:sz w:val="28"/>
          <w:szCs w:val="28"/>
        </w:rPr>
        <w:t>В 2024 году в городе Барнауле состоялось более 800 физкультурных и спортивных мероприятий, охвативших широкий круг участников — от воспитанников детско-юношеских спортивных школ до представителей старшего поколения. Особое внимание уделяется популяризации массового спорта и формированию у горожан устойчивых привычек к регулярным занятиям физической культурой.</w:t>
      </w:r>
    </w:p>
    <w:p w:rsidR="00270729" w:rsidRDefault="00270729" w:rsidP="00270729">
      <w:pPr>
        <w:spacing w:after="0" w:line="240" w:lineRule="auto"/>
        <w:ind w:firstLine="709"/>
        <w:jc w:val="both"/>
        <w:rPr>
          <w:rFonts w:ascii="Times New Roman" w:hAnsi="Times New Roman"/>
          <w:sz w:val="28"/>
          <w:szCs w:val="28"/>
        </w:rPr>
      </w:pPr>
      <w:r w:rsidRPr="00270729">
        <w:rPr>
          <w:rFonts w:ascii="Times New Roman" w:hAnsi="Times New Roman"/>
          <w:sz w:val="28"/>
          <w:szCs w:val="28"/>
        </w:rPr>
        <w:t>Знаковым событием стало проведение в мае 2021 года второго этапа Кубка мира по гребле на байдарках и каноэ на гребном канале города Барнаула. В соревнованиях приняли участие более 300 спортсменов из 57 стран мира.</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В целях развития физкультуры и спорта в городе реализуются:</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 xml:space="preserve">государственная программа «Развитие физической культуры </w:t>
      </w:r>
      <w:r w:rsidR="006A55F8" w:rsidRPr="00577593">
        <w:rPr>
          <w:rFonts w:ascii="Times New Roman" w:eastAsia="Times New Roman" w:hAnsi="Times New Roman"/>
          <w:sz w:val="28"/>
          <w:szCs w:val="28"/>
          <w:lang w:eastAsia="ru-RU"/>
        </w:rPr>
        <w:br/>
      </w:r>
      <w:r w:rsidRPr="00577593">
        <w:rPr>
          <w:rFonts w:ascii="Times New Roman" w:eastAsia="Times New Roman" w:hAnsi="Times New Roman"/>
          <w:sz w:val="28"/>
          <w:szCs w:val="28"/>
          <w:lang w:eastAsia="ru-RU"/>
        </w:rPr>
        <w:t>и спорта в Алтайском крае»;</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 xml:space="preserve">муниципальная программа «Развитие физической культуры </w:t>
      </w:r>
      <w:r w:rsidR="0092773C">
        <w:rPr>
          <w:rFonts w:ascii="Times New Roman" w:eastAsia="Times New Roman" w:hAnsi="Times New Roman"/>
          <w:sz w:val="28"/>
          <w:szCs w:val="28"/>
          <w:lang w:eastAsia="ru-RU"/>
        </w:rPr>
        <w:br/>
      </w:r>
      <w:r w:rsidRPr="00577593">
        <w:rPr>
          <w:rFonts w:ascii="Times New Roman" w:eastAsia="Times New Roman" w:hAnsi="Times New Roman"/>
          <w:sz w:val="28"/>
          <w:szCs w:val="28"/>
          <w:lang w:eastAsia="ru-RU"/>
        </w:rPr>
        <w:t>и спорта в городе Барнауле».</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В 2023 году введен в эксплуатацию Центр здоровья и спорта «RIVER», в 2024 году построен и введен в эксплуатацию фитнес-клуб </w:t>
      </w:r>
      <w:r w:rsidRPr="00577593">
        <w:rPr>
          <w:rFonts w:ascii="Times New Roman" w:hAnsi="Times New Roman"/>
          <w:sz w:val="28"/>
          <w:szCs w:val="28"/>
        </w:rPr>
        <w:lastRenderedPageBreak/>
        <w:t xml:space="preserve">«GravityFit», на базе которого расположен 25-метровый бассейн. </w:t>
      </w:r>
      <w:r w:rsidR="0092773C">
        <w:rPr>
          <w:rFonts w:ascii="Times New Roman" w:hAnsi="Times New Roman"/>
          <w:sz w:val="28"/>
          <w:szCs w:val="28"/>
        </w:rPr>
        <w:br/>
      </w:r>
      <w:r w:rsidRPr="00577593">
        <w:rPr>
          <w:rFonts w:ascii="Times New Roman" w:hAnsi="Times New Roman"/>
          <w:sz w:val="28"/>
          <w:szCs w:val="28"/>
        </w:rPr>
        <w:t>В 2024 году в парке «Юбилейный» для любителей велоспорта, роллерспорта и скейтбординга построены скейт-парк и памп-трек. В парке «Изумрудный» появились площадки для пляжного и паркового волейбола. Ведется строительство здания спортивного комплекса с универсальным игровым залом и плавательным бассейном, застройщик – ФГОБУ ВО «Финансовый университет при Правительстве Российской Федерации».</w:t>
      </w:r>
    </w:p>
    <w:p w:rsidR="00FC41F4" w:rsidRPr="00577593" w:rsidRDefault="008925FA" w:rsidP="0092773C">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В </w:t>
      </w:r>
      <w:r w:rsidR="0092773C">
        <w:rPr>
          <w:rFonts w:ascii="Times New Roman" w:hAnsi="Times New Roman"/>
          <w:sz w:val="28"/>
          <w:szCs w:val="28"/>
        </w:rPr>
        <w:t xml:space="preserve">городе </w:t>
      </w:r>
      <w:r w:rsidRPr="00577593">
        <w:rPr>
          <w:rFonts w:ascii="Times New Roman" w:hAnsi="Times New Roman"/>
          <w:sz w:val="28"/>
          <w:szCs w:val="28"/>
        </w:rPr>
        <w:t>Барнауле пользуются популярностью футбол, хоккей, легкая атлетика. Набирает популярность фиджитал спорт.</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В 2024 году спортивные звания и разряды имеют 5707 спортсменов муниципальных спортивных школ. В 2024 году членами сборной России стали 42 воспитанника муниципальных спортивных школ, членами сборной Алтайского края </w:t>
      </w:r>
      <w:r w:rsidR="00A518B7" w:rsidRPr="00577593">
        <w:rPr>
          <w:rFonts w:ascii="Times New Roman" w:hAnsi="Times New Roman"/>
          <w:sz w:val="28"/>
          <w:szCs w:val="28"/>
        </w:rPr>
        <w:t>–</w:t>
      </w:r>
      <w:r w:rsidRPr="00577593">
        <w:rPr>
          <w:rFonts w:ascii="Times New Roman" w:hAnsi="Times New Roman"/>
          <w:sz w:val="28"/>
          <w:szCs w:val="28"/>
        </w:rPr>
        <w:t xml:space="preserve"> 889 человек.</w:t>
      </w:r>
    </w:p>
    <w:p w:rsidR="00FC41F4" w:rsidRPr="00577593" w:rsidRDefault="00B43E47"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В то же время</w:t>
      </w:r>
      <w:r w:rsidR="008925FA" w:rsidRPr="00577593">
        <w:rPr>
          <w:rFonts w:ascii="Times New Roman" w:hAnsi="Times New Roman"/>
          <w:sz w:val="28"/>
          <w:szCs w:val="28"/>
        </w:rPr>
        <w:t xml:space="preserve"> на территории </w:t>
      </w:r>
      <w:r w:rsidR="00C7041A">
        <w:rPr>
          <w:rFonts w:ascii="Times New Roman" w:hAnsi="Times New Roman"/>
          <w:sz w:val="28"/>
          <w:szCs w:val="28"/>
        </w:rPr>
        <w:t>города</w:t>
      </w:r>
      <w:r w:rsidR="008925FA" w:rsidRPr="00577593">
        <w:rPr>
          <w:rFonts w:ascii="Times New Roman" w:hAnsi="Times New Roman"/>
          <w:sz w:val="28"/>
          <w:szCs w:val="28"/>
        </w:rPr>
        <w:t xml:space="preserve"> не хватает спортивных залов для</w:t>
      </w:r>
      <w:r w:rsidR="00F7364E" w:rsidRPr="00577593">
        <w:rPr>
          <w:rFonts w:ascii="Times New Roman" w:hAnsi="Times New Roman"/>
          <w:sz w:val="28"/>
          <w:szCs w:val="28"/>
        </w:rPr>
        <w:t> </w:t>
      </w:r>
      <w:r w:rsidR="008925FA" w:rsidRPr="00577593">
        <w:rPr>
          <w:rFonts w:ascii="Times New Roman" w:hAnsi="Times New Roman"/>
          <w:sz w:val="28"/>
          <w:szCs w:val="28"/>
        </w:rPr>
        <w:t>игровых видов спорта (мини-футбол, волейбол, баскетбол), ледовых катков для</w:t>
      </w:r>
      <w:r w:rsidR="00F7364E" w:rsidRPr="00577593">
        <w:rPr>
          <w:rFonts w:ascii="Times New Roman" w:hAnsi="Times New Roman"/>
          <w:sz w:val="28"/>
          <w:szCs w:val="28"/>
        </w:rPr>
        <w:t> </w:t>
      </w:r>
      <w:r w:rsidR="008925FA" w:rsidRPr="00577593">
        <w:rPr>
          <w:rFonts w:ascii="Times New Roman" w:hAnsi="Times New Roman"/>
          <w:sz w:val="28"/>
          <w:szCs w:val="28"/>
        </w:rPr>
        <w:t xml:space="preserve">организации тренировочного процесса по хоккею, отсутствует специализированный манеж для занятий легкой атлетикой в зимний период. </w:t>
      </w:r>
      <w:r w:rsidR="00270729" w:rsidRPr="00577593">
        <w:rPr>
          <w:rFonts w:ascii="Times New Roman" w:hAnsi="Times New Roman"/>
          <w:sz w:val="28"/>
          <w:szCs w:val="28"/>
        </w:rPr>
        <w:t>Отсутствует центр по адаптивной физкультуре.</w:t>
      </w:r>
      <w:r w:rsidR="00270729">
        <w:rPr>
          <w:rFonts w:ascii="Times New Roman" w:hAnsi="Times New Roman"/>
          <w:sz w:val="28"/>
          <w:szCs w:val="28"/>
        </w:rPr>
        <w:t xml:space="preserve"> </w:t>
      </w:r>
      <w:r w:rsidR="008925FA" w:rsidRPr="00577593">
        <w:rPr>
          <w:rFonts w:ascii="Times New Roman" w:hAnsi="Times New Roman"/>
          <w:sz w:val="28"/>
          <w:szCs w:val="28"/>
        </w:rPr>
        <w:t>В этой связи проводится работа с</w:t>
      </w:r>
      <w:r w:rsidR="00F7364E" w:rsidRPr="00577593">
        <w:rPr>
          <w:rFonts w:ascii="Times New Roman" w:hAnsi="Times New Roman"/>
          <w:sz w:val="28"/>
          <w:szCs w:val="28"/>
        </w:rPr>
        <w:t> </w:t>
      </w:r>
      <w:r w:rsidR="008925FA" w:rsidRPr="00577593">
        <w:rPr>
          <w:rFonts w:ascii="Times New Roman" w:hAnsi="Times New Roman"/>
          <w:sz w:val="28"/>
          <w:szCs w:val="28"/>
        </w:rPr>
        <w:t>потенциальными инвесторами по вопросу строительства физкультурно-оздоровительных комплексов, в том числе для игровых видов спорта.</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Из 13 муниципальных учреждений спортивной подготовки </w:t>
      </w:r>
      <w:r w:rsidR="0092773C">
        <w:rPr>
          <w:rFonts w:ascii="Times New Roman" w:hAnsi="Times New Roman"/>
          <w:sz w:val="28"/>
          <w:szCs w:val="28"/>
        </w:rPr>
        <w:t xml:space="preserve">города </w:t>
      </w:r>
      <w:r w:rsidRPr="00577593">
        <w:rPr>
          <w:rFonts w:ascii="Times New Roman" w:hAnsi="Times New Roman"/>
          <w:sz w:val="28"/>
          <w:szCs w:val="28"/>
        </w:rPr>
        <w:t>Барнаула только три расположены в специально построенных зданиях. Планируется строительство нового административного здания для спортивной школы №7 на стадионе «Лабиринт».</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Востребованы специализированные спортивные сооружения (велотреки, велодорожки, роллерные трассы, роликодромы, скалодромы).</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В 2024 году в муниципальных спортивных школах проведена независимая оценка качества условий осуществления образовательной деятельности. По ее итогам средняя оценка муниципальных учреждений составила 93,98 балла из 100.</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Основные показатели, характеризующие сферу физкультуры и спорта </w:t>
      </w:r>
      <w:r w:rsidR="006A55F8" w:rsidRPr="00577593">
        <w:rPr>
          <w:rFonts w:ascii="Times New Roman" w:hAnsi="Times New Roman"/>
          <w:sz w:val="28"/>
          <w:szCs w:val="28"/>
        </w:rPr>
        <w:br/>
      </w:r>
      <w:r w:rsidRPr="00577593">
        <w:rPr>
          <w:rFonts w:ascii="Times New Roman" w:hAnsi="Times New Roman"/>
          <w:sz w:val="28"/>
          <w:szCs w:val="28"/>
        </w:rPr>
        <w:t xml:space="preserve">в </w:t>
      </w:r>
      <w:r w:rsidR="006B6505">
        <w:rPr>
          <w:rFonts w:ascii="Times New Roman" w:hAnsi="Times New Roman"/>
          <w:sz w:val="28"/>
          <w:szCs w:val="28"/>
        </w:rPr>
        <w:t xml:space="preserve">городе </w:t>
      </w:r>
      <w:r w:rsidR="00270729">
        <w:rPr>
          <w:rFonts w:ascii="Times New Roman" w:hAnsi="Times New Roman"/>
          <w:sz w:val="28"/>
          <w:szCs w:val="28"/>
        </w:rPr>
        <w:t>Барнауле, приведены в Таблице 5.</w:t>
      </w:r>
    </w:p>
    <w:p w:rsidR="004369BA" w:rsidRPr="00577593" w:rsidRDefault="004369BA" w:rsidP="002000D4">
      <w:pPr>
        <w:spacing w:after="0" w:line="240" w:lineRule="auto"/>
        <w:ind w:firstLine="709"/>
        <w:jc w:val="both"/>
        <w:rPr>
          <w:rFonts w:ascii="Times New Roman" w:hAnsi="Times New Roman"/>
          <w:sz w:val="28"/>
          <w:szCs w:val="28"/>
        </w:rPr>
      </w:pPr>
    </w:p>
    <w:p w:rsidR="00FC41F4" w:rsidRPr="00577593" w:rsidRDefault="008925FA" w:rsidP="002000D4">
      <w:pPr>
        <w:spacing w:after="0" w:line="240" w:lineRule="auto"/>
        <w:jc w:val="both"/>
        <w:rPr>
          <w:rFonts w:ascii="Times New Roman" w:eastAsia="Times New Roman" w:hAnsi="Times New Roman"/>
          <w:iCs/>
          <w:sz w:val="28"/>
          <w:szCs w:val="28"/>
          <w:lang w:eastAsia="ru-RU"/>
        </w:rPr>
      </w:pPr>
      <w:bookmarkStart w:id="57" w:name="_Ref199386090"/>
      <w:r w:rsidRPr="00577593">
        <w:rPr>
          <w:rFonts w:ascii="Times New Roman" w:eastAsia="Times New Roman" w:hAnsi="Times New Roman"/>
          <w:iCs/>
          <w:sz w:val="28"/>
          <w:szCs w:val="28"/>
          <w:lang w:eastAsia="ru-RU"/>
        </w:rPr>
        <w:t xml:space="preserve">Таблица </w:t>
      </w:r>
      <w:r w:rsidR="00074AE5" w:rsidRPr="00577593">
        <w:rPr>
          <w:rFonts w:ascii="Times New Roman" w:eastAsia="Times New Roman" w:hAnsi="Times New Roman"/>
          <w:iCs/>
          <w:sz w:val="28"/>
          <w:szCs w:val="28"/>
          <w:lang w:eastAsia="ru-RU"/>
        </w:rPr>
        <w:fldChar w:fldCharType="begin"/>
      </w:r>
      <w:r w:rsidRPr="00577593">
        <w:rPr>
          <w:rFonts w:ascii="Times New Roman" w:eastAsia="Times New Roman" w:hAnsi="Times New Roman"/>
          <w:iCs/>
          <w:sz w:val="28"/>
          <w:szCs w:val="28"/>
          <w:lang w:eastAsia="ru-RU"/>
        </w:rPr>
        <w:instrText xml:space="preserve"> SEQ Таблица \* ARABIC </w:instrText>
      </w:r>
      <w:r w:rsidR="00074AE5" w:rsidRPr="00577593">
        <w:rPr>
          <w:rFonts w:ascii="Times New Roman" w:eastAsia="Times New Roman" w:hAnsi="Times New Roman"/>
          <w:iCs/>
          <w:sz w:val="28"/>
          <w:szCs w:val="28"/>
          <w:lang w:eastAsia="ru-RU"/>
        </w:rPr>
        <w:fldChar w:fldCharType="separate"/>
      </w:r>
      <w:r w:rsidR="00071499">
        <w:rPr>
          <w:rFonts w:ascii="Times New Roman" w:eastAsia="Times New Roman" w:hAnsi="Times New Roman"/>
          <w:iCs/>
          <w:noProof/>
          <w:sz w:val="28"/>
          <w:szCs w:val="28"/>
          <w:lang w:eastAsia="ru-RU"/>
        </w:rPr>
        <w:t>5</w:t>
      </w:r>
      <w:r w:rsidR="00074AE5" w:rsidRPr="00577593">
        <w:rPr>
          <w:rFonts w:ascii="Times New Roman" w:eastAsia="Times New Roman" w:hAnsi="Times New Roman"/>
          <w:iCs/>
          <w:sz w:val="28"/>
          <w:szCs w:val="28"/>
          <w:lang w:eastAsia="ru-RU"/>
        </w:rPr>
        <w:fldChar w:fldCharType="end"/>
      </w:r>
      <w:bookmarkEnd w:id="57"/>
      <w:r w:rsidRPr="00577593">
        <w:rPr>
          <w:rFonts w:ascii="Times New Roman" w:eastAsia="Times New Roman" w:hAnsi="Times New Roman"/>
          <w:iCs/>
          <w:sz w:val="28"/>
          <w:szCs w:val="28"/>
          <w:lang w:eastAsia="ru-RU"/>
        </w:rPr>
        <w:t xml:space="preserve"> </w:t>
      </w:r>
      <w:r w:rsidR="00A518B7" w:rsidRPr="00577593">
        <w:rPr>
          <w:rFonts w:ascii="Times New Roman" w:hAnsi="Times New Roman"/>
          <w:i/>
          <w:sz w:val="28"/>
          <w:szCs w:val="28"/>
        </w:rPr>
        <w:t>–</w:t>
      </w:r>
      <w:r w:rsidRPr="00577593">
        <w:rPr>
          <w:rFonts w:ascii="Times New Roman" w:eastAsia="Times New Roman" w:hAnsi="Times New Roman"/>
          <w:iCs/>
          <w:sz w:val="28"/>
          <w:szCs w:val="28"/>
          <w:lang w:eastAsia="ru-RU"/>
        </w:rPr>
        <w:t xml:space="preserve"> Основные показатели, характеризующие сферу</w:t>
      </w:r>
      <w:r w:rsidRPr="00577593">
        <w:rPr>
          <w:rFonts w:ascii="Times New Roman" w:eastAsia="Times New Roman" w:hAnsi="Times New Roman"/>
          <w:iCs/>
          <w:sz w:val="24"/>
          <w:szCs w:val="24"/>
          <w:lang w:eastAsia="ru-RU"/>
        </w:rPr>
        <w:t xml:space="preserve"> </w:t>
      </w:r>
      <w:r w:rsidRPr="00577593">
        <w:rPr>
          <w:rFonts w:ascii="Times New Roman" w:eastAsia="Times New Roman" w:hAnsi="Times New Roman"/>
          <w:iCs/>
          <w:sz w:val="28"/>
          <w:szCs w:val="28"/>
          <w:lang w:eastAsia="ru-RU"/>
        </w:rPr>
        <w:t xml:space="preserve">физкультуры </w:t>
      </w:r>
      <w:r w:rsidR="006A55F8" w:rsidRPr="00577593">
        <w:rPr>
          <w:rFonts w:ascii="Times New Roman" w:eastAsia="Times New Roman" w:hAnsi="Times New Roman"/>
          <w:iCs/>
          <w:sz w:val="28"/>
          <w:szCs w:val="28"/>
          <w:lang w:eastAsia="ru-RU"/>
        </w:rPr>
        <w:br/>
      </w:r>
      <w:r w:rsidR="006B6505">
        <w:rPr>
          <w:rFonts w:ascii="Times New Roman" w:eastAsia="Times New Roman" w:hAnsi="Times New Roman"/>
          <w:iCs/>
          <w:sz w:val="28"/>
          <w:szCs w:val="28"/>
          <w:lang w:eastAsia="ru-RU"/>
        </w:rPr>
        <w:t xml:space="preserve">и спорта в городе </w:t>
      </w:r>
      <w:r w:rsidRPr="00577593">
        <w:rPr>
          <w:rFonts w:ascii="Times New Roman" w:eastAsia="Times New Roman" w:hAnsi="Times New Roman"/>
          <w:iCs/>
          <w:sz w:val="28"/>
          <w:szCs w:val="28"/>
          <w:lang w:eastAsia="ru-RU"/>
        </w:rPr>
        <w:t>Барнауле</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258"/>
        <w:gridCol w:w="1362"/>
        <w:gridCol w:w="1362"/>
        <w:gridCol w:w="1363"/>
      </w:tblGrid>
      <w:tr w:rsidR="00FC41F4" w:rsidRPr="00577593" w:rsidTr="00EE2F1D">
        <w:trPr>
          <w:tblHeader/>
        </w:trPr>
        <w:tc>
          <w:tcPr>
            <w:tcW w:w="5258" w:type="dxa"/>
            <w:shd w:val="clear" w:color="auto" w:fill="auto"/>
          </w:tcPr>
          <w:p w:rsidR="00FC41F4" w:rsidRPr="00577593" w:rsidRDefault="00FC41F4" w:rsidP="002000D4">
            <w:pPr>
              <w:widowControl w:val="0"/>
              <w:spacing w:after="0" w:line="240" w:lineRule="auto"/>
              <w:jc w:val="center"/>
              <w:rPr>
                <w:rFonts w:ascii="Times New Roman" w:eastAsia="Times New Roman" w:hAnsi="Times New Roman"/>
                <w:sz w:val="20"/>
                <w:szCs w:val="20"/>
                <w:lang w:eastAsia="ru-RU"/>
              </w:rPr>
            </w:pPr>
          </w:p>
        </w:tc>
        <w:tc>
          <w:tcPr>
            <w:tcW w:w="1362" w:type="dxa"/>
            <w:shd w:val="clear" w:color="auto" w:fill="auto"/>
          </w:tcPr>
          <w:p w:rsidR="00FC41F4" w:rsidRPr="00577593" w:rsidRDefault="008925FA" w:rsidP="002000D4">
            <w:pPr>
              <w:widowControl w:val="0"/>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2012 г.</w:t>
            </w:r>
          </w:p>
        </w:tc>
        <w:tc>
          <w:tcPr>
            <w:tcW w:w="1362" w:type="dxa"/>
            <w:shd w:val="clear" w:color="auto" w:fill="auto"/>
          </w:tcPr>
          <w:p w:rsidR="00FC41F4" w:rsidRPr="00577593" w:rsidRDefault="008925FA" w:rsidP="002000D4">
            <w:pPr>
              <w:widowControl w:val="0"/>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2017 г.</w:t>
            </w:r>
          </w:p>
        </w:tc>
        <w:tc>
          <w:tcPr>
            <w:tcW w:w="1363" w:type="dxa"/>
            <w:shd w:val="clear" w:color="auto" w:fill="auto"/>
          </w:tcPr>
          <w:p w:rsidR="00FC41F4" w:rsidRPr="00577593" w:rsidRDefault="008925FA" w:rsidP="002000D4">
            <w:pPr>
              <w:widowControl w:val="0"/>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2024 г.</w:t>
            </w:r>
          </w:p>
        </w:tc>
      </w:tr>
      <w:tr w:rsidR="00FC41F4" w:rsidRPr="00577593" w:rsidTr="00EE2F1D">
        <w:tc>
          <w:tcPr>
            <w:tcW w:w="5258" w:type="dxa"/>
            <w:shd w:val="clear" w:color="auto" w:fill="auto"/>
          </w:tcPr>
          <w:p w:rsidR="00FC41F4" w:rsidRPr="00577593" w:rsidRDefault="008925FA" w:rsidP="002000D4">
            <w:pPr>
              <w:widowControl w:val="0"/>
              <w:spacing w:after="0" w:line="240" w:lineRule="auto"/>
              <w:jc w:val="both"/>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Доля населения города, систематически занимающегося физической культурой и спортом, в общей численности населения города в возрасте от 3 до 79 лет, %</w:t>
            </w:r>
          </w:p>
        </w:tc>
        <w:tc>
          <w:tcPr>
            <w:tcW w:w="1362" w:type="dxa"/>
            <w:shd w:val="clear" w:color="auto" w:fill="auto"/>
          </w:tcPr>
          <w:p w:rsidR="00FC41F4" w:rsidRPr="00577593" w:rsidRDefault="008925FA" w:rsidP="002000D4">
            <w:pPr>
              <w:widowControl w:val="0"/>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29,1</w:t>
            </w:r>
          </w:p>
        </w:tc>
        <w:tc>
          <w:tcPr>
            <w:tcW w:w="1362" w:type="dxa"/>
            <w:shd w:val="clear" w:color="auto" w:fill="auto"/>
          </w:tcPr>
          <w:p w:rsidR="00FC41F4" w:rsidRPr="00577593" w:rsidRDefault="008925FA" w:rsidP="002000D4">
            <w:pPr>
              <w:widowControl w:val="0"/>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37,4</w:t>
            </w:r>
          </w:p>
        </w:tc>
        <w:tc>
          <w:tcPr>
            <w:tcW w:w="1363" w:type="dxa"/>
            <w:shd w:val="clear" w:color="auto" w:fill="auto"/>
          </w:tcPr>
          <w:p w:rsidR="00FC41F4" w:rsidRPr="00577593" w:rsidRDefault="008925FA" w:rsidP="002000D4">
            <w:pPr>
              <w:widowControl w:val="0"/>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63,3</w:t>
            </w:r>
          </w:p>
        </w:tc>
      </w:tr>
      <w:tr w:rsidR="00FC41F4" w:rsidRPr="00577593" w:rsidTr="00EE2F1D">
        <w:tc>
          <w:tcPr>
            <w:tcW w:w="5258" w:type="dxa"/>
            <w:shd w:val="clear" w:color="auto" w:fill="auto"/>
          </w:tcPr>
          <w:p w:rsidR="006A55F8" w:rsidRPr="00577593" w:rsidRDefault="008925FA" w:rsidP="002000D4">
            <w:pPr>
              <w:widowControl w:val="0"/>
              <w:spacing w:after="0" w:line="240" w:lineRule="auto"/>
              <w:jc w:val="both"/>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Уровень обеспеченности населения города спортивными объектами, исходя из единовременной пропускной способности, %</w:t>
            </w:r>
          </w:p>
        </w:tc>
        <w:tc>
          <w:tcPr>
            <w:tcW w:w="1362" w:type="dxa"/>
            <w:shd w:val="clear" w:color="auto" w:fill="auto"/>
          </w:tcPr>
          <w:p w:rsidR="00FC41F4" w:rsidRPr="00577593" w:rsidRDefault="00A518B7" w:rsidP="002000D4">
            <w:pPr>
              <w:widowControl w:val="0"/>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w:t>
            </w:r>
          </w:p>
        </w:tc>
        <w:tc>
          <w:tcPr>
            <w:tcW w:w="1362" w:type="dxa"/>
            <w:shd w:val="clear" w:color="auto" w:fill="auto"/>
          </w:tcPr>
          <w:p w:rsidR="00FC41F4" w:rsidRPr="00577593" w:rsidRDefault="00A518B7" w:rsidP="002000D4">
            <w:pPr>
              <w:widowControl w:val="0"/>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w:t>
            </w:r>
          </w:p>
        </w:tc>
        <w:tc>
          <w:tcPr>
            <w:tcW w:w="1363" w:type="dxa"/>
            <w:shd w:val="clear" w:color="auto" w:fill="auto"/>
          </w:tcPr>
          <w:p w:rsidR="00FC41F4" w:rsidRPr="00577593" w:rsidRDefault="008925FA" w:rsidP="002000D4">
            <w:pPr>
              <w:widowControl w:val="0"/>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75,5</w:t>
            </w:r>
          </w:p>
        </w:tc>
      </w:tr>
      <w:tr w:rsidR="00FC41F4" w:rsidRPr="00577593" w:rsidTr="00EE2F1D">
        <w:tc>
          <w:tcPr>
            <w:tcW w:w="5258" w:type="dxa"/>
            <w:shd w:val="clear" w:color="auto" w:fill="auto"/>
          </w:tcPr>
          <w:p w:rsidR="00FC41F4" w:rsidRPr="00577593" w:rsidRDefault="008925FA" w:rsidP="002000D4">
            <w:pPr>
              <w:widowControl w:val="0"/>
              <w:spacing w:after="0" w:line="240" w:lineRule="auto"/>
              <w:jc w:val="both"/>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Удельный вес учреждений физической культуры и спорта, в которых обеспечиваются условия индивидуальной мобильности инвалидов, от общего количества учреждений физической культуры и спорта, %</w:t>
            </w:r>
          </w:p>
        </w:tc>
        <w:tc>
          <w:tcPr>
            <w:tcW w:w="1362" w:type="dxa"/>
            <w:shd w:val="clear" w:color="auto" w:fill="auto"/>
          </w:tcPr>
          <w:p w:rsidR="00FC41F4" w:rsidRPr="00577593" w:rsidRDefault="00A518B7" w:rsidP="002000D4">
            <w:pPr>
              <w:widowControl w:val="0"/>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w:t>
            </w:r>
          </w:p>
        </w:tc>
        <w:tc>
          <w:tcPr>
            <w:tcW w:w="1362" w:type="dxa"/>
            <w:shd w:val="clear" w:color="auto" w:fill="auto"/>
          </w:tcPr>
          <w:p w:rsidR="00FC41F4" w:rsidRPr="00577593" w:rsidRDefault="008925FA" w:rsidP="002000D4">
            <w:pPr>
              <w:widowControl w:val="0"/>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26,7</w:t>
            </w:r>
          </w:p>
        </w:tc>
        <w:tc>
          <w:tcPr>
            <w:tcW w:w="1363" w:type="dxa"/>
            <w:shd w:val="clear" w:color="auto" w:fill="auto"/>
          </w:tcPr>
          <w:p w:rsidR="00FC41F4" w:rsidRPr="00577593" w:rsidRDefault="008925FA" w:rsidP="002000D4">
            <w:pPr>
              <w:widowControl w:val="0"/>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25</w:t>
            </w:r>
            <w:r w:rsidR="003D0815" w:rsidRPr="00577593">
              <w:rPr>
                <w:rFonts w:ascii="Times New Roman" w:eastAsia="Times New Roman" w:hAnsi="Times New Roman"/>
                <w:sz w:val="20"/>
                <w:szCs w:val="20"/>
                <w:lang w:eastAsia="ru-RU"/>
              </w:rPr>
              <w:t>,0</w:t>
            </w:r>
          </w:p>
        </w:tc>
      </w:tr>
    </w:tbl>
    <w:p w:rsidR="00FC41F4" w:rsidRPr="00577593" w:rsidRDefault="008925FA" w:rsidP="004369BA">
      <w:pPr>
        <w:pStyle w:val="aff9"/>
        <w:spacing w:after="0"/>
        <w:ind w:firstLine="709"/>
        <w:rPr>
          <w:rFonts w:ascii="Times New Roman" w:hAnsi="Times New Roman"/>
          <w:i w:val="0"/>
          <w:color w:val="auto"/>
          <w:sz w:val="28"/>
          <w:szCs w:val="28"/>
        </w:rPr>
      </w:pPr>
      <w:bookmarkStart w:id="58" w:name="_Hlk199389162"/>
      <w:r w:rsidRPr="00577593">
        <w:rPr>
          <w:rFonts w:ascii="Times New Roman" w:hAnsi="Times New Roman"/>
          <w:i w:val="0"/>
          <w:color w:val="auto"/>
          <w:sz w:val="28"/>
          <w:szCs w:val="28"/>
        </w:rPr>
        <w:t xml:space="preserve">Примечание </w:t>
      </w:r>
      <w:r w:rsidR="00A518B7" w:rsidRPr="00577593">
        <w:rPr>
          <w:rFonts w:ascii="Times New Roman" w:hAnsi="Times New Roman"/>
          <w:i w:val="0"/>
          <w:color w:val="auto"/>
          <w:sz w:val="28"/>
          <w:szCs w:val="28"/>
        </w:rPr>
        <w:t>–</w:t>
      </w:r>
      <w:r w:rsidRPr="00577593">
        <w:rPr>
          <w:rFonts w:ascii="Times New Roman" w:hAnsi="Times New Roman"/>
          <w:i w:val="0"/>
          <w:color w:val="auto"/>
          <w:sz w:val="28"/>
          <w:szCs w:val="28"/>
        </w:rPr>
        <w:t xml:space="preserve"> Источник: данные </w:t>
      </w:r>
      <w:r w:rsidRPr="00577593">
        <w:rPr>
          <w:rFonts w:ascii="Times New Roman" w:hAnsi="Times New Roman"/>
          <w:i w:val="0"/>
          <w:iCs w:val="0"/>
          <w:color w:val="auto"/>
          <w:sz w:val="28"/>
          <w:szCs w:val="28"/>
        </w:rPr>
        <w:t>администрации</w:t>
      </w:r>
      <w:r w:rsidRPr="00577593">
        <w:rPr>
          <w:rFonts w:ascii="Times New Roman" w:hAnsi="Times New Roman"/>
          <w:i w:val="0"/>
          <w:color w:val="auto"/>
          <w:sz w:val="28"/>
          <w:szCs w:val="28"/>
        </w:rPr>
        <w:t xml:space="preserve"> города Барнаула</w:t>
      </w:r>
      <w:bookmarkEnd w:id="58"/>
    </w:p>
    <w:p w:rsidR="004369BA" w:rsidRPr="00577593" w:rsidRDefault="004369BA" w:rsidP="004369BA">
      <w:pPr>
        <w:spacing w:after="0"/>
        <w:rPr>
          <w:rFonts w:ascii="Times New Roman" w:hAnsi="Times New Roman"/>
        </w:rPr>
      </w:pPr>
    </w:p>
    <w:p w:rsidR="00FC41F4" w:rsidRPr="00577593" w:rsidRDefault="008925FA" w:rsidP="004369BA">
      <w:pPr>
        <w:spacing w:after="0" w:line="240" w:lineRule="auto"/>
        <w:ind w:firstLine="709"/>
        <w:jc w:val="both"/>
        <w:rPr>
          <w:rFonts w:ascii="Times New Roman" w:hAnsi="Times New Roman"/>
          <w:sz w:val="28"/>
          <w:szCs w:val="28"/>
        </w:rPr>
      </w:pPr>
      <w:r w:rsidRPr="00577593">
        <w:rPr>
          <w:rFonts w:ascii="Times New Roman" w:hAnsi="Times New Roman"/>
          <w:sz w:val="28"/>
          <w:szCs w:val="28"/>
        </w:rPr>
        <w:t>К основным проблемам в сфере физической культуры и спорта можно отнести:</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нехватку спортивных залов, легкоатлетических манежей;</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отсутствие возможности строительства спортивных комплексов с игровыми залами за счет средств бюджета</w:t>
      </w:r>
      <w:r w:rsidR="00270729">
        <w:rPr>
          <w:rFonts w:ascii="Times New Roman" w:eastAsia="Times New Roman" w:hAnsi="Times New Roman"/>
          <w:sz w:val="28"/>
          <w:szCs w:val="28"/>
          <w:lang w:eastAsia="ru-RU"/>
        </w:rPr>
        <w:t xml:space="preserve"> города</w:t>
      </w:r>
      <w:r w:rsidRPr="00577593">
        <w:rPr>
          <w:rFonts w:ascii="Times New Roman" w:eastAsia="Times New Roman" w:hAnsi="Times New Roman"/>
          <w:sz w:val="28"/>
          <w:szCs w:val="28"/>
          <w:lang w:eastAsia="ru-RU"/>
        </w:rPr>
        <w:t>;</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высокий износ спортивного инвентаря и оборудования;</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отсутствие системы адаптивной физкультуры;</w:t>
      </w:r>
    </w:p>
    <w:p w:rsidR="00FC41F4" w:rsidRDefault="00604CD4"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недостаточную</w:t>
      </w:r>
      <w:r w:rsidR="008925FA" w:rsidRPr="00577593">
        <w:rPr>
          <w:rFonts w:ascii="Times New Roman" w:eastAsia="Times New Roman" w:hAnsi="Times New Roman"/>
          <w:sz w:val="28"/>
          <w:szCs w:val="28"/>
          <w:lang w:eastAsia="ru-RU"/>
        </w:rPr>
        <w:t xml:space="preserve"> обеспеченность спортивными объектами пригородных территори</w:t>
      </w:r>
      <w:r w:rsidR="006117BF" w:rsidRPr="00577593">
        <w:rPr>
          <w:rFonts w:ascii="Times New Roman" w:eastAsia="Times New Roman" w:hAnsi="Times New Roman"/>
          <w:sz w:val="28"/>
          <w:szCs w:val="28"/>
          <w:lang w:eastAsia="ru-RU"/>
        </w:rPr>
        <w:t>й</w:t>
      </w:r>
      <w:r w:rsidR="008925FA" w:rsidRPr="00577593">
        <w:rPr>
          <w:rFonts w:ascii="Times New Roman" w:eastAsia="Times New Roman" w:hAnsi="Times New Roman"/>
          <w:sz w:val="28"/>
          <w:szCs w:val="28"/>
          <w:lang w:eastAsia="ru-RU"/>
        </w:rPr>
        <w:t xml:space="preserve"> города.</w:t>
      </w:r>
    </w:p>
    <w:p w:rsidR="006B6505" w:rsidRPr="00577593" w:rsidRDefault="006B6505" w:rsidP="006B6505">
      <w:pPr>
        <w:pStyle w:val="af5"/>
        <w:tabs>
          <w:tab w:val="left" w:pos="993"/>
        </w:tabs>
        <w:spacing w:after="0" w:line="240" w:lineRule="auto"/>
        <w:ind w:left="709"/>
        <w:jc w:val="both"/>
        <w:rPr>
          <w:rFonts w:ascii="Times New Roman" w:eastAsia="Times New Roman" w:hAnsi="Times New Roman"/>
          <w:sz w:val="28"/>
          <w:szCs w:val="28"/>
          <w:lang w:eastAsia="ru-RU"/>
        </w:rPr>
      </w:pPr>
    </w:p>
    <w:p w:rsidR="00FC41F4" w:rsidRPr="00577593" w:rsidRDefault="008925FA" w:rsidP="002000D4">
      <w:pPr>
        <w:pStyle w:val="3"/>
        <w:spacing w:before="0" w:line="240" w:lineRule="auto"/>
        <w:ind w:firstLine="709"/>
        <w:rPr>
          <w:rFonts w:ascii="Times New Roman" w:hAnsi="Times New Roman"/>
          <w:b/>
          <w:color w:val="auto"/>
          <w:sz w:val="28"/>
          <w:szCs w:val="28"/>
        </w:rPr>
      </w:pPr>
      <w:bookmarkStart w:id="59" w:name="_Toc2065209543"/>
      <w:bookmarkStart w:id="60" w:name="_Toc212804268"/>
      <w:r w:rsidRPr="00577593">
        <w:rPr>
          <w:rFonts w:ascii="Times New Roman" w:hAnsi="Times New Roman"/>
          <w:b/>
          <w:color w:val="auto"/>
          <w:sz w:val="28"/>
          <w:szCs w:val="28"/>
        </w:rPr>
        <w:t>2.5</w:t>
      </w:r>
      <w:r w:rsidR="006B6505">
        <w:rPr>
          <w:rFonts w:ascii="Times New Roman" w:hAnsi="Times New Roman"/>
          <w:b/>
          <w:color w:val="auto"/>
          <w:sz w:val="28"/>
          <w:szCs w:val="28"/>
        </w:rPr>
        <w:t>.</w:t>
      </w:r>
      <w:r w:rsidRPr="00577593">
        <w:rPr>
          <w:rFonts w:ascii="Times New Roman" w:hAnsi="Times New Roman"/>
          <w:b/>
          <w:color w:val="auto"/>
          <w:sz w:val="28"/>
          <w:szCs w:val="28"/>
        </w:rPr>
        <w:t xml:space="preserve"> Экономика города</w:t>
      </w:r>
      <w:bookmarkEnd w:id="59"/>
      <w:bookmarkEnd w:id="60"/>
    </w:p>
    <w:p w:rsidR="00FC41F4" w:rsidRPr="00577593" w:rsidRDefault="008925FA" w:rsidP="002000D4">
      <w:pPr>
        <w:pStyle w:val="3"/>
        <w:spacing w:before="0" w:line="240" w:lineRule="auto"/>
        <w:ind w:firstLine="709"/>
        <w:rPr>
          <w:rFonts w:ascii="Times New Roman" w:hAnsi="Times New Roman"/>
          <w:b/>
          <w:color w:val="auto"/>
          <w:sz w:val="28"/>
          <w:szCs w:val="28"/>
        </w:rPr>
      </w:pPr>
      <w:bookmarkStart w:id="61" w:name="_Toc1687489768"/>
      <w:bookmarkStart w:id="62" w:name="_Toc204923000"/>
      <w:bookmarkStart w:id="63" w:name="_Toc204933334"/>
      <w:bookmarkStart w:id="64" w:name="_Toc208496638"/>
      <w:bookmarkStart w:id="65" w:name="_Toc208668920"/>
      <w:bookmarkStart w:id="66" w:name="_Toc212804269"/>
      <w:r w:rsidRPr="00577593">
        <w:rPr>
          <w:rFonts w:ascii="Times New Roman" w:hAnsi="Times New Roman"/>
          <w:b/>
          <w:color w:val="auto"/>
          <w:sz w:val="28"/>
          <w:szCs w:val="28"/>
        </w:rPr>
        <w:t>2.5.1</w:t>
      </w:r>
      <w:r w:rsidR="006B6505">
        <w:rPr>
          <w:rFonts w:ascii="Times New Roman" w:hAnsi="Times New Roman"/>
          <w:b/>
          <w:color w:val="auto"/>
          <w:sz w:val="28"/>
          <w:szCs w:val="28"/>
        </w:rPr>
        <w:t>.</w:t>
      </w:r>
      <w:r w:rsidRPr="00577593">
        <w:rPr>
          <w:rFonts w:ascii="Times New Roman" w:hAnsi="Times New Roman"/>
          <w:b/>
          <w:color w:val="auto"/>
          <w:sz w:val="28"/>
          <w:szCs w:val="28"/>
        </w:rPr>
        <w:t xml:space="preserve"> Размер и структура экономики</w:t>
      </w:r>
      <w:bookmarkEnd w:id="61"/>
      <w:bookmarkEnd w:id="62"/>
      <w:bookmarkEnd w:id="63"/>
      <w:bookmarkEnd w:id="64"/>
      <w:bookmarkEnd w:id="65"/>
      <w:bookmarkEnd w:id="66"/>
    </w:p>
    <w:p w:rsidR="00FC41F4" w:rsidRPr="00577593" w:rsidRDefault="006B6505" w:rsidP="002000D4">
      <w:pPr>
        <w:spacing w:after="0" w:line="240" w:lineRule="auto"/>
        <w:ind w:firstLine="709"/>
        <w:jc w:val="both"/>
        <w:rPr>
          <w:rFonts w:ascii="Times New Roman" w:hAnsi="Times New Roman"/>
          <w:sz w:val="28"/>
          <w:szCs w:val="28"/>
        </w:rPr>
      </w:pPr>
      <w:r>
        <w:rPr>
          <w:rFonts w:ascii="Times New Roman" w:hAnsi="Times New Roman"/>
          <w:sz w:val="28"/>
          <w:szCs w:val="28"/>
        </w:rPr>
        <w:t xml:space="preserve">Город </w:t>
      </w:r>
      <w:r w:rsidR="008925FA" w:rsidRPr="00577593">
        <w:rPr>
          <w:rFonts w:ascii="Times New Roman" w:hAnsi="Times New Roman"/>
          <w:sz w:val="28"/>
          <w:szCs w:val="28"/>
        </w:rPr>
        <w:t xml:space="preserve">Барнаул </w:t>
      </w:r>
      <w:r w:rsidR="00A518B7" w:rsidRPr="00577593">
        <w:rPr>
          <w:rFonts w:ascii="Times New Roman" w:hAnsi="Times New Roman"/>
          <w:sz w:val="28"/>
          <w:szCs w:val="28"/>
        </w:rPr>
        <w:t>–</w:t>
      </w:r>
      <w:r w:rsidR="008925FA" w:rsidRPr="00577593">
        <w:rPr>
          <w:rFonts w:ascii="Times New Roman" w:hAnsi="Times New Roman"/>
          <w:sz w:val="28"/>
          <w:szCs w:val="28"/>
        </w:rPr>
        <w:t xml:space="preserve"> крупнейший город Алтайского края с развитой промышленной базой. На</w:t>
      </w:r>
      <w:r w:rsidR="00C7041A">
        <w:rPr>
          <w:rFonts w:ascii="Times New Roman" w:hAnsi="Times New Roman"/>
          <w:sz w:val="28"/>
          <w:szCs w:val="28"/>
        </w:rPr>
        <w:t xml:space="preserve"> город </w:t>
      </w:r>
      <w:r w:rsidR="008925FA" w:rsidRPr="00577593">
        <w:rPr>
          <w:rFonts w:ascii="Times New Roman" w:hAnsi="Times New Roman"/>
          <w:sz w:val="28"/>
          <w:szCs w:val="28"/>
        </w:rPr>
        <w:t xml:space="preserve">Барнаул приходится </w:t>
      </w:r>
      <w:r w:rsidR="006117BF" w:rsidRPr="00577593">
        <w:rPr>
          <w:rFonts w:ascii="Times New Roman" w:hAnsi="Times New Roman"/>
          <w:sz w:val="28"/>
          <w:szCs w:val="28"/>
        </w:rPr>
        <w:t>32,8%</w:t>
      </w:r>
      <w:r w:rsidR="008925FA" w:rsidRPr="00577593">
        <w:rPr>
          <w:rFonts w:ascii="Times New Roman" w:hAnsi="Times New Roman"/>
          <w:sz w:val="28"/>
          <w:szCs w:val="28"/>
        </w:rPr>
        <w:t xml:space="preserve"> населения края и 50% добавленной стоимости, создаваемой промышленными предприятиями региона. В 2023 году размер экономики города оценивался </w:t>
      </w:r>
      <w:r w:rsidR="006A55F8" w:rsidRPr="00577593">
        <w:rPr>
          <w:rFonts w:ascii="Times New Roman" w:hAnsi="Times New Roman"/>
          <w:sz w:val="28"/>
          <w:szCs w:val="28"/>
        </w:rPr>
        <w:br/>
      </w:r>
      <w:r w:rsidR="008925FA" w:rsidRPr="00577593">
        <w:rPr>
          <w:rFonts w:ascii="Times New Roman" w:hAnsi="Times New Roman"/>
          <w:sz w:val="28"/>
          <w:szCs w:val="28"/>
        </w:rPr>
        <w:t>в 505 млрд рублей</w:t>
      </w:r>
      <w:r w:rsidR="008925FA" w:rsidRPr="00577593">
        <w:rPr>
          <w:rStyle w:val="af9"/>
          <w:rFonts w:ascii="Times New Roman" w:hAnsi="Times New Roman"/>
          <w:sz w:val="28"/>
          <w:szCs w:val="28"/>
        </w:rPr>
        <w:footnoteReference w:id="2"/>
      </w:r>
      <w:r w:rsidR="008925FA" w:rsidRPr="00577593">
        <w:rPr>
          <w:rFonts w:ascii="Times New Roman" w:hAnsi="Times New Roman"/>
          <w:sz w:val="28"/>
          <w:szCs w:val="28"/>
        </w:rPr>
        <w:t xml:space="preserve">. </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Высокий уровень промышленного развития отражен в структуре экономики города (</w:t>
      </w:r>
      <w:r w:rsidR="00D558A5">
        <w:fldChar w:fldCharType="begin"/>
      </w:r>
      <w:r w:rsidR="00D558A5">
        <w:instrText xml:space="preserve"> REF _Ref199435701 \h  \* MERGEFORMAT </w:instrText>
      </w:r>
      <w:r w:rsidR="00D558A5">
        <w:fldChar w:fldCharType="separate"/>
      </w:r>
      <w:r w:rsidR="00071499" w:rsidRPr="00071499">
        <w:rPr>
          <w:rFonts w:ascii="Times New Roman" w:hAnsi="Times New Roman"/>
          <w:sz w:val="28"/>
          <w:szCs w:val="28"/>
        </w:rPr>
        <w:t>Рисунок 17</w:t>
      </w:r>
      <w:r w:rsidR="00D558A5">
        <w:fldChar w:fldCharType="end"/>
      </w:r>
      <w:r w:rsidRPr="00577593">
        <w:rPr>
          <w:rFonts w:ascii="Times New Roman" w:hAnsi="Times New Roman"/>
          <w:sz w:val="28"/>
          <w:szCs w:val="28"/>
        </w:rPr>
        <w:t xml:space="preserve">). Доля добавленной стоимости, созданной предприятиями обрабатывающей промышленности, составляет в </w:t>
      </w:r>
      <w:r w:rsidR="006B6505">
        <w:rPr>
          <w:rFonts w:ascii="Times New Roman" w:hAnsi="Times New Roman"/>
          <w:sz w:val="28"/>
          <w:szCs w:val="28"/>
        </w:rPr>
        <w:t xml:space="preserve">городе </w:t>
      </w:r>
      <w:r w:rsidRPr="00577593">
        <w:rPr>
          <w:rFonts w:ascii="Times New Roman" w:hAnsi="Times New Roman"/>
          <w:sz w:val="28"/>
          <w:szCs w:val="28"/>
        </w:rPr>
        <w:t>Барнауле 23% (по сравнению с 16% в среднем по Российской Федерации и 17%</w:t>
      </w:r>
      <w:r w:rsidR="006B6505">
        <w:rPr>
          <w:rFonts w:ascii="Times New Roman" w:hAnsi="Times New Roman"/>
          <w:sz w:val="28"/>
          <w:szCs w:val="28"/>
        </w:rPr>
        <w:t xml:space="preserve"> </w:t>
      </w:r>
      <w:r w:rsidRPr="00577593">
        <w:rPr>
          <w:rFonts w:ascii="Times New Roman" w:hAnsi="Times New Roman"/>
          <w:sz w:val="28"/>
          <w:szCs w:val="28"/>
        </w:rPr>
        <w:t xml:space="preserve">в Сибирском федеральном округе). Еще 2% валового продукта города приходятся на коммунальную сферу (производство энергии, водоснабжение и водоотведение). </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Помимо промышленности, в городе развита сервисная экономика </w:t>
      </w:r>
      <w:r w:rsidR="006A55F8" w:rsidRPr="00577593">
        <w:rPr>
          <w:rFonts w:ascii="Times New Roman" w:hAnsi="Times New Roman"/>
          <w:sz w:val="28"/>
          <w:szCs w:val="28"/>
        </w:rPr>
        <w:br/>
      </w:r>
      <w:r w:rsidRPr="00577593">
        <w:rPr>
          <w:rFonts w:ascii="Times New Roman" w:hAnsi="Times New Roman"/>
          <w:sz w:val="28"/>
          <w:szCs w:val="28"/>
        </w:rPr>
        <w:t xml:space="preserve">(на торговлю, общественное питание и предоставление услуг приходится 27% добавленной стоимости). Кроме потребительских услуг значимую долю занимают бизнес-сервисы: административные, профессиональные, финансовые и IT-услуги создают 14% валового городского продукта </w:t>
      </w:r>
      <w:r w:rsidR="006A55F8" w:rsidRPr="00577593">
        <w:rPr>
          <w:rFonts w:ascii="Times New Roman" w:hAnsi="Times New Roman"/>
          <w:sz w:val="28"/>
          <w:szCs w:val="28"/>
        </w:rPr>
        <w:br/>
      </w:r>
      <w:r w:rsidRPr="00577593">
        <w:rPr>
          <w:rFonts w:ascii="Times New Roman" w:hAnsi="Times New Roman"/>
          <w:sz w:val="28"/>
          <w:szCs w:val="28"/>
        </w:rPr>
        <w:t>(по сравнению с 8% в среднем по Алтайскому краю и 11% по Сибирскому федеральному округу).</w:t>
      </w:r>
    </w:p>
    <w:p w:rsidR="00FC41F4" w:rsidRPr="00577593" w:rsidRDefault="000D3F7A" w:rsidP="002000D4">
      <w:pPr>
        <w:spacing w:after="0" w:line="240" w:lineRule="auto"/>
        <w:rPr>
          <w:rFonts w:ascii="Times New Roman" w:hAnsi="Times New Roman"/>
          <w:sz w:val="24"/>
          <w:szCs w:val="24"/>
        </w:rPr>
      </w:pPr>
      <w:r w:rsidRPr="00577593">
        <w:rPr>
          <w:rFonts w:ascii="Times New Roman" w:hAnsi="Times New Roman"/>
          <w:noProof/>
          <w:lang w:eastAsia="ru-RU"/>
        </w:rPr>
        <w:lastRenderedPageBreak/>
        <w:drawing>
          <wp:inline distT="0" distB="0" distL="0" distR="0">
            <wp:extent cx="5734685" cy="3945255"/>
            <wp:effectExtent l="0" t="0" r="0" b="0"/>
            <wp:docPr id="17" name="Объект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C00493" w:rsidRPr="00577593" w:rsidRDefault="00C00493" w:rsidP="002000D4">
      <w:pPr>
        <w:pStyle w:val="aff9"/>
        <w:spacing w:after="0"/>
        <w:jc w:val="both"/>
        <w:rPr>
          <w:rFonts w:ascii="Times New Roman" w:hAnsi="Times New Roman"/>
          <w:i w:val="0"/>
          <w:iCs w:val="0"/>
          <w:color w:val="auto"/>
          <w:sz w:val="28"/>
          <w:szCs w:val="28"/>
        </w:rPr>
      </w:pPr>
    </w:p>
    <w:p w:rsidR="00FC41F4" w:rsidRDefault="008925FA" w:rsidP="00317761">
      <w:pPr>
        <w:pStyle w:val="aff9"/>
        <w:spacing w:after="0"/>
        <w:jc w:val="center"/>
        <w:rPr>
          <w:rFonts w:ascii="Times New Roman" w:hAnsi="Times New Roman"/>
          <w:i w:val="0"/>
          <w:color w:val="auto"/>
          <w:sz w:val="28"/>
          <w:szCs w:val="28"/>
        </w:rPr>
      </w:pPr>
      <w:bookmarkStart w:id="67" w:name="_Ref199435701"/>
      <w:r w:rsidRPr="00577593">
        <w:rPr>
          <w:rFonts w:ascii="Times New Roman" w:hAnsi="Times New Roman"/>
          <w:i w:val="0"/>
          <w:color w:val="auto"/>
          <w:sz w:val="28"/>
          <w:szCs w:val="28"/>
        </w:rPr>
        <w:t xml:space="preserve">Рисунок </w:t>
      </w:r>
      <w:r w:rsidR="00074AE5" w:rsidRPr="00577593">
        <w:rPr>
          <w:rFonts w:ascii="Times New Roman" w:hAnsi="Times New Roman"/>
          <w:i w:val="0"/>
          <w:color w:val="auto"/>
          <w:sz w:val="28"/>
          <w:szCs w:val="28"/>
        </w:rPr>
        <w:fldChar w:fldCharType="begin"/>
      </w:r>
      <w:r w:rsidRPr="00577593">
        <w:rPr>
          <w:rFonts w:ascii="Times New Roman" w:hAnsi="Times New Roman"/>
          <w:i w:val="0"/>
          <w:color w:val="auto"/>
          <w:sz w:val="28"/>
          <w:szCs w:val="28"/>
        </w:rPr>
        <w:instrText xml:space="preserve"> SEQ Рисунок \* ARABIC </w:instrText>
      </w:r>
      <w:r w:rsidR="00074AE5" w:rsidRPr="00577593">
        <w:rPr>
          <w:rFonts w:ascii="Times New Roman" w:hAnsi="Times New Roman"/>
          <w:i w:val="0"/>
          <w:color w:val="auto"/>
          <w:sz w:val="28"/>
          <w:szCs w:val="28"/>
        </w:rPr>
        <w:fldChar w:fldCharType="separate"/>
      </w:r>
      <w:r w:rsidR="00071499">
        <w:rPr>
          <w:rFonts w:ascii="Times New Roman" w:hAnsi="Times New Roman"/>
          <w:i w:val="0"/>
          <w:noProof/>
          <w:color w:val="auto"/>
          <w:sz w:val="28"/>
          <w:szCs w:val="28"/>
        </w:rPr>
        <w:t>17</w:t>
      </w:r>
      <w:r w:rsidR="00074AE5" w:rsidRPr="00577593">
        <w:rPr>
          <w:rFonts w:ascii="Times New Roman" w:hAnsi="Times New Roman"/>
          <w:i w:val="0"/>
          <w:color w:val="auto"/>
          <w:sz w:val="28"/>
          <w:szCs w:val="28"/>
        </w:rPr>
        <w:fldChar w:fldCharType="end"/>
      </w:r>
      <w:bookmarkEnd w:id="67"/>
      <w:r w:rsidRPr="00577593">
        <w:rPr>
          <w:rFonts w:ascii="Times New Roman" w:hAnsi="Times New Roman"/>
          <w:i w:val="0"/>
          <w:color w:val="auto"/>
          <w:sz w:val="28"/>
          <w:szCs w:val="28"/>
        </w:rPr>
        <w:t xml:space="preserve"> </w:t>
      </w:r>
      <w:r w:rsidR="00A518B7" w:rsidRPr="00577593">
        <w:rPr>
          <w:rFonts w:ascii="Times New Roman" w:hAnsi="Times New Roman"/>
          <w:i w:val="0"/>
          <w:color w:val="auto"/>
          <w:sz w:val="28"/>
          <w:szCs w:val="28"/>
        </w:rPr>
        <w:t>–</w:t>
      </w:r>
      <w:r w:rsidRPr="00577593">
        <w:rPr>
          <w:rFonts w:ascii="Times New Roman" w:hAnsi="Times New Roman"/>
          <w:i w:val="0"/>
          <w:color w:val="auto"/>
          <w:sz w:val="28"/>
          <w:szCs w:val="28"/>
        </w:rPr>
        <w:t xml:space="preserve"> Структура ВГП и занятости </w:t>
      </w:r>
      <w:r w:rsidR="006B6505">
        <w:rPr>
          <w:rFonts w:ascii="Times New Roman" w:hAnsi="Times New Roman"/>
          <w:i w:val="0"/>
          <w:color w:val="auto"/>
          <w:sz w:val="28"/>
          <w:szCs w:val="28"/>
        </w:rPr>
        <w:t xml:space="preserve">города </w:t>
      </w:r>
      <w:r w:rsidRPr="00577593">
        <w:rPr>
          <w:rFonts w:ascii="Times New Roman" w:hAnsi="Times New Roman"/>
          <w:i w:val="0"/>
          <w:color w:val="auto"/>
          <w:sz w:val="28"/>
          <w:szCs w:val="28"/>
        </w:rPr>
        <w:t>Барнаула, 2024 г.</w:t>
      </w:r>
      <w:bookmarkStart w:id="68" w:name="_Toc1967694792"/>
      <w:bookmarkStart w:id="69" w:name="_Toc204923001"/>
      <w:bookmarkStart w:id="70" w:name="_Toc204933335"/>
    </w:p>
    <w:p w:rsidR="00317761" w:rsidRPr="00577593" w:rsidRDefault="00317761" w:rsidP="00317761">
      <w:pPr>
        <w:pStyle w:val="aff9"/>
        <w:spacing w:after="0"/>
        <w:rPr>
          <w:rFonts w:ascii="Times New Roman" w:hAnsi="Times New Roman"/>
          <w:i w:val="0"/>
          <w:iCs w:val="0"/>
          <w:color w:val="auto"/>
          <w:sz w:val="28"/>
          <w:szCs w:val="28"/>
        </w:rPr>
      </w:pPr>
      <w:r w:rsidRPr="00577593">
        <w:rPr>
          <w:rFonts w:ascii="Times New Roman" w:hAnsi="Times New Roman"/>
          <w:i w:val="0"/>
          <w:iCs w:val="0"/>
          <w:color w:val="auto"/>
          <w:sz w:val="28"/>
          <w:szCs w:val="28"/>
        </w:rPr>
        <w:t>Примечание – Источник: данные Росстата, Федеральной налоговой службы</w:t>
      </w:r>
    </w:p>
    <w:p w:rsidR="00317761" w:rsidRPr="00270729" w:rsidRDefault="00317761" w:rsidP="00317761">
      <w:pPr>
        <w:spacing w:after="0" w:line="240" w:lineRule="auto"/>
        <w:rPr>
          <w:rFonts w:ascii="Times New Roman" w:hAnsi="Times New Roman"/>
          <w:sz w:val="28"/>
          <w:szCs w:val="28"/>
        </w:rPr>
      </w:pPr>
    </w:p>
    <w:p w:rsidR="00FC41F4" w:rsidRPr="00577593" w:rsidRDefault="008925FA" w:rsidP="002000D4">
      <w:pPr>
        <w:pStyle w:val="3"/>
        <w:spacing w:before="0" w:line="240" w:lineRule="auto"/>
        <w:ind w:firstLine="709"/>
        <w:rPr>
          <w:rFonts w:ascii="Times New Roman" w:hAnsi="Times New Roman"/>
          <w:b/>
          <w:color w:val="auto"/>
          <w:sz w:val="28"/>
          <w:szCs w:val="28"/>
        </w:rPr>
      </w:pPr>
      <w:bookmarkStart w:id="71" w:name="_Toc208496639"/>
      <w:bookmarkStart w:id="72" w:name="_Toc208668921"/>
      <w:bookmarkStart w:id="73" w:name="_Toc212804270"/>
      <w:r w:rsidRPr="00577593">
        <w:rPr>
          <w:rFonts w:ascii="Times New Roman" w:hAnsi="Times New Roman"/>
          <w:b/>
          <w:color w:val="auto"/>
          <w:sz w:val="28"/>
          <w:szCs w:val="28"/>
        </w:rPr>
        <w:t>2.5.2</w:t>
      </w:r>
      <w:r w:rsidR="006B6505">
        <w:rPr>
          <w:rFonts w:ascii="Times New Roman" w:hAnsi="Times New Roman"/>
          <w:b/>
          <w:color w:val="auto"/>
          <w:sz w:val="28"/>
          <w:szCs w:val="28"/>
        </w:rPr>
        <w:t>.</w:t>
      </w:r>
      <w:r w:rsidRPr="00577593">
        <w:rPr>
          <w:rFonts w:ascii="Times New Roman" w:hAnsi="Times New Roman"/>
          <w:b/>
          <w:color w:val="auto"/>
          <w:sz w:val="28"/>
          <w:szCs w:val="28"/>
        </w:rPr>
        <w:t xml:space="preserve"> </w:t>
      </w:r>
      <w:r w:rsidR="006117BF" w:rsidRPr="00577593">
        <w:rPr>
          <w:rFonts w:ascii="Times New Roman" w:hAnsi="Times New Roman"/>
          <w:b/>
          <w:color w:val="auto"/>
          <w:sz w:val="28"/>
          <w:szCs w:val="28"/>
        </w:rPr>
        <w:t>Промышленный</w:t>
      </w:r>
      <w:r w:rsidRPr="00577593">
        <w:rPr>
          <w:rFonts w:ascii="Times New Roman" w:hAnsi="Times New Roman"/>
          <w:b/>
          <w:color w:val="auto"/>
          <w:sz w:val="28"/>
          <w:szCs w:val="28"/>
        </w:rPr>
        <w:t xml:space="preserve"> сектор</w:t>
      </w:r>
      <w:bookmarkEnd w:id="68"/>
      <w:bookmarkEnd w:id="69"/>
      <w:bookmarkEnd w:id="70"/>
      <w:bookmarkEnd w:id="71"/>
      <w:bookmarkEnd w:id="72"/>
      <w:bookmarkEnd w:id="73"/>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Ключевыми отраслями промышленности являются машиностроение (включая аграрное и энергетическое машиностроение, приборостроение), химическая промышленность (включая производство резиновых изделий) и пищевая промышленность. Из общего объема товаров, отгруженных крупными и средними предприятиями города, 50% приходится </w:t>
      </w:r>
      <w:r w:rsidR="006A55F8" w:rsidRPr="00577593">
        <w:rPr>
          <w:rFonts w:ascii="Times New Roman" w:hAnsi="Times New Roman"/>
          <w:sz w:val="28"/>
          <w:szCs w:val="28"/>
        </w:rPr>
        <w:br/>
      </w:r>
      <w:r w:rsidRPr="00577593">
        <w:rPr>
          <w:rFonts w:ascii="Times New Roman" w:hAnsi="Times New Roman"/>
          <w:sz w:val="28"/>
          <w:szCs w:val="28"/>
        </w:rPr>
        <w:t>на машиностроение.</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Значимую роль в экономике города также играют предприятия, производящие потребительские товары </w:t>
      </w:r>
      <w:r w:rsidR="00A518B7" w:rsidRPr="00577593">
        <w:rPr>
          <w:rFonts w:ascii="Times New Roman" w:hAnsi="Times New Roman"/>
          <w:sz w:val="28"/>
          <w:szCs w:val="28"/>
        </w:rPr>
        <w:t>–</w:t>
      </w:r>
      <w:r w:rsidRPr="00577593">
        <w:rPr>
          <w:rFonts w:ascii="Times New Roman" w:hAnsi="Times New Roman"/>
          <w:sz w:val="28"/>
          <w:szCs w:val="28"/>
        </w:rPr>
        <w:t xml:space="preserve"> предприятия легкой промышленности, пищевой промышленности, текстильные предприятия, деревообрабатывающие предприятия и производители бытовых товаров. На такие предприятия приходится 15% объема производства крупными предприятиями; из них 10% приходится на пищевую промышленность. </w:t>
      </w:r>
    </w:p>
    <w:p w:rsidR="00FC41F4" w:rsidRPr="00577593" w:rsidRDefault="008925FA" w:rsidP="002000D4">
      <w:pPr>
        <w:spacing w:after="0" w:line="240" w:lineRule="auto"/>
        <w:ind w:firstLine="709"/>
        <w:jc w:val="both"/>
        <w:rPr>
          <w:rFonts w:ascii="Times New Roman" w:hAnsi="Times New Roman"/>
          <w:b/>
          <w:sz w:val="28"/>
          <w:szCs w:val="28"/>
        </w:rPr>
      </w:pPr>
      <w:r w:rsidRPr="00577593">
        <w:rPr>
          <w:rFonts w:ascii="Times New Roman" w:hAnsi="Times New Roman"/>
          <w:b/>
          <w:sz w:val="28"/>
          <w:szCs w:val="28"/>
        </w:rPr>
        <w:t>Аграрное машиностроение</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Предприятия аграрного машиностроения </w:t>
      </w:r>
      <w:r w:rsidR="006B6505">
        <w:rPr>
          <w:rFonts w:ascii="Times New Roman" w:hAnsi="Times New Roman"/>
          <w:sz w:val="28"/>
          <w:szCs w:val="28"/>
        </w:rPr>
        <w:t xml:space="preserve">города </w:t>
      </w:r>
      <w:r w:rsidRPr="00577593">
        <w:rPr>
          <w:rFonts w:ascii="Times New Roman" w:hAnsi="Times New Roman"/>
          <w:sz w:val="28"/>
          <w:szCs w:val="28"/>
        </w:rPr>
        <w:t xml:space="preserve">занимают лидирующие позиции на национальном уровне (по отдельным позициям доля рынка в Российской Федерации превышает 30%). Толчком развития сектора стали импортные и экспортные санкции, введенные в 2014 году в Российской Федерации. Предприятия </w:t>
      </w:r>
      <w:r w:rsidR="006B6505">
        <w:rPr>
          <w:rFonts w:ascii="Times New Roman" w:hAnsi="Times New Roman"/>
          <w:sz w:val="28"/>
          <w:szCs w:val="28"/>
        </w:rPr>
        <w:t xml:space="preserve">города </w:t>
      </w:r>
      <w:r w:rsidRPr="00577593">
        <w:rPr>
          <w:rFonts w:ascii="Times New Roman" w:hAnsi="Times New Roman"/>
          <w:sz w:val="28"/>
          <w:szCs w:val="28"/>
        </w:rPr>
        <w:t xml:space="preserve">Барнаула особенно конкурентоспособны, отчасти в связи с расположением в ведущем аграрном </w:t>
      </w:r>
      <w:r w:rsidRPr="00577593">
        <w:rPr>
          <w:rFonts w:ascii="Times New Roman" w:hAnsi="Times New Roman"/>
          <w:sz w:val="28"/>
          <w:szCs w:val="28"/>
        </w:rPr>
        <w:lastRenderedPageBreak/>
        <w:t>регионе страны, что позволяет оперативно реагировать на потребности сельхозпроизводителей.</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Предприятия выигрывают от федеральных и региональных мер поддержки сельского хозяйства, так как могут реализовать свою продукцию по государственным программам льготного лизинга. Барнаульское сельскохозяйственное оборудование также поставляется за границу, преимущественно в страны Центральной Азии.</w:t>
      </w:r>
    </w:p>
    <w:p w:rsidR="00FC41F4" w:rsidRPr="00577593" w:rsidRDefault="008925FA" w:rsidP="002000D4">
      <w:pPr>
        <w:tabs>
          <w:tab w:val="left" w:pos="4111"/>
        </w:tabs>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ООО «ТД Комплекс АГРО» </w:t>
      </w:r>
      <w:r w:rsidR="00A518B7" w:rsidRPr="00577593">
        <w:rPr>
          <w:rFonts w:ascii="Times New Roman" w:hAnsi="Times New Roman"/>
          <w:sz w:val="28"/>
          <w:szCs w:val="28"/>
        </w:rPr>
        <w:t>–</w:t>
      </w:r>
      <w:r w:rsidRPr="00577593">
        <w:rPr>
          <w:rFonts w:ascii="Times New Roman" w:hAnsi="Times New Roman"/>
          <w:sz w:val="28"/>
          <w:szCs w:val="28"/>
        </w:rPr>
        <w:t xml:space="preserve"> производитель почвообрабатывающей, прицепной и сушильной техники. Компания также предоставляет услуги дилера импортной техники, ремонта и обслуживания собственного и зарубежного оборудования, и комплексные услуги полного цикла. В городе действуют 7 производственных площадок предприятия.  </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ООО «Агроцентр» </w:t>
      </w:r>
      <w:r w:rsidR="00A518B7" w:rsidRPr="00577593">
        <w:rPr>
          <w:rFonts w:ascii="Times New Roman" w:hAnsi="Times New Roman"/>
          <w:sz w:val="28"/>
          <w:szCs w:val="28"/>
        </w:rPr>
        <w:t>–</w:t>
      </w:r>
      <w:r w:rsidRPr="00577593">
        <w:rPr>
          <w:rFonts w:ascii="Times New Roman" w:hAnsi="Times New Roman"/>
          <w:sz w:val="28"/>
          <w:szCs w:val="28"/>
        </w:rPr>
        <w:t xml:space="preserve"> агроснабженческий комплекс, поставляющий все виды сельскохозяйственной техники, запасные части и расходные материалы. На предприятии также налажено производство собственной   техники под брендом FEATAGRO.</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ООО «Алтайлесмаш» </w:t>
      </w:r>
      <w:r w:rsidR="00A518B7" w:rsidRPr="00577593">
        <w:rPr>
          <w:rFonts w:ascii="Times New Roman" w:hAnsi="Times New Roman"/>
          <w:sz w:val="28"/>
          <w:szCs w:val="28"/>
        </w:rPr>
        <w:t>–</w:t>
      </w:r>
      <w:r w:rsidRPr="00577593">
        <w:rPr>
          <w:rFonts w:ascii="Times New Roman" w:hAnsi="Times New Roman"/>
          <w:sz w:val="28"/>
          <w:szCs w:val="28"/>
        </w:rPr>
        <w:t xml:space="preserve"> предприятие по производству гусеничной техники и запасных частей для различных отраслей промышленности (лесной, нефтегазовой, геологии и энергетики). Последней разработкой предприятия стал гусеничный трактор «Барнаулец» с уровнем локализации производства 98% (только 2% компонентов были импортированы). Предприятие специализируется на производстве техники для лесопромышленного комплекса.</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АО «АНИТИМ» занимается производством сельскохозяйственной техники, включая проектирование и изготовление нестандартного оборудования по заказам предприятий. Предприятие инвестировало более 100 млн рублей в строительство промышленного технопарка «Компонент» (общая стоимость проекта </w:t>
      </w:r>
      <w:r w:rsidR="00A518B7" w:rsidRPr="00577593">
        <w:rPr>
          <w:rFonts w:ascii="Times New Roman" w:hAnsi="Times New Roman"/>
          <w:sz w:val="28"/>
          <w:szCs w:val="28"/>
        </w:rPr>
        <w:t>–</w:t>
      </w:r>
      <w:r w:rsidR="006B6505">
        <w:rPr>
          <w:rFonts w:ascii="Times New Roman" w:hAnsi="Times New Roman"/>
          <w:sz w:val="28"/>
          <w:szCs w:val="28"/>
        </w:rPr>
        <w:t xml:space="preserve"> 631,3 млн рублей</w:t>
      </w:r>
      <w:r w:rsidRPr="00577593">
        <w:rPr>
          <w:rFonts w:ascii="Times New Roman" w:hAnsi="Times New Roman"/>
          <w:sz w:val="28"/>
          <w:szCs w:val="28"/>
        </w:rPr>
        <w:t>, включая бюджетные средства). В составе технопарка действует реинжиниринговый центр, укомплектованный 3D-сканерами и принтерами.</w:t>
      </w:r>
    </w:p>
    <w:p w:rsidR="00FC41F4" w:rsidRPr="00577593" w:rsidRDefault="008925FA" w:rsidP="002000D4">
      <w:pPr>
        <w:spacing w:after="0" w:line="240" w:lineRule="auto"/>
        <w:ind w:firstLine="709"/>
        <w:jc w:val="both"/>
        <w:rPr>
          <w:rFonts w:ascii="Times New Roman" w:hAnsi="Times New Roman"/>
          <w:b/>
          <w:sz w:val="28"/>
          <w:szCs w:val="28"/>
        </w:rPr>
      </w:pPr>
      <w:r w:rsidRPr="00577593">
        <w:rPr>
          <w:rFonts w:ascii="Times New Roman" w:hAnsi="Times New Roman"/>
          <w:b/>
          <w:sz w:val="28"/>
          <w:szCs w:val="28"/>
        </w:rPr>
        <w:t>Энергетическое машиностроение</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Энергетическое машиностроение представлено преимущественно предприятиями, производящими отопительные котлы для разных видов топлива. Спрос на продукцию растет в зарубежных странах; в частности, опережающими темпами растут отгрузки в Монголию и Индию. Рассматриваются планы по строительству еще одного крупного котельного завода. Всего по Алтайскому краю функционирует более 100 предприятий энергетического машиностроения, из них более 30 </w:t>
      </w:r>
      <w:r w:rsidR="00A518B7" w:rsidRPr="00577593">
        <w:rPr>
          <w:rFonts w:ascii="Times New Roman" w:hAnsi="Times New Roman"/>
          <w:sz w:val="28"/>
          <w:szCs w:val="28"/>
        </w:rPr>
        <w:t>–</w:t>
      </w:r>
      <w:r w:rsidRPr="00577593">
        <w:rPr>
          <w:rFonts w:ascii="Times New Roman" w:hAnsi="Times New Roman"/>
          <w:sz w:val="28"/>
          <w:szCs w:val="28"/>
        </w:rPr>
        <w:t xml:space="preserve"> крупных предприятий.</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OOO «Сибэнергомаш-БКЗ» </w:t>
      </w:r>
      <w:r w:rsidR="00A518B7" w:rsidRPr="00577593">
        <w:rPr>
          <w:rFonts w:ascii="Times New Roman" w:hAnsi="Times New Roman"/>
          <w:sz w:val="28"/>
          <w:szCs w:val="28"/>
        </w:rPr>
        <w:t>–</w:t>
      </w:r>
      <w:r w:rsidRPr="00577593">
        <w:rPr>
          <w:rFonts w:ascii="Times New Roman" w:hAnsi="Times New Roman"/>
          <w:sz w:val="28"/>
          <w:szCs w:val="28"/>
        </w:rPr>
        <w:t xml:space="preserve"> предприятие обеспечивает оборудованием, в частности котлами, крупные тепловые электростанции, объекты металлургии, нефтехимии и других отраслей. «Сибэнергомаш-БКЗ» также занимает лидирующие позиции на рынке промышленных вентиляторов и дымососов. В 2023 году завод стал стратегическим партнером АО «Группа компаний «ЕКС», системообразующего предприятия российской экономики и одного из крупнейших </w:t>
      </w:r>
      <w:r w:rsidRPr="00577593">
        <w:rPr>
          <w:rFonts w:ascii="Times New Roman" w:hAnsi="Times New Roman"/>
          <w:sz w:val="28"/>
          <w:szCs w:val="28"/>
        </w:rPr>
        <w:lastRenderedPageBreak/>
        <w:t>мультидисциплинарных участников рынка инфраструктурного строительства страны.</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Производственное объединение «Межрегионэнергосервис» специализируется на производстве паровых котлов, их узлов </w:t>
      </w:r>
      <w:r w:rsidR="006A55F8" w:rsidRPr="00577593">
        <w:rPr>
          <w:rFonts w:ascii="Times New Roman" w:hAnsi="Times New Roman"/>
          <w:sz w:val="28"/>
          <w:szCs w:val="28"/>
        </w:rPr>
        <w:br/>
      </w:r>
      <w:r w:rsidRPr="00577593">
        <w:rPr>
          <w:rFonts w:ascii="Times New Roman" w:hAnsi="Times New Roman"/>
          <w:sz w:val="28"/>
          <w:szCs w:val="28"/>
        </w:rPr>
        <w:t>и комплектующих, а также на оказании услуг ремонту и обслуживанию котельного оборудования. Продукция применяется в энергетике, промышленности и ЖКХ. В 2025 году компания стала частью холдинга «Интер РАО».</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ЗАО «Редукционно-охладительные установки» проектирует </w:t>
      </w:r>
      <w:r w:rsidR="006A55F8" w:rsidRPr="00577593">
        <w:rPr>
          <w:rFonts w:ascii="Times New Roman" w:hAnsi="Times New Roman"/>
          <w:sz w:val="28"/>
          <w:szCs w:val="28"/>
        </w:rPr>
        <w:br/>
      </w:r>
      <w:r w:rsidRPr="00577593">
        <w:rPr>
          <w:rFonts w:ascii="Times New Roman" w:hAnsi="Times New Roman"/>
          <w:sz w:val="28"/>
          <w:szCs w:val="28"/>
        </w:rPr>
        <w:t>и производит арматуру для энергетики, включая редукционно-охладительные установки, а также элементы трубопроводов для тепловых электростанций. Высокотехнологичные изделия используются в теплоэнергетике, металлургии, нефтехимии и других промышленных сферах, включая крупные нефтяные компании.</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ОАО «Алттранс» является лидером по выпуску силовых трансформаторов для энергетических систем и промышленных предприятий. Продукция компании применяется на объектах электроэнергетики, нефтегазовой отрасли, металлургии и транспортной инфраструктуры. </w:t>
      </w:r>
      <w:r w:rsidR="00BD2F0A">
        <w:rPr>
          <w:rFonts w:ascii="Times New Roman" w:hAnsi="Times New Roman"/>
          <w:sz w:val="28"/>
          <w:szCs w:val="28"/>
        </w:rPr>
        <w:t>Предприятие</w:t>
      </w:r>
      <w:r w:rsidRPr="00577593">
        <w:rPr>
          <w:rFonts w:ascii="Times New Roman" w:hAnsi="Times New Roman"/>
          <w:sz w:val="28"/>
          <w:szCs w:val="28"/>
        </w:rPr>
        <w:t xml:space="preserve"> также обеспечивает сервисное обслуживание и ремонт трансформаторного оборудования.</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ООО «Барнаульский котельный завод» выпускает линейку энергетической арматуры среднего и высокого давления, включая запорную, регулирующую и предохранительную арматуру для котельных </w:t>
      </w:r>
      <w:r w:rsidR="006A55F8" w:rsidRPr="00577593">
        <w:rPr>
          <w:rFonts w:ascii="Times New Roman" w:hAnsi="Times New Roman"/>
          <w:sz w:val="28"/>
          <w:szCs w:val="28"/>
        </w:rPr>
        <w:br/>
      </w:r>
      <w:r w:rsidRPr="00577593">
        <w:rPr>
          <w:rFonts w:ascii="Times New Roman" w:hAnsi="Times New Roman"/>
          <w:sz w:val="28"/>
          <w:szCs w:val="28"/>
        </w:rPr>
        <w:t>и трубопроводов. Продукция завода применяется в энергетике, коммунальном хозяйстве и на промышленных предприятиях. Компания поставляет свою продукцию на зарубежные рынки, в том числе в страны СНГ и Восточной Азии.</w:t>
      </w:r>
    </w:p>
    <w:p w:rsidR="00FC41F4" w:rsidRPr="00577593" w:rsidRDefault="008925FA" w:rsidP="002000D4">
      <w:pPr>
        <w:spacing w:after="0" w:line="240" w:lineRule="auto"/>
        <w:ind w:firstLine="709"/>
        <w:jc w:val="both"/>
        <w:rPr>
          <w:rFonts w:ascii="Times New Roman" w:hAnsi="Times New Roman"/>
          <w:b/>
          <w:sz w:val="28"/>
          <w:szCs w:val="28"/>
        </w:rPr>
      </w:pPr>
      <w:r w:rsidRPr="00577593">
        <w:rPr>
          <w:rFonts w:ascii="Times New Roman" w:hAnsi="Times New Roman"/>
          <w:b/>
          <w:sz w:val="28"/>
          <w:szCs w:val="28"/>
        </w:rPr>
        <w:t>Химическая промышленность</w:t>
      </w:r>
    </w:p>
    <w:p w:rsidR="00C179B7"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В городе сложился комплекс предприятий химической промышленности, включая крупнейшую отрасль резиново-технических изделий (РТИ). Многие компании развивались в экосистеме Барнаульского резиноасбестового комбината, основанного в 1960-х годах. </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ООО «Барнаул-РТИ» производит широкий спектр резинотехнических изделий, включая специализированную продукцию: прорезиненные ткани, топливные баки для авиации, надувные спасательные лодки, поливочные шланги и резиновые смеси. В последние годы отмечалась активность предприятия в рамках программ импортозамещения, особенно в сегменте авиационных компонентов и технических тканей.</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ООО «Барнаульский завод АТИ» </w:t>
      </w:r>
      <w:r w:rsidR="00A518B7" w:rsidRPr="00577593">
        <w:rPr>
          <w:rFonts w:ascii="Times New Roman" w:hAnsi="Times New Roman"/>
          <w:sz w:val="28"/>
          <w:szCs w:val="28"/>
        </w:rPr>
        <w:t>–</w:t>
      </w:r>
      <w:r w:rsidRPr="00577593">
        <w:rPr>
          <w:rFonts w:ascii="Times New Roman" w:hAnsi="Times New Roman"/>
          <w:sz w:val="28"/>
          <w:szCs w:val="28"/>
        </w:rPr>
        <w:t xml:space="preserve"> ключевой производитель асбестотехнических (АТИ) и безасбестовых изделий в России. Специализируется на фрикционных материалах (тормозные колодки, накладки), а также на широкой номенклатуре уплотнительных, прокладочных и термостойких материалов. Продукция предприятия используется во всех отраслях народного хозяйства. Завод играет важную роль в обеспечении независимости от импорта. В 2024 году предприятие </w:t>
      </w:r>
      <w:r w:rsidRPr="00577593">
        <w:rPr>
          <w:rFonts w:ascii="Times New Roman" w:hAnsi="Times New Roman"/>
          <w:sz w:val="28"/>
          <w:szCs w:val="28"/>
        </w:rPr>
        <w:lastRenderedPageBreak/>
        <w:t xml:space="preserve">стало поставщиком тормозных накладок для электропоездов РЖД, ранее изготавливавшихся в Германии. </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АО ПО «Алтайский шинный комбинат» (ранее ООО «Нортек») производит шины различного назначения: легковые, грузовые, авиационные и сельскохозяйственные. С 2023 года производитель шин (вместе с узкоспециализированным производителем авиационных шин «ЯШЗ Авиа») находится под управлением АО «Росхим».</w:t>
      </w:r>
    </w:p>
    <w:p w:rsidR="00F80DAC"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ООО «Ренессанс Косметик» специализируется на производстве бытовой химии и косметики, это одно из крупнейших предприятий за Уралом в данной отрасли. Основным направлением деятельности является производство парфюмерно-косметической продукции, товаров бытовой химии, средств по уходу за автомобилем, производство гостиничной парфюмерии, а также промышленной химии и химии для клининга. Продукция «Ренессанс Косметик» представлена во всех крупных розничных сетях Сибири.</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b/>
          <w:sz w:val="28"/>
          <w:szCs w:val="28"/>
        </w:rPr>
        <w:t xml:space="preserve">Производители потребительских товаров (включая пищевую </w:t>
      </w:r>
      <w:r w:rsidR="006A55F8" w:rsidRPr="00577593">
        <w:rPr>
          <w:rFonts w:ascii="Times New Roman" w:hAnsi="Times New Roman"/>
          <w:b/>
          <w:sz w:val="28"/>
          <w:szCs w:val="28"/>
        </w:rPr>
        <w:br/>
      </w:r>
      <w:r w:rsidRPr="00577593">
        <w:rPr>
          <w:rFonts w:ascii="Times New Roman" w:hAnsi="Times New Roman"/>
          <w:b/>
          <w:sz w:val="28"/>
          <w:szCs w:val="28"/>
        </w:rPr>
        <w:t xml:space="preserve">и легкую промышленность) </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На конкурентоспособности производителей потребительских товаров на внутреннем рынке положительно сказались иностранные санкции, введенные в 2022 году. Среднегодовой темп роста выручки крупных предприятий легкой промышленности ускорил</w:t>
      </w:r>
      <w:r w:rsidR="00A518B7" w:rsidRPr="00577593">
        <w:rPr>
          <w:rFonts w:ascii="Times New Roman" w:hAnsi="Times New Roman"/>
          <w:sz w:val="28"/>
          <w:szCs w:val="28"/>
        </w:rPr>
        <w:t xml:space="preserve">ся до 7% в 2022-2024 годы, </w:t>
      </w:r>
      <w:r w:rsidR="006A55F8" w:rsidRPr="00577593">
        <w:rPr>
          <w:rFonts w:ascii="Times New Roman" w:hAnsi="Times New Roman"/>
          <w:sz w:val="28"/>
          <w:szCs w:val="28"/>
        </w:rPr>
        <w:br/>
      </w:r>
      <w:r w:rsidR="00A518B7" w:rsidRPr="00577593">
        <w:rPr>
          <w:rFonts w:ascii="Times New Roman" w:hAnsi="Times New Roman"/>
          <w:sz w:val="28"/>
          <w:szCs w:val="28"/>
        </w:rPr>
        <w:t>в сравнении с 4% в 2017-2021 годы.</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АО «Барнаульский молочный комбинат» входит в ТОП-30 переработчиков молока в России. Предприятие динамично развивается благодаря модернизации и увеличению мощностей и стабильной сырьевой базе. Отличительная особенность всех производственных площадок </w:t>
      </w:r>
      <w:r w:rsidR="00A518B7" w:rsidRPr="00577593">
        <w:rPr>
          <w:rFonts w:ascii="Times New Roman" w:hAnsi="Times New Roman"/>
          <w:sz w:val="28"/>
          <w:szCs w:val="28"/>
        </w:rPr>
        <w:t>–</w:t>
      </w:r>
      <w:r w:rsidRPr="00577593">
        <w:rPr>
          <w:rFonts w:ascii="Times New Roman" w:hAnsi="Times New Roman"/>
          <w:sz w:val="28"/>
          <w:szCs w:val="28"/>
        </w:rPr>
        <w:t xml:space="preserve"> наличие аттестованных лабораторий, которые обеспечивают многоступенчатый контроль по международному стандарту.</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ОП ООО «БТК Текстиль» Барнаульский меланжевый комбинат «Меланжист Алтая» </w:t>
      </w:r>
      <w:r w:rsidR="00A518B7" w:rsidRPr="00577593">
        <w:rPr>
          <w:rFonts w:ascii="Times New Roman" w:hAnsi="Times New Roman"/>
          <w:sz w:val="28"/>
          <w:szCs w:val="28"/>
        </w:rPr>
        <w:t>–</w:t>
      </w:r>
      <w:r w:rsidRPr="00577593">
        <w:rPr>
          <w:rFonts w:ascii="Times New Roman" w:hAnsi="Times New Roman"/>
          <w:sz w:val="28"/>
          <w:szCs w:val="28"/>
        </w:rPr>
        <w:t xml:space="preserve"> единственный за Уралом комбинат полного цикла по выпуску хлопчатобумажных и смесовых тканей. Предприятие в том числе выполняет государственный заказ на поставку военной формы </w:t>
      </w:r>
      <w:r w:rsidR="006A55F8" w:rsidRPr="00577593">
        <w:rPr>
          <w:rFonts w:ascii="Times New Roman" w:hAnsi="Times New Roman"/>
          <w:sz w:val="28"/>
          <w:szCs w:val="28"/>
        </w:rPr>
        <w:br/>
      </w:r>
      <w:r w:rsidRPr="00577593">
        <w:rPr>
          <w:rFonts w:ascii="Times New Roman" w:hAnsi="Times New Roman"/>
          <w:sz w:val="28"/>
          <w:szCs w:val="28"/>
        </w:rPr>
        <w:t>и специализированных тканей. Предприятие завершает монтаж оборудования новой отделочной фабрики стоимостью свыше 12 млрд рублей. Мощность новой фабрики достигнет 24 миллионов погонных метров ткани в год, увеличив мощности комбината в три раза.</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ООО «Малавит» является разработчиком и единственным производителем натурального гигиенического и косметического средства «Малавит» на основе природных минералов и экстрактов алтайских растений. Линейка продукции включает в себя кремы, гели, ополаскиватели и лекарственные средства. Компания активно развивает экспорт своей продукции в страны СНГ.</w:t>
      </w:r>
    </w:p>
    <w:p w:rsidR="004B477A"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Диверсифицированность экономики </w:t>
      </w:r>
      <w:r w:rsidR="00BD2F0A">
        <w:rPr>
          <w:rFonts w:ascii="Times New Roman" w:hAnsi="Times New Roman"/>
          <w:sz w:val="28"/>
          <w:szCs w:val="28"/>
        </w:rPr>
        <w:t xml:space="preserve">города </w:t>
      </w:r>
      <w:r w:rsidRPr="00577593">
        <w:rPr>
          <w:rFonts w:ascii="Times New Roman" w:hAnsi="Times New Roman"/>
          <w:sz w:val="28"/>
          <w:szCs w:val="28"/>
        </w:rPr>
        <w:t xml:space="preserve">Барнаула позволила достичь относительной стабильности экономических показателей. Индекс промышленного производства достиг планового показателя предыдущей </w:t>
      </w:r>
      <w:r w:rsidRPr="00577593">
        <w:rPr>
          <w:rFonts w:ascii="Times New Roman" w:hAnsi="Times New Roman"/>
          <w:sz w:val="28"/>
          <w:szCs w:val="28"/>
        </w:rPr>
        <w:lastRenderedPageBreak/>
        <w:t>стратегии (&gt;105%) в 2017, 2021, 2022 и 2024 годах. В остальные годы ИПП не опускался ниже 101%, за исключением кризиса 2020 года (</w:t>
      </w:r>
      <w:r w:rsidR="00D558A5">
        <w:fldChar w:fldCharType="begin"/>
      </w:r>
      <w:r w:rsidR="00D558A5">
        <w:instrText xml:space="preserve"> REF _Ref199438372 \h  \* MERGEFORMAT </w:instrText>
      </w:r>
      <w:r w:rsidR="00D558A5">
        <w:fldChar w:fldCharType="separate"/>
      </w:r>
      <w:r w:rsidR="00071499" w:rsidRPr="00071499">
        <w:rPr>
          <w:rFonts w:ascii="Times New Roman" w:hAnsi="Times New Roman"/>
          <w:sz w:val="28"/>
          <w:szCs w:val="28"/>
        </w:rPr>
        <w:t>Рисунок 18</w:t>
      </w:r>
      <w:r w:rsidR="00D558A5">
        <w:fldChar w:fldCharType="end"/>
      </w:r>
      <w:r w:rsidRPr="00577593">
        <w:rPr>
          <w:rFonts w:ascii="Times New Roman" w:hAnsi="Times New Roman"/>
          <w:sz w:val="28"/>
          <w:szCs w:val="28"/>
        </w:rPr>
        <w:t>). В проанализированном периоде (2012</w:t>
      </w:r>
      <w:r w:rsidR="00A518B7" w:rsidRPr="00577593">
        <w:rPr>
          <w:rFonts w:ascii="Times New Roman" w:hAnsi="Times New Roman"/>
          <w:sz w:val="28"/>
          <w:szCs w:val="28"/>
        </w:rPr>
        <w:t>-2024 годы</w:t>
      </w:r>
      <w:r w:rsidRPr="00577593">
        <w:rPr>
          <w:rFonts w:ascii="Times New Roman" w:hAnsi="Times New Roman"/>
          <w:sz w:val="28"/>
          <w:szCs w:val="28"/>
        </w:rPr>
        <w:t>) разноплановые негативные шоки, влияющие на отдельные отрасли экономики города, отчасти компенсировались расширением производства в других отраслях.</w:t>
      </w:r>
    </w:p>
    <w:p w:rsidR="002E26F5" w:rsidRPr="00577593" w:rsidRDefault="000D3F7A" w:rsidP="002E26F5">
      <w:pPr>
        <w:spacing w:after="0" w:line="240" w:lineRule="auto"/>
        <w:ind w:firstLine="142"/>
        <w:jc w:val="center"/>
        <w:rPr>
          <w:rFonts w:ascii="Times New Roman" w:hAnsi="Times New Roman"/>
          <w:sz w:val="28"/>
          <w:szCs w:val="28"/>
        </w:rPr>
      </w:pPr>
      <w:r w:rsidRPr="00577593">
        <w:rPr>
          <w:rFonts w:ascii="Times New Roman" w:hAnsi="Times New Roman"/>
          <w:noProof/>
          <w:sz w:val="28"/>
          <w:szCs w:val="28"/>
          <w:lang w:eastAsia="ru-RU"/>
        </w:rPr>
        <w:drawing>
          <wp:inline distT="0" distB="0" distL="0" distR="0">
            <wp:extent cx="4558665" cy="1175385"/>
            <wp:effectExtent l="0" t="0" r="0" b="0"/>
            <wp:docPr id="18" name="Объект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FC41F4" w:rsidRPr="00577593" w:rsidRDefault="00FC41F4" w:rsidP="002000D4">
      <w:pPr>
        <w:spacing w:after="0" w:line="240" w:lineRule="auto"/>
        <w:jc w:val="center"/>
        <w:rPr>
          <w:rFonts w:ascii="Times New Roman" w:hAnsi="Times New Roman"/>
          <w:sz w:val="24"/>
          <w:szCs w:val="24"/>
        </w:rPr>
      </w:pPr>
    </w:p>
    <w:p w:rsidR="00FC41F4" w:rsidRDefault="008925FA" w:rsidP="00317761">
      <w:pPr>
        <w:pStyle w:val="aff9"/>
        <w:spacing w:after="0"/>
        <w:jc w:val="center"/>
        <w:rPr>
          <w:rFonts w:ascii="Times New Roman" w:hAnsi="Times New Roman"/>
          <w:i w:val="0"/>
          <w:color w:val="auto"/>
          <w:sz w:val="28"/>
          <w:szCs w:val="28"/>
        </w:rPr>
      </w:pPr>
      <w:bookmarkStart w:id="74" w:name="_Ref199438372"/>
      <w:r w:rsidRPr="00577593">
        <w:rPr>
          <w:rFonts w:ascii="Times New Roman" w:hAnsi="Times New Roman"/>
          <w:i w:val="0"/>
          <w:color w:val="auto"/>
          <w:sz w:val="28"/>
          <w:szCs w:val="28"/>
        </w:rPr>
        <w:t xml:space="preserve">Рисунок </w:t>
      </w:r>
      <w:r w:rsidR="00074AE5" w:rsidRPr="00577593">
        <w:rPr>
          <w:rFonts w:ascii="Times New Roman" w:hAnsi="Times New Roman"/>
          <w:i w:val="0"/>
          <w:color w:val="auto"/>
          <w:sz w:val="28"/>
          <w:szCs w:val="28"/>
        </w:rPr>
        <w:fldChar w:fldCharType="begin"/>
      </w:r>
      <w:r w:rsidRPr="00577593">
        <w:rPr>
          <w:rFonts w:ascii="Times New Roman" w:hAnsi="Times New Roman"/>
          <w:i w:val="0"/>
          <w:color w:val="auto"/>
          <w:sz w:val="28"/>
          <w:szCs w:val="28"/>
        </w:rPr>
        <w:instrText xml:space="preserve"> SEQ Рисунок \* ARABIC </w:instrText>
      </w:r>
      <w:r w:rsidR="00074AE5" w:rsidRPr="00577593">
        <w:rPr>
          <w:rFonts w:ascii="Times New Roman" w:hAnsi="Times New Roman"/>
          <w:i w:val="0"/>
          <w:color w:val="auto"/>
          <w:sz w:val="28"/>
          <w:szCs w:val="28"/>
        </w:rPr>
        <w:fldChar w:fldCharType="separate"/>
      </w:r>
      <w:r w:rsidR="00071499">
        <w:rPr>
          <w:rFonts w:ascii="Times New Roman" w:hAnsi="Times New Roman"/>
          <w:i w:val="0"/>
          <w:noProof/>
          <w:color w:val="auto"/>
          <w:sz w:val="28"/>
          <w:szCs w:val="28"/>
        </w:rPr>
        <w:t>18</w:t>
      </w:r>
      <w:r w:rsidR="00074AE5" w:rsidRPr="00577593">
        <w:rPr>
          <w:rFonts w:ascii="Times New Roman" w:hAnsi="Times New Roman"/>
          <w:i w:val="0"/>
          <w:color w:val="auto"/>
          <w:sz w:val="28"/>
          <w:szCs w:val="28"/>
        </w:rPr>
        <w:fldChar w:fldCharType="end"/>
      </w:r>
      <w:bookmarkEnd w:id="74"/>
      <w:r w:rsidRPr="00577593">
        <w:rPr>
          <w:rFonts w:ascii="Times New Roman" w:hAnsi="Times New Roman"/>
          <w:i w:val="0"/>
          <w:color w:val="auto"/>
          <w:sz w:val="28"/>
          <w:szCs w:val="28"/>
        </w:rPr>
        <w:t xml:space="preserve"> </w:t>
      </w:r>
      <w:r w:rsidR="00A518B7" w:rsidRPr="00577593">
        <w:rPr>
          <w:rFonts w:ascii="Times New Roman" w:hAnsi="Times New Roman"/>
          <w:i w:val="0"/>
          <w:color w:val="auto"/>
          <w:sz w:val="28"/>
          <w:szCs w:val="28"/>
        </w:rPr>
        <w:t>–</w:t>
      </w:r>
      <w:r w:rsidRPr="00577593">
        <w:rPr>
          <w:rFonts w:ascii="Times New Roman" w:hAnsi="Times New Roman"/>
          <w:i w:val="0"/>
          <w:color w:val="auto"/>
          <w:sz w:val="28"/>
          <w:szCs w:val="28"/>
        </w:rPr>
        <w:t xml:space="preserve"> Индекс промышленного производства</w:t>
      </w:r>
      <w:r w:rsidR="00502632" w:rsidRPr="00577593">
        <w:rPr>
          <w:rFonts w:ascii="Times New Roman" w:hAnsi="Times New Roman"/>
          <w:i w:val="0"/>
          <w:color w:val="auto"/>
          <w:sz w:val="28"/>
          <w:szCs w:val="28"/>
        </w:rPr>
        <w:t xml:space="preserve"> за январь-декабрь</w:t>
      </w:r>
      <w:r w:rsidRPr="00577593">
        <w:rPr>
          <w:rFonts w:ascii="Times New Roman" w:hAnsi="Times New Roman"/>
          <w:i w:val="0"/>
          <w:color w:val="auto"/>
          <w:sz w:val="28"/>
          <w:szCs w:val="28"/>
        </w:rPr>
        <w:t xml:space="preserve">, % </w:t>
      </w:r>
    </w:p>
    <w:p w:rsidR="00317761" w:rsidRPr="00577593" w:rsidRDefault="00317761" w:rsidP="00317761">
      <w:pPr>
        <w:pStyle w:val="aff9"/>
        <w:spacing w:after="0"/>
        <w:rPr>
          <w:rFonts w:ascii="Times New Roman" w:hAnsi="Times New Roman"/>
          <w:i w:val="0"/>
          <w:color w:val="auto"/>
          <w:sz w:val="28"/>
          <w:szCs w:val="28"/>
        </w:rPr>
      </w:pPr>
      <w:r w:rsidRPr="00577593">
        <w:rPr>
          <w:rFonts w:ascii="Times New Roman" w:hAnsi="Times New Roman"/>
          <w:i w:val="0"/>
          <w:color w:val="auto"/>
          <w:sz w:val="28"/>
          <w:szCs w:val="28"/>
        </w:rPr>
        <w:t xml:space="preserve">Примечание – Источник: данные </w:t>
      </w:r>
      <w:r w:rsidRPr="00577593">
        <w:rPr>
          <w:rFonts w:ascii="Times New Roman" w:hAnsi="Times New Roman"/>
          <w:i w:val="0"/>
          <w:iCs w:val="0"/>
          <w:color w:val="auto"/>
          <w:sz w:val="28"/>
          <w:szCs w:val="28"/>
        </w:rPr>
        <w:t>Росстата</w:t>
      </w:r>
    </w:p>
    <w:p w:rsidR="00317761" w:rsidRPr="00317761" w:rsidRDefault="00317761" w:rsidP="00317761"/>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С 2020 года замедление темпов роста производства потребительских товаров совпадает с расширением машиностроительных производств, в том числе предприятий военно-промышленного комплекса, что приводит к опережающим темпам роста экономики города (</w:t>
      </w:r>
      <w:r w:rsidR="00D558A5">
        <w:fldChar w:fldCharType="begin"/>
      </w:r>
      <w:r w:rsidR="00D558A5">
        <w:instrText xml:space="preserve"> REF _Ref199438412 \h  \* MERGEFORMAT </w:instrText>
      </w:r>
      <w:r w:rsidR="00D558A5">
        <w:fldChar w:fldCharType="separate"/>
      </w:r>
      <w:r w:rsidR="00071499" w:rsidRPr="00071499">
        <w:rPr>
          <w:rFonts w:ascii="Times New Roman" w:hAnsi="Times New Roman"/>
          <w:sz w:val="28"/>
          <w:szCs w:val="28"/>
        </w:rPr>
        <w:t>Рисунок 19</w:t>
      </w:r>
      <w:r w:rsidR="00D558A5">
        <w:fldChar w:fldCharType="end"/>
      </w:r>
      <w:r w:rsidRPr="00577593">
        <w:rPr>
          <w:rFonts w:ascii="Times New Roman" w:hAnsi="Times New Roman"/>
          <w:sz w:val="28"/>
          <w:szCs w:val="28"/>
        </w:rPr>
        <w:t>).</w:t>
      </w:r>
    </w:p>
    <w:p w:rsidR="007C3315" w:rsidRPr="00577593" w:rsidRDefault="000D3F7A" w:rsidP="002000D4">
      <w:pPr>
        <w:spacing w:after="0" w:line="240" w:lineRule="auto"/>
        <w:ind w:firstLine="709"/>
        <w:jc w:val="both"/>
        <w:rPr>
          <w:rFonts w:ascii="Times New Roman" w:hAnsi="Times New Roman"/>
          <w:sz w:val="24"/>
          <w:szCs w:val="24"/>
        </w:rPr>
      </w:pPr>
      <w:r w:rsidRPr="00577593">
        <w:rPr>
          <w:rFonts w:ascii="Times New Roman" w:hAnsi="Times New Roman"/>
          <w:noProof/>
          <w:sz w:val="24"/>
          <w:szCs w:val="24"/>
          <w:lang w:eastAsia="ru-RU"/>
        </w:rPr>
        <w:drawing>
          <wp:inline distT="0" distB="0" distL="0" distR="0">
            <wp:extent cx="4924425" cy="3069590"/>
            <wp:effectExtent l="0" t="0" r="0" b="0"/>
            <wp:docPr id="19" name="Объект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FC41F4" w:rsidRDefault="008925FA" w:rsidP="00317761">
      <w:pPr>
        <w:pStyle w:val="aff9"/>
        <w:spacing w:after="0"/>
        <w:jc w:val="center"/>
        <w:rPr>
          <w:rFonts w:ascii="Times New Roman" w:hAnsi="Times New Roman"/>
          <w:i w:val="0"/>
          <w:color w:val="auto"/>
          <w:sz w:val="28"/>
          <w:szCs w:val="28"/>
        </w:rPr>
      </w:pPr>
      <w:bookmarkStart w:id="75" w:name="_Ref199438412"/>
      <w:r w:rsidRPr="00577593">
        <w:rPr>
          <w:rFonts w:ascii="Times New Roman" w:hAnsi="Times New Roman"/>
          <w:i w:val="0"/>
          <w:color w:val="auto"/>
          <w:sz w:val="28"/>
          <w:szCs w:val="28"/>
        </w:rPr>
        <w:t xml:space="preserve">Рисунок </w:t>
      </w:r>
      <w:r w:rsidR="00074AE5" w:rsidRPr="00577593">
        <w:rPr>
          <w:rFonts w:ascii="Times New Roman" w:hAnsi="Times New Roman"/>
          <w:i w:val="0"/>
          <w:color w:val="auto"/>
          <w:sz w:val="28"/>
          <w:szCs w:val="28"/>
        </w:rPr>
        <w:fldChar w:fldCharType="begin"/>
      </w:r>
      <w:r w:rsidRPr="00577593">
        <w:rPr>
          <w:rFonts w:ascii="Times New Roman" w:hAnsi="Times New Roman"/>
          <w:i w:val="0"/>
          <w:color w:val="auto"/>
          <w:sz w:val="28"/>
          <w:szCs w:val="28"/>
        </w:rPr>
        <w:instrText xml:space="preserve"> SEQ Рисунок \* ARABIC </w:instrText>
      </w:r>
      <w:r w:rsidR="00074AE5" w:rsidRPr="00577593">
        <w:rPr>
          <w:rFonts w:ascii="Times New Roman" w:hAnsi="Times New Roman"/>
          <w:i w:val="0"/>
          <w:color w:val="auto"/>
          <w:sz w:val="28"/>
          <w:szCs w:val="28"/>
        </w:rPr>
        <w:fldChar w:fldCharType="separate"/>
      </w:r>
      <w:r w:rsidR="00071499">
        <w:rPr>
          <w:rFonts w:ascii="Times New Roman" w:hAnsi="Times New Roman"/>
          <w:i w:val="0"/>
          <w:noProof/>
          <w:color w:val="auto"/>
          <w:sz w:val="28"/>
          <w:szCs w:val="28"/>
        </w:rPr>
        <w:t>19</w:t>
      </w:r>
      <w:r w:rsidR="00074AE5" w:rsidRPr="00577593">
        <w:rPr>
          <w:rFonts w:ascii="Times New Roman" w:hAnsi="Times New Roman"/>
          <w:i w:val="0"/>
          <w:color w:val="auto"/>
          <w:sz w:val="28"/>
          <w:szCs w:val="28"/>
        </w:rPr>
        <w:fldChar w:fldCharType="end"/>
      </w:r>
      <w:bookmarkEnd w:id="75"/>
      <w:r w:rsidRPr="00577593">
        <w:rPr>
          <w:rFonts w:ascii="Times New Roman" w:hAnsi="Times New Roman"/>
          <w:i w:val="0"/>
          <w:color w:val="auto"/>
          <w:sz w:val="28"/>
          <w:szCs w:val="28"/>
        </w:rPr>
        <w:t xml:space="preserve"> </w:t>
      </w:r>
      <w:r w:rsidR="00A518B7" w:rsidRPr="00577593">
        <w:rPr>
          <w:rFonts w:ascii="Times New Roman" w:hAnsi="Times New Roman"/>
          <w:i w:val="0"/>
          <w:color w:val="auto"/>
          <w:sz w:val="28"/>
          <w:szCs w:val="28"/>
        </w:rPr>
        <w:t>–</w:t>
      </w:r>
      <w:r w:rsidRPr="00577593">
        <w:rPr>
          <w:rFonts w:ascii="Times New Roman" w:hAnsi="Times New Roman"/>
          <w:i w:val="0"/>
          <w:color w:val="auto"/>
          <w:sz w:val="28"/>
          <w:szCs w:val="28"/>
        </w:rPr>
        <w:t xml:space="preserve"> Прирост промышленного производства относительно предыдущего года, млрд рублей</w:t>
      </w:r>
    </w:p>
    <w:p w:rsidR="00317761" w:rsidRPr="00577593" w:rsidRDefault="00317761" w:rsidP="00317761">
      <w:pPr>
        <w:pStyle w:val="aff9"/>
        <w:spacing w:after="0"/>
        <w:rPr>
          <w:rFonts w:ascii="Times New Roman" w:hAnsi="Times New Roman"/>
          <w:i w:val="0"/>
          <w:color w:val="auto"/>
          <w:sz w:val="28"/>
          <w:szCs w:val="28"/>
        </w:rPr>
      </w:pPr>
      <w:r w:rsidRPr="00577593">
        <w:rPr>
          <w:rFonts w:ascii="Times New Roman" w:hAnsi="Times New Roman"/>
          <w:i w:val="0"/>
          <w:color w:val="auto"/>
          <w:sz w:val="28"/>
          <w:szCs w:val="28"/>
        </w:rPr>
        <w:t xml:space="preserve">Примечание – Источник: расчет по данным </w:t>
      </w:r>
      <w:r w:rsidRPr="00577593">
        <w:rPr>
          <w:rFonts w:ascii="Times New Roman" w:hAnsi="Times New Roman"/>
          <w:i w:val="0"/>
          <w:iCs w:val="0"/>
          <w:color w:val="auto"/>
          <w:sz w:val="28"/>
          <w:szCs w:val="28"/>
        </w:rPr>
        <w:t>администрации</w:t>
      </w:r>
      <w:r w:rsidRPr="00577593">
        <w:rPr>
          <w:rFonts w:ascii="Times New Roman" w:hAnsi="Times New Roman"/>
          <w:i w:val="0"/>
          <w:color w:val="auto"/>
          <w:sz w:val="28"/>
          <w:szCs w:val="28"/>
        </w:rPr>
        <w:t xml:space="preserve"> города Барнаула</w:t>
      </w:r>
    </w:p>
    <w:p w:rsidR="00317761" w:rsidRDefault="00317761" w:rsidP="002000D4">
      <w:pPr>
        <w:spacing w:after="0" w:line="240" w:lineRule="auto"/>
        <w:ind w:firstLine="709"/>
        <w:jc w:val="both"/>
        <w:rPr>
          <w:rFonts w:ascii="Times New Roman" w:hAnsi="Times New Roman"/>
          <w:sz w:val="28"/>
          <w:szCs w:val="28"/>
        </w:rPr>
      </w:pP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Накопленный рост промышленного производства в 2012</w:t>
      </w:r>
      <w:r w:rsidR="00A518B7" w:rsidRPr="00577593">
        <w:rPr>
          <w:rFonts w:ascii="Times New Roman" w:hAnsi="Times New Roman"/>
          <w:sz w:val="28"/>
          <w:szCs w:val="28"/>
        </w:rPr>
        <w:t>-2024 годы</w:t>
      </w:r>
      <w:r w:rsidRPr="00577593">
        <w:rPr>
          <w:rFonts w:ascii="Times New Roman" w:hAnsi="Times New Roman"/>
          <w:sz w:val="28"/>
          <w:szCs w:val="28"/>
        </w:rPr>
        <w:t xml:space="preserve"> составил 230% (+70 млрд рублей), где вклад пищевой и текстильной промышленности составил 26% (+8 млрд рублей), вклад химической промышленности 25% (+8 млрд рублей) и вклад машиностроения 108% </w:t>
      </w:r>
      <w:r w:rsidR="005E5C88" w:rsidRPr="00577593">
        <w:rPr>
          <w:rFonts w:ascii="Times New Roman" w:hAnsi="Times New Roman"/>
          <w:sz w:val="28"/>
          <w:szCs w:val="28"/>
        </w:rPr>
        <w:br/>
      </w:r>
      <w:r w:rsidRPr="00577593">
        <w:rPr>
          <w:rFonts w:ascii="Times New Roman" w:hAnsi="Times New Roman"/>
          <w:sz w:val="28"/>
          <w:szCs w:val="28"/>
        </w:rPr>
        <w:t>(+33 млрд рублей), что свидетельствует о сбалансированном развитии экономики (</w:t>
      </w:r>
      <w:r w:rsidR="00D558A5">
        <w:fldChar w:fldCharType="begin"/>
      </w:r>
      <w:r w:rsidR="00D558A5">
        <w:instrText xml:space="preserve"> REF _Ref199438779 \h  \* MERGEFORMAT </w:instrText>
      </w:r>
      <w:r w:rsidR="00D558A5">
        <w:fldChar w:fldCharType="separate"/>
      </w:r>
      <w:r w:rsidR="00071499" w:rsidRPr="00071499">
        <w:rPr>
          <w:rFonts w:ascii="Times New Roman" w:hAnsi="Times New Roman"/>
          <w:sz w:val="28"/>
          <w:szCs w:val="28"/>
        </w:rPr>
        <w:t>Рисунок 20</w:t>
      </w:r>
      <w:r w:rsidR="00D558A5">
        <w:fldChar w:fldCharType="end"/>
      </w:r>
      <w:r w:rsidRPr="00577593">
        <w:rPr>
          <w:rFonts w:ascii="Times New Roman" w:hAnsi="Times New Roman"/>
          <w:sz w:val="28"/>
          <w:szCs w:val="28"/>
        </w:rPr>
        <w:t>).</w:t>
      </w:r>
    </w:p>
    <w:p w:rsidR="00FC41F4" w:rsidRPr="00577593" w:rsidRDefault="000D3F7A" w:rsidP="002000D4">
      <w:pPr>
        <w:spacing w:after="0" w:line="240" w:lineRule="auto"/>
        <w:jc w:val="both"/>
        <w:rPr>
          <w:rFonts w:ascii="Times New Roman" w:hAnsi="Times New Roman"/>
          <w:sz w:val="28"/>
          <w:szCs w:val="28"/>
        </w:rPr>
      </w:pPr>
      <w:r w:rsidRPr="00577593">
        <w:rPr>
          <w:rFonts w:ascii="Times New Roman" w:hAnsi="Times New Roman"/>
          <w:noProof/>
          <w:sz w:val="24"/>
          <w:szCs w:val="24"/>
          <w:lang w:eastAsia="ru-RU"/>
        </w:rPr>
        <w:lastRenderedPageBreak/>
        <w:drawing>
          <wp:inline distT="0" distB="0" distL="0" distR="0">
            <wp:extent cx="5829300" cy="2577465"/>
            <wp:effectExtent l="0" t="0" r="0" b="0"/>
            <wp:docPr id="20" name="Объект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FC41F4" w:rsidRDefault="008925FA" w:rsidP="00317761">
      <w:pPr>
        <w:pStyle w:val="aff9"/>
        <w:spacing w:after="0"/>
        <w:jc w:val="center"/>
        <w:rPr>
          <w:rFonts w:ascii="Times New Roman" w:hAnsi="Times New Roman"/>
          <w:i w:val="0"/>
          <w:color w:val="auto"/>
          <w:sz w:val="28"/>
          <w:szCs w:val="28"/>
        </w:rPr>
      </w:pPr>
      <w:bookmarkStart w:id="76" w:name="_Ref199438779"/>
      <w:r w:rsidRPr="00577593">
        <w:rPr>
          <w:rFonts w:ascii="Times New Roman" w:hAnsi="Times New Roman"/>
          <w:i w:val="0"/>
          <w:color w:val="auto"/>
          <w:sz w:val="28"/>
          <w:szCs w:val="28"/>
        </w:rPr>
        <w:t xml:space="preserve">Рисунок </w:t>
      </w:r>
      <w:r w:rsidR="00074AE5" w:rsidRPr="00577593">
        <w:rPr>
          <w:rFonts w:ascii="Times New Roman" w:hAnsi="Times New Roman"/>
          <w:i w:val="0"/>
          <w:color w:val="auto"/>
          <w:sz w:val="28"/>
          <w:szCs w:val="28"/>
        </w:rPr>
        <w:fldChar w:fldCharType="begin"/>
      </w:r>
      <w:r w:rsidRPr="00577593">
        <w:rPr>
          <w:rFonts w:ascii="Times New Roman" w:hAnsi="Times New Roman"/>
          <w:i w:val="0"/>
          <w:color w:val="auto"/>
          <w:sz w:val="28"/>
          <w:szCs w:val="28"/>
        </w:rPr>
        <w:instrText xml:space="preserve"> SEQ Рисунок \* ARABIC </w:instrText>
      </w:r>
      <w:r w:rsidR="00074AE5" w:rsidRPr="00577593">
        <w:rPr>
          <w:rFonts w:ascii="Times New Roman" w:hAnsi="Times New Roman"/>
          <w:i w:val="0"/>
          <w:color w:val="auto"/>
          <w:sz w:val="28"/>
          <w:szCs w:val="28"/>
        </w:rPr>
        <w:fldChar w:fldCharType="separate"/>
      </w:r>
      <w:r w:rsidR="00071499">
        <w:rPr>
          <w:rFonts w:ascii="Times New Roman" w:hAnsi="Times New Roman"/>
          <w:i w:val="0"/>
          <w:noProof/>
          <w:color w:val="auto"/>
          <w:sz w:val="28"/>
          <w:szCs w:val="28"/>
        </w:rPr>
        <w:t>20</w:t>
      </w:r>
      <w:r w:rsidR="00074AE5" w:rsidRPr="00577593">
        <w:rPr>
          <w:rFonts w:ascii="Times New Roman" w:hAnsi="Times New Roman"/>
          <w:i w:val="0"/>
          <w:color w:val="auto"/>
          <w:sz w:val="28"/>
          <w:szCs w:val="28"/>
        </w:rPr>
        <w:fldChar w:fldCharType="end"/>
      </w:r>
      <w:bookmarkEnd w:id="76"/>
      <w:r w:rsidRPr="00577593">
        <w:rPr>
          <w:rFonts w:ascii="Times New Roman" w:hAnsi="Times New Roman"/>
          <w:i w:val="0"/>
          <w:color w:val="auto"/>
          <w:sz w:val="28"/>
          <w:szCs w:val="28"/>
        </w:rPr>
        <w:t xml:space="preserve"> </w:t>
      </w:r>
      <w:r w:rsidR="00A518B7" w:rsidRPr="00577593">
        <w:rPr>
          <w:rFonts w:ascii="Times New Roman" w:hAnsi="Times New Roman"/>
          <w:i w:val="0"/>
          <w:color w:val="auto"/>
          <w:sz w:val="28"/>
          <w:szCs w:val="28"/>
        </w:rPr>
        <w:t>–</w:t>
      </w:r>
      <w:r w:rsidRPr="00577593">
        <w:rPr>
          <w:rFonts w:ascii="Times New Roman" w:hAnsi="Times New Roman"/>
          <w:i w:val="0"/>
          <w:color w:val="auto"/>
          <w:sz w:val="28"/>
          <w:szCs w:val="28"/>
        </w:rPr>
        <w:t xml:space="preserve"> Накопленный рост отгрузк</w:t>
      </w:r>
      <w:r w:rsidR="005C07D3" w:rsidRPr="00577593">
        <w:rPr>
          <w:rFonts w:ascii="Times New Roman" w:hAnsi="Times New Roman"/>
          <w:i w:val="0"/>
          <w:color w:val="auto"/>
          <w:sz w:val="28"/>
          <w:szCs w:val="28"/>
        </w:rPr>
        <w:t>и (в текущих ценах), % с 2012 года</w:t>
      </w:r>
    </w:p>
    <w:p w:rsidR="00317761" w:rsidRPr="00577593" w:rsidRDefault="00317761" w:rsidP="00317761">
      <w:pPr>
        <w:spacing w:after="0" w:line="240" w:lineRule="auto"/>
        <w:jc w:val="both"/>
        <w:rPr>
          <w:rFonts w:ascii="Times New Roman" w:hAnsi="Times New Roman"/>
          <w:sz w:val="28"/>
          <w:szCs w:val="28"/>
        </w:rPr>
      </w:pPr>
      <w:r w:rsidRPr="00577593">
        <w:rPr>
          <w:rFonts w:ascii="Times New Roman" w:hAnsi="Times New Roman"/>
          <w:sz w:val="28"/>
          <w:szCs w:val="28"/>
        </w:rPr>
        <w:t>Примечание – Источник: данные Росстата</w:t>
      </w:r>
    </w:p>
    <w:p w:rsidR="00317761" w:rsidRPr="00317761" w:rsidRDefault="00317761" w:rsidP="00E12509">
      <w:pPr>
        <w:spacing w:after="0" w:line="240" w:lineRule="auto"/>
      </w:pP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Несмотря на отраслевую диверсификацию, промышленность города достаточно сконцентрирована с точки зрения размера предприятий. Так, </w:t>
      </w:r>
      <w:r w:rsidR="005E5C88" w:rsidRPr="00577593">
        <w:rPr>
          <w:rFonts w:ascii="Times New Roman" w:hAnsi="Times New Roman"/>
          <w:sz w:val="28"/>
          <w:szCs w:val="28"/>
        </w:rPr>
        <w:br/>
      </w:r>
      <w:r w:rsidRPr="00577593">
        <w:rPr>
          <w:rFonts w:ascii="Times New Roman" w:hAnsi="Times New Roman"/>
          <w:sz w:val="28"/>
          <w:szCs w:val="28"/>
        </w:rPr>
        <w:t xml:space="preserve">на 8 крупнейших предприятий («Барнаульский вагоноремонтный завод», «Алтайский шинный комбинат», «Барнаултрансмаш», «Алтайский завод прецизионных изделий», «Сибэнергомаш-БКЗ», «Барнаульский станкостроительный завод», </w:t>
      </w:r>
      <w:r w:rsidR="00A543E4" w:rsidRPr="00577593">
        <w:rPr>
          <w:rFonts w:ascii="Times New Roman" w:hAnsi="Times New Roman"/>
          <w:sz w:val="28"/>
          <w:szCs w:val="28"/>
        </w:rPr>
        <w:t xml:space="preserve">ОП ООО «БТК Текстиль» Барнаульский меланжевый комбинат «Меланжист Алтая» </w:t>
      </w:r>
      <w:r w:rsidRPr="00577593">
        <w:rPr>
          <w:rFonts w:ascii="Times New Roman" w:hAnsi="Times New Roman"/>
          <w:sz w:val="28"/>
          <w:szCs w:val="28"/>
        </w:rPr>
        <w:t>и «Барнаульский молочный комбинат») приходится бол</w:t>
      </w:r>
      <w:r w:rsidR="00E12509">
        <w:rPr>
          <w:rFonts w:ascii="Times New Roman" w:hAnsi="Times New Roman"/>
          <w:sz w:val="28"/>
          <w:szCs w:val="28"/>
        </w:rPr>
        <w:t>е</w:t>
      </w:r>
      <w:r w:rsidRPr="00577593">
        <w:rPr>
          <w:rFonts w:ascii="Times New Roman" w:hAnsi="Times New Roman"/>
          <w:sz w:val="28"/>
          <w:szCs w:val="28"/>
        </w:rPr>
        <w:t xml:space="preserve">е половины общего объема производства крупных предприятий, </w:t>
      </w:r>
      <w:r w:rsidR="00E12509">
        <w:rPr>
          <w:rFonts w:ascii="Times New Roman" w:hAnsi="Times New Roman"/>
          <w:sz w:val="28"/>
          <w:szCs w:val="28"/>
        </w:rPr>
        <w:t>предоставляющих сведения в</w:t>
      </w:r>
      <w:r w:rsidRPr="00577593">
        <w:rPr>
          <w:rFonts w:ascii="Times New Roman" w:hAnsi="Times New Roman"/>
          <w:sz w:val="28"/>
          <w:szCs w:val="28"/>
        </w:rPr>
        <w:t xml:space="preserve"> администраци</w:t>
      </w:r>
      <w:r w:rsidR="00E12509">
        <w:rPr>
          <w:rFonts w:ascii="Times New Roman" w:hAnsi="Times New Roman"/>
          <w:sz w:val="28"/>
          <w:szCs w:val="28"/>
        </w:rPr>
        <w:t>ю города Барнаула</w:t>
      </w:r>
      <w:r w:rsidRPr="00577593">
        <w:rPr>
          <w:rFonts w:ascii="Times New Roman" w:hAnsi="Times New Roman"/>
          <w:sz w:val="28"/>
          <w:szCs w:val="28"/>
        </w:rPr>
        <w:t xml:space="preserve"> (всего 40 предприятий). Такая концентрация создает риски снижения уровня диверсификации при закрытии одного или нескольких крупных предприятий.</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Экономика города также демонстрирует высокий уровень концентрации с точки зрения рынков сбыта, так как с начала </w:t>
      </w:r>
      <w:r w:rsidR="00E12509">
        <w:rPr>
          <w:rFonts w:ascii="Times New Roman" w:hAnsi="Times New Roman"/>
          <w:sz w:val="28"/>
          <w:szCs w:val="28"/>
        </w:rPr>
        <w:t xml:space="preserve">специальной военной операции </w:t>
      </w:r>
      <w:r w:rsidRPr="00577593">
        <w:rPr>
          <w:rFonts w:ascii="Times New Roman" w:hAnsi="Times New Roman"/>
          <w:sz w:val="28"/>
          <w:szCs w:val="28"/>
        </w:rPr>
        <w:t xml:space="preserve">государственные закупки стали </w:t>
      </w:r>
      <w:r w:rsidR="0088208C" w:rsidRPr="00577593">
        <w:rPr>
          <w:rFonts w:ascii="Times New Roman" w:hAnsi="Times New Roman"/>
          <w:sz w:val="28"/>
          <w:szCs w:val="28"/>
        </w:rPr>
        <w:t xml:space="preserve">одним из </w:t>
      </w:r>
      <w:r w:rsidRPr="00577593">
        <w:rPr>
          <w:rFonts w:ascii="Times New Roman" w:hAnsi="Times New Roman"/>
          <w:sz w:val="28"/>
          <w:szCs w:val="28"/>
        </w:rPr>
        <w:t>основны</w:t>
      </w:r>
      <w:r w:rsidR="0088208C" w:rsidRPr="00577593">
        <w:rPr>
          <w:rFonts w:ascii="Times New Roman" w:hAnsi="Times New Roman"/>
          <w:sz w:val="28"/>
          <w:szCs w:val="28"/>
        </w:rPr>
        <w:t>х</w:t>
      </w:r>
      <w:r w:rsidRPr="00577593">
        <w:rPr>
          <w:rFonts w:ascii="Times New Roman" w:hAnsi="Times New Roman"/>
          <w:sz w:val="28"/>
          <w:szCs w:val="28"/>
        </w:rPr>
        <w:t xml:space="preserve"> источнико</w:t>
      </w:r>
      <w:r w:rsidR="0088208C" w:rsidRPr="00577593">
        <w:rPr>
          <w:rFonts w:ascii="Times New Roman" w:hAnsi="Times New Roman"/>
          <w:sz w:val="28"/>
          <w:szCs w:val="28"/>
        </w:rPr>
        <w:t>в</w:t>
      </w:r>
      <w:r w:rsidRPr="00577593">
        <w:rPr>
          <w:rFonts w:ascii="Times New Roman" w:hAnsi="Times New Roman"/>
          <w:sz w:val="28"/>
          <w:szCs w:val="28"/>
        </w:rPr>
        <w:t xml:space="preserve"> роста для многих крупных предприятий, выпускающих продукцию двойного назначения. Военный заказ также косвенно поддерживает производителей потребительских товаров за счет мультипликативного эффекта фонда оплаты труда на предприятиях двойного назначения.</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К ключевым проблемам промышленного сектора в </w:t>
      </w:r>
      <w:r w:rsidR="00C7041A">
        <w:rPr>
          <w:rFonts w:ascii="Times New Roman" w:hAnsi="Times New Roman"/>
          <w:sz w:val="28"/>
          <w:szCs w:val="28"/>
        </w:rPr>
        <w:t xml:space="preserve">городе </w:t>
      </w:r>
      <w:r w:rsidRPr="00577593">
        <w:rPr>
          <w:rFonts w:ascii="Times New Roman" w:hAnsi="Times New Roman"/>
          <w:sz w:val="28"/>
          <w:szCs w:val="28"/>
        </w:rPr>
        <w:t>Барнауле можно отнести следующие: </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 xml:space="preserve">высокая концентрация производства </w:t>
      </w:r>
      <w:r w:rsidR="00006100" w:rsidRPr="00577593">
        <w:rPr>
          <w:rFonts w:ascii="Times New Roman" w:hAnsi="Times New Roman"/>
          <w:sz w:val="28"/>
          <w:szCs w:val="28"/>
        </w:rPr>
        <w:t>в крупнейших предприятиях;</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высокие расходы на коммунальные услуги;</w:t>
      </w:r>
    </w:p>
    <w:p w:rsidR="008D2270"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дефицит производственных (промышленных) площадей, дорогая стоимость аренды и покупк</w:t>
      </w:r>
      <w:bookmarkStart w:id="77" w:name="_Toc167593010"/>
      <w:r w:rsidR="008D2270" w:rsidRPr="00577593">
        <w:rPr>
          <w:rFonts w:ascii="Times New Roman" w:eastAsia="Times New Roman" w:hAnsi="Times New Roman"/>
          <w:sz w:val="28"/>
          <w:szCs w:val="28"/>
          <w:lang w:eastAsia="ru-RU"/>
        </w:rPr>
        <w:t>и недвижимости данного сегмента;</w:t>
      </w:r>
    </w:p>
    <w:p w:rsidR="008D2270" w:rsidRPr="00577593" w:rsidRDefault="008D2270"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bidi="ru-RU"/>
        </w:rPr>
        <w:t>дефицит земельных участков, обеспеченных инфраструктурой, для создания новых производств;</w:t>
      </w:r>
    </w:p>
    <w:p w:rsidR="008D2270" w:rsidRPr="00577593" w:rsidRDefault="008D2270"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bidi="ru-RU"/>
        </w:rPr>
        <w:t>недостаток квалифицированных кадров;</w:t>
      </w:r>
    </w:p>
    <w:p w:rsidR="008D2270" w:rsidRPr="00577593" w:rsidRDefault="008D2270"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bidi="ru-RU"/>
        </w:rPr>
        <w:lastRenderedPageBreak/>
        <w:t>недостаток общежитий для размещения иногородних работников предприятий.</w:t>
      </w:r>
    </w:p>
    <w:p w:rsidR="00FC41F4" w:rsidRPr="00577593" w:rsidRDefault="008925FA" w:rsidP="002000D4">
      <w:pPr>
        <w:pStyle w:val="3"/>
        <w:spacing w:before="0" w:line="240" w:lineRule="auto"/>
        <w:ind w:firstLine="709"/>
        <w:rPr>
          <w:rFonts w:ascii="Times New Roman" w:hAnsi="Times New Roman"/>
          <w:b/>
          <w:color w:val="auto"/>
          <w:sz w:val="28"/>
          <w:szCs w:val="28"/>
        </w:rPr>
      </w:pPr>
      <w:bookmarkStart w:id="78" w:name="_Toc204923002"/>
      <w:bookmarkStart w:id="79" w:name="_Toc204933336"/>
      <w:bookmarkStart w:id="80" w:name="_Toc208496640"/>
      <w:bookmarkStart w:id="81" w:name="_Toc208668922"/>
      <w:bookmarkStart w:id="82" w:name="_Toc212804271"/>
      <w:r w:rsidRPr="00577593">
        <w:rPr>
          <w:rFonts w:ascii="Times New Roman" w:hAnsi="Times New Roman"/>
          <w:b/>
          <w:color w:val="auto"/>
          <w:sz w:val="28"/>
          <w:szCs w:val="28"/>
        </w:rPr>
        <w:t>2.5.3</w:t>
      </w:r>
      <w:r w:rsidR="00BD2F0A">
        <w:rPr>
          <w:rFonts w:ascii="Times New Roman" w:hAnsi="Times New Roman"/>
          <w:b/>
          <w:color w:val="auto"/>
          <w:sz w:val="28"/>
          <w:szCs w:val="28"/>
        </w:rPr>
        <w:t>.</w:t>
      </w:r>
      <w:r w:rsidRPr="00577593">
        <w:rPr>
          <w:rFonts w:ascii="Times New Roman" w:hAnsi="Times New Roman"/>
          <w:b/>
          <w:color w:val="auto"/>
          <w:sz w:val="28"/>
          <w:szCs w:val="28"/>
        </w:rPr>
        <w:t xml:space="preserve"> </w:t>
      </w:r>
      <w:r w:rsidR="00006100" w:rsidRPr="00577593">
        <w:rPr>
          <w:rFonts w:ascii="Times New Roman" w:hAnsi="Times New Roman"/>
          <w:b/>
          <w:color w:val="auto"/>
          <w:sz w:val="28"/>
          <w:szCs w:val="28"/>
        </w:rPr>
        <w:t>И</w:t>
      </w:r>
      <w:r w:rsidRPr="00577593">
        <w:rPr>
          <w:rFonts w:ascii="Times New Roman" w:hAnsi="Times New Roman"/>
          <w:b/>
          <w:color w:val="auto"/>
          <w:sz w:val="28"/>
          <w:szCs w:val="28"/>
        </w:rPr>
        <w:t>нвестиционн</w:t>
      </w:r>
      <w:r w:rsidR="00006100" w:rsidRPr="00577593">
        <w:rPr>
          <w:rFonts w:ascii="Times New Roman" w:hAnsi="Times New Roman"/>
          <w:b/>
          <w:color w:val="auto"/>
          <w:sz w:val="28"/>
          <w:szCs w:val="28"/>
        </w:rPr>
        <w:t xml:space="preserve">ая </w:t>
      </w:r>
      <w:r w:rsidRPr="00577593">
        <w:rPr>
          <w:rFonts w:ascii="Times New Roman" w:hAnsi="Times New Roman"/>
          <w:b/>
          <w:color w:val="auto"/>
          <w:sz w:val="28"/>
          <w:szCs w:val="28"/>
        </w:rPr>
        <w:t>деятельност</w:t>
      </w:r>
      <w:bookmarkEnd w:id="77"/>
      <w:bookmarkEnd w:id="78"/>
      <w:bookmarkEnd w:id="79"/>
      <w:bookmarkEnd w:id="80"/>
      <w:bookmarkEnd w:id="81"/>
      <w:r w:rsidR="00006100" w:rsidRPr="00577593">
        <w:rPr>
          <w:rFonts w:ascii="Times New Roman" w:hAnsi="Times New Roman"/>
          <w:b/>
          <w:color w:val="auto"/>
          <w:sz w:val="28"/>
          <w:szCs w:val="28"/>
        </w:rPr>
        <w:t>ь</w:t>
      </w:r>
      <w:bookmarkEnd w:id="82"/>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Общий объем инвестиций в основной капитал (без учета малых предприятий) составил </w:t>
      </w:r>
      <w:r w:rsidR="00534024" w:rsidRPr="00577593">
        <w:rPr>
          <w:rFonts w:ascii="Times New Roman" w:hAnsi="Times New Roman"/>
          <w:sz w:val="28"/>
          <w:szCs w:val="28"/>
        </w:rPr>
        <w:t>около 208</w:t>
      </w:r>
      <w:r w:rsidRPr="00577593">
        <w:rPr>
          <w:rFonts w:ascii="Times New Roman" w:hAnsi="Times New Roman"/>
          <w:sz w:val="28"/>
          <w:szCs w:val="28"/>
        </w:rPr>
        <w:t xml:space="preserve"> млрд рублей за 2020</w:t>
      </w:r>
      <w:r w:rsidR="00A518B7" w:rsidRPr="00577593">
        <w:rPr>
          <w:rFonts w:ascii="Times New Roman" w:hAnsi="Times New Roman"/>
          <w:sz w:val="28"/>
          <w:szCs w:val="28"/>
        </w:rPr>
        <w:t>-2024 годы</w:t>
      </w:r>
      <w:r w:rsidR="00534024" w:rsidRPr="00577593">
        <w:rPr>
          <w:rFonts w:ascii="Times New Roman" w:hAnsi="Times New Roman"/>
          <w:sz w:val="28"/>
          <w:szCs w:val="28"/>
        </w:rPr>
        <w:t xml:space="preserve"> (данные </w:t>
      </w:r>
      <w:r w:rsidR="005E5C88" w:rsidRPr="00577593">
        <w:rPr>
          <w:rFonts w:ascii="Times New Roman" w:hAnsi="Times New Roman"/>
          <w:sz w:val="28"/>
          <w:szCs w:val="28"/>
        </w:rPr>
        <w:br/>
      </w:r>
      <w:r w:rsidR="00534024" w:rsidRPr="00577593">
        <w:rPr>
          <w:rFonts w:ascii="Times New Roman" w:hAnsi="Times New Roman"/>
          <w:sz w:val="28"/>
          <w:szCs w:val="28"/>
        </w:rPr>
        <w:t>за январь-декабрь)</w:t>
      </w:r>
      <w:r w:rsidRPr="00577593">
        <w:rPr>
          <w:rFonts w:ascii="Times New Roman" w:hAnsi="Times New Roman"/>
          <w:sz w:val="28"/>
          <w:szCs w:val="28"/>
        </w:rPr>
        <w:t xml:space="preserve">, включая 140 млрд рублей внебюджетных средств. </w:t>
      </w:r>
      <w:r w:rsidR="005E5C88" w:rsidRPr="00577593">
        <w:rPr>
          <w:rFonts w:ascii="Times New Roman" w:hAnsi="Times New Roman"/>
          <w:sz w:val="28"/>
          <w:szCs w:val="28"/>
        </w:rPr>
        <w:br/>
      </w:r>
      <w:r w:rsidRPr="00577593">
        <w:rPr>
          <w:rFonts w:ascii="Times New Roman" w:hAnsi="Times New Roman"/>
          <w:sz w:val="28"/>
          <w:szCs w:val="28"/>
        </w:rPr>
        <w:t xml:space="preserve">Из общего объема инвестиций по 30% пришлось на сооружения и производственное оборудование, 12% на транспортные средства и 10% </w:t>
      </w:r>
      <w:r w:rsidR="005E5C88" w:rsidRPr="00577593">
        <w:rPr>
          <w:rFonts w:ascii="Times New Roman" w:hAnsi="Times New Roman"/>
          <w:sz w:val="28"/>
          <w:szCs w:val="28"/>
        </w:rPr>
        <w:br/>
      </w:r>
      <w:r w:rsidRPr="00577593">
        <w:rPr>
          <w:rFonts w:ascii="Times New Roman" w:hAnsi="Times New Roman"/>
          <w:sz w:val="28"/>
          <w:szCs w:val="28"/>
        </w:rPr>
        <w:t>на нежилые здания (</w:t>
      </w:r>
      <w:r w:rsidR="00D558A5">
        <w:fldChar w:fldCharType="begin"/>
      </w:r>
      <w:r w:rsidR="00D558A5">
        <w:instrText xml:space="preserve"> REF _Ref199439538 \h  \* MERGEFORMAT </w:instrText>
      </w:r>
      <w:r w:rsidR="00D558A5">
        <w:fldChar w:fldCharType="separate"/>
      </w:r>
      <w:r w:rsidR="00071499" w:rsidRPr="00071499">
        <w:rPr>
          <w:rFonts w:ascii="Times New Roman" w:hAnsi="Times New Roman"/>
          <w:sz w:val="28"/>
          <w:szCs w:val="28"/>
        </w:rPr>
        <w:t>Рисунок 21</w:t>
      </w:r>
      <w:r w:rsidR="00D558A5">
        <w:fldChar w:fldCharType="end"/>
      </w:r>
      <w:r w:rsidRPr="00577593">
        <w:rPr>
          <w:rFonts w:ascii="Times New Roman" w:hAnsi="Times New Roman"/>
          <w:sz w:val="28"/>
          <w:szCs w:val="28"/>
        </w:rPr>
        <w:t>).</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Доля оборудования в общем объеме инвестиций остается стабильно высокой, что отражает постоянный процесс обновления парка оборудования на крупных предприятиях. Тенденция таких вложений ускорилась в последние годы на фоне дефицита кадров и последующих вложений компаний в автоматизацию. Так на предприятии «Агро комплекс» замена одного станка повышает производительность труда работника в 24 раза.</w:t>
      </w:r>
    </w:p>
    <w:p w:rsidR="00FC41F4" w:rsidRPr="00577593" w:rsidRDefault="000D3F7A" w:rsidP="002000D4">
      <w:pPr>
        <w:spacing w:after="0" w:line="240" w:lineRule="auto"/>
        <w:ind w:firstLine="142"/>
        <w:rPr>
          <w:rFonts w:ascii="Times New Roman" w:hAnsi="Times New Roman"/>
          <w:sz w:val="28"/>
          <w:szCs w:val="28"/>
        </w:rPr>
      </w:pPr>
      <w:r w:rsidRPr="00577593">
        <w:rPr>
          <w:rFonts w:ascii="Times New Roman" w:hAnsi="Times New Roman"/>
          <w:noProof/>
          <w:sz w:val="24"/>
          <w:szCs w:val="24"/>
          <w:lang w:eastAsia="ru-RU"/>
        </w:rPr>
        <w:drawing>
          <wp:inline distT="0" distB="0" distL="0" distR="0">
            <wp:extent cx="5943600" cy="3095625"/>
            <wp:effectExtent l="0" t="0" r="0" b="0"/>
            <wp:docPr id="21" name="Объект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FC41F4" w:rsidRDefault="008925FA" w:rsidP="00317761">
      <w:pPr>
        <w:pStyle w:val="aff9"/>
        <w:spacing w:after="0"/>
        <w:jc w:val="center"/>
        <w:rPr>
          <w:rFonts w:ascii="Times New Roman" w:hAnsi="Times New Roman"/>
          <w:i w:val="0"/>
          <w:color w:val="auto"/>
          <w:sz w:val="28"/>
          <w:szCs w:val="28"/>
        </w:rPr>
      </w:pPr>
      <w:bookmarkStart w:id="83" w:name="_Ref199439538"/>
      <w:r w:rsidRPr="00577593">
        <w:rPr>
          <w:rFonts w:ascii="Times New Roman" w:hAnsi="Times New Roman"/>
          <w:i w:val="0"/>
          <w:color w:val="auto"/>
          <w:sz w:val="28"/>
          <w:szCs w:val="28"/>
        </w:rPr>
        <w:t xml:space="preserve">Рисунок </w:t>
      </w:r>
      <w:r w:rsidR="00074AE5" w:rsidRPr="00577593">
        <w:rPr>
          <w:rFonts w:ascii="Times New Roman" w:hAnsi="Times New Roman"/>
          <w:i w:val="0"/>
          <w:color w:val="auto"/>
          <w:sz w:val="28"/>
          <w:szCs w:val="28"/>
        </w:rPr>
        <w:fldChar w:fldCharType="begin"/>
      </w:r>
      <w:r w:rsidRPr="00577593">
        <w:rPr>
          <w:rFonts w:ascii="Times New Roman" w:hAnsi="Times New Roman"/>
          <w:i w:val="0"/>
          <w:color w:val="auto"/>
          <w:sz w:val="28"/>
          <w:szCs w:val="28"/>
        </w:rPr>
        <w:instrText xml:space="preserve"> SEQ Рисунок \* ARABIC </w:instrText>
      </w:r>
      <w:r w:rsidR="00074AE5" w:rsidRPr="00577593">
        <w:rPr>
          <w:rFonts w:ascii="Times New Roman" w:hAnsi="Times New Roman"/>
          <w:i w:val="0"/>
          <w:color w:val="auto"/>
          <w:sz w:val="28"/>
          <w:szCs w:val="28"/>
        </w:rPr>
        <w:fldChar w:fldCharType="separate"/>
      </w:r>
      <w:r w:rsidR="00071499">
        <w:rPr>
          <w:rFonts w:ascii="Times New Roman" w:hAnsi="Times New Roman"/>
          <w:i w:val="0"/>
          <w:noProof/>
          <w:color w:val="auto"/>
          <w:sz w:val="28"/>
          <w:szCs w:val="28"/>
        </w:rPr>
        <w:t>21</w:t>
      </w:r>
      <w:r w:rsidR="00074AE5" w:rsidRPr="00577593">
        <w:rPr>
          <w:rFonts w:ascii="Times New Roman" w:hAnsi="Times New Roman"/>
          <w:i w:val="0"/>
          <w:color w:val="auto"/>
          <w:sz w:val="28"/>
          <w:szCs w:val="28"/>
        </w:rPr>
        <w:fldChar w:fldCharType="end"/>
      </w:r>
      <w:bookmarkEnd w:id="83"/>
      <w:r w:rsidRPr="00577593">
        <w:rPr>
          <w:rFonts w:ascii="Times New Roman" w:hAnsi="Times New Roman"/>
          <w:i w:val="0"/>
          <w:color w:val="auto"/>
          <w:sz w:val="28"/>
          <w:szCs w:val="28"/>
        </w:rPr>
        <w:t xml:space="preserve"> </w:t>
      </w:r>
      <w:r w:rsidR="00A518B7" w:rsidRPr="00577593">
        <w:rPr>
          <w:rFonts w:ascii="Times New Roman" w:hAnsi="Times New Roman"/>
          <w:i w:val="0"/>
          <w:color w:val="auto"/>
          <w:sz w:val="28"/>
          <w:szCs w:val="28"/>
        </w:rPr>
        <w:t>–</w:t>
      </w:r>
      <w:r w:rsidRPr="00577593">
        <w:rPr>
          <w:rFonts w:ascii="Times New Roman" w:hAnsi="Times New Roman"/>
          <w:i w:val="0"/>
          <w:color w:val="auto"/>
          <w:sz w:val="28"/>
          <w:szCs w:val="28"/>
        </w:rPr>
        <w:t xml:space="preserve"> Инвестиции в основной капитал по типу вложений</w:t>
      </w:r>
      <w:r w:rsidR="009715BB" w:rsidRPr="00577593">
        <w:rPr>
          <w:rFonts w:ascii="Times New Roman" w:hAnsi="Times New Roman"/>
          <w:i w:val="0"/>
          <w:color w:val="auto"/>
          <w:sz w:val="28"/>
          <w:szCs w:val="28"/>
        </w:rPr>
        <w:t xml:space="preserve"> за январь-декабрь</w:t>
      </w:r>
      <w:r w:rsidRPr="00577593">
        <w:rPr>
          <w:rFonts w:ascii="Times New Roman" w:hAnsi="Times New Roman"/>
          <w:i w:val="0"/>
          <w:color w:val="auto"/>
          <w:sz w:val="28"/>
          <w:szCs w:val="28"/>
        </w:rPr>
        <w:t>, млрд рублей, %</w:t>
      </w:r>
    </w:p>
    <w:p w:rsidR="00317761" w:rsidRPr="00577593" w:rsidRDefault="00317761" w:rsidP="00317761">
      <w:pPr>
        <w:spacing w:after="0" w:line="240" w:lineRule="auto"/>
        <w:ind w:firstLine="142"/>
        <w:rPr>
          <w:rFonts w:ascii="Times New Roman" w:hAnsi="Times New Roman"/>
          <w:sz w:val="28"/>
          <w:szCs w:val="28"/>
        </w:rPr>
      </w:pPr>
      <w:r w:rsidRPr="00577593">
        <w:rPr>
          <w:rFonts w:ascii="Times New Roman" w:hAnsi="Times New Roman"/>
          <w:sz w:val="28"/>
          <w:szCs w:val="28"/>
        </w:rPr>
        <w:t>Примечание – Источник: данные Росстата</w:t>
      </w:r>
    </w:p>
    <w:p w:rsidR="00317761" w:rsidRPr="00317761" w:rsidRDefault="00317761" w:rsidP="00317761">
      <w:pPr>
        <w:spacing w:after="0" w:line="240" w:lineRule="auto"/>
      </w:pP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Доля бюджетных средств в ежегодном объеме инвестиций сократилась с 36% </w:t>
      </w:r>
      <w:r w:rsidR="00DF7EA2" w:rsidRPr="00577593">
        <w:rPr>
          <w:rFonts w:ascii="Times New Roman" w:hAnsi="Times New Roman"/>
          <w:sz w:val="28"/>
          <w:szCs w:val="28"/>
        </w:rPr>
        <w:t>за январь-декабрь</w:t>
      </w:r>
      <w:r w:rsidRPr="00577593">
        <w:rPr>
          <w:rFonts w:ascii="Times New Roman" w:hAnsi="Times New Roman"/>
          <w:sz w:val="28"/>
          <w:szCs w:val="28"/>
        </w:rPr>
        <w:t> 2020 год</w:t>
      </w:r>
      <w:r w:rsidR="00DF7EA2" w:rsidRPr="00577593">
        <w:rPr>
          <w:rFonts w:ascii="Times New Roman" w:hAnsi="Times New Roman"/>
          <w:sz w:val="28"/>
          <w:szCs w:val="28"/>
        </w:rPr>
        <w:t>а</w:t>
      </w:r>
      <w:r w:rsidRPr="00577593">
        <w:rPr>
          <w:rFonts w:ascii="Times New Roman" w:hAnsi="Times New Roman"/>
          <w:sz w:val="28"/>
          <w:szCs w:val="28"/>
        </w:rPr>
        <w:t xml:space="preserve"> до 27% </w:t>
      </w:r>
      <w:r w:rsidR="00DF7EA2" w:rsidRPr="00577593">
        <w:rPr>
          <w:rFonts w:ascii="Times New Roman" w:hAnsi="Times New Roman"/>
          <w:sz w:val="28"/>
          <w:szCs w:val="28"/>
        </w:rPr>
        <w:t>к аналогичному периоду</w:t>
      </w:r>
      <w:r w:rsidRPr="00577593">
        <w:rPr>
          <w:rFonts w:ascii="Times New Roman" w:hAnsi="Times New Roman"/>
          <w:sz w:val="28"/>
          <w:szCs w:val="28"/>
        </w:rPr>
        <w:t xml:space="preserve"> 2024 год</w:t>
      </w:r>
      <w:r w:rsidR="00DF7EA2" w:rsidRPr="00577593">
        <w:rPr>
          <w:rFonts w:ascii="Times New Roman" w:hAnsi="Times New Roman"/>
          <w:sz w:val="28"/>
          <w:szCs w:val="28"/>
        </w:rPr>
        <w:t>а</w:t>
      </w:r>
      <w:r w:rsidRPr="00577593">
        <w:rPr>
          <w:rFonts w:ascii="Times New Roman" w:hAnsi="Times New Roman"/>
          <w:sz w:val="28"/>
          <w:szCs w:val="28"/>
        </w:rPr>
        <w:t xml:space="preserve">. Такая тенденция отчасти отражает смену предпочитаемого механизма государственной поддержки в пользу квазибюджетных институтов развития, отражающихся в статистике как привлечение заемных средств небанковских организаций. Доля собственных средств в общем объеме инвестиций выросла с 39% </w:t>
      </w:r>
      <w:r w:rsidR="00DF7EA2" w:rsidRPr="00577593">
        <w:rPr>
          <w:rFonts w:ascii="Times New Roman" w:hAnsi="Times New Roman"/>
          <w:sz w:val="28"/>
          <w:szCs w:val="28"/>
        </w:rPr>
        <w:t>за январь-декабрь</w:t>
      </w:r>
      <w:r w:rsidRPr="00577593">
        <w:rPr>
          <w:rFonts w:ascii="Times New Roman" w:hAnsi="Times New Roman"/>
          <w:sz w:val="28"/>
          <w:szCs w:val="28"/>
        </w:rPr>
        <w:t xml:space="preserve"> 2020 год</w:t>
      </w:r>
      <w:r w:rsidR="00DF7EA2" w:rsidRPr="00577593">
        <w:rPr>
          <w:rFonts w:ascii="Times New Roman" w:hAnsi="Times New Roman"/>
          <w:sz w:val="28"/>
          <w:szCs w:val="28"/>
        </w:rPr>
        <w:t>а</w:t>
      </w:r>
      <w:r w:rsidRPr="00577593">
        <w:rPr>
          <w:rFonts w:ascii="Times New Roman" w:hAnsi="Times New Roman"/>
          <w:sz w:val="28"/>
          <w:szCs w:val="28"/>
        </w:rPr>
        <w:t xml:space="preserve"> до 53% </w:t>
      </w:r>
      <w:r w:rsidR="00DF7EA2" w:rsidRPr="00577593">
        <w:rPr>
          <w:rFonts w:ascii="Times New Roman" w:hAnsi="Times New Roman"/>
          <w:sz w:val="28"/>
          <w:szCs w:val="28"/>
        </w:rPr>
        <w:t>за аналогичный период</w:t>
      </w:r>
      <w:r w:rsidRPr="00577593">
        <w:rPr>
          <w:rFonts w:ascii="Times New Roman" w:hAnsi="Times New Roman"/>
          <w:sz w:val="28"/>
          <w:szCs w:val="28"/>
        </w:rPr>
        <w:t> 2024 год</w:t>
      </w:r>
      <w:r w:rsidR="00DF7EA2" w:rsidRPr="00577593">
        <w:rPr>
          <w:rFonts w:ascii="Times New Roman" w:hAnsi="Times New Roman"/>
          <w:sz w:val="28"/>
          <w:szCs w:val="28"/>
        </w:rPr>
        <w:t>а</w:t>
      </w:r>
      <w:r w:rsidRPr="00577593">
        <w:rPr>
          <w:rFonts w:ascii="Times New Roman" w:hAnsi="Times New Roman"/>
          <w:sz w:val="28"/>
          <w:szCs w:val="28"/>
        </w:rPr>
        <w:t xml:space="preserve">, отражая запретительно высокую стоимость заемного капитала и самостоятельную </w:t>
      </w:r>
      <w:r w:rsidRPr="00577593">
        <w:rPr>
          <w:rFonts w:ascii="Times New Roman" w:hAnsi="Times New Roman"/>
          <w:sz w:val="28"/>
          <w:szCs w:val="28"/>
        </w:rPr>
        <w:lastRenderedPageBreak/>
        <w:t>финансовую устойчивость предприятий, вкладывающихся в модернизацию (</w:t>
      </w:r>
      <w:r w:rsidR="00D558A5">
        <w:fldChar w:fldCharType="begin"/>
      </w:r>
      <w:r w:rsidR="00D558A5">
        <w:instrText xml:space="preserve"> REF _Ref204902087 \h  \* MERGEFORMAT </w:instrText>
      </w:r>
      <w:r w:rsidR="00D558A5">
        <w:fldChar w:fldCharType="separate"/>
      </w:r>
      <w:r w:rsidR="00071499" w:rsidRPr="00071499">
        <w:rPr>
          <w:rFonts w:ascii="Times New Roman" w:hAnsi="Times New Roman"/>
          <w:sz w:val="28"/>
          <w:szCs w:val="28"/>
        </w:rPr>
        <w:t>Рисунок 22</w:t>
      </w:r>
      <w:r w:rsidR="00D558A5">
        <w:fldChar w:fldCharType="end"/>
      </w:r>
      <w:r w:rsidRPr="00577593">
        <w:rPr>
          <w:rFonts w:ascii="Times New Roman" w:hAnsi="Times New Roman"/>
          <w:sz w:val="28"/>
          <w:szCs w:val="28"/>
        </w:rPr>
        <w:t>).</w:t>
      </w:r>
    </w:p>
    <w:p w:rsidR="00FC41F4" w:rsidRPr="00577593" w:rsidRDefault="000D3F7A" w:rsidP="002000D4">
      <w:pPr>
        <w:spacing w:after="0" w:line="240" w:lineRule="auto"/>
        <w:ind w:firstLine="142"/>
        <w:jc w:val="both"/>
        <w:rPr>
          <w:rFonts w:ascii="Times New Roman" w:hAnsi="Times New Roman"/>
          <w:i/>
          <w:sz w:val="28"/>
          <w:szCs w:val="28"/>
        </w:rPr>
      </w:pPr>
      <w:r w:rsidRPr="00577593">
        <w:rPr>
          <w:rFonts w:ascii="Times New Roman" w:hAnsi="Times New Roman"/>
          <w:i/>
          <w:noProof/>
          <w:sz w:val="24"/>
          <w:szCs w:val="24"/>
          <w:lang w:eastAsia="ru-RU"/>
        </w:rPr>
        <w:drawing>
          <wp:inline distT="0" distB="0" distL="0" distR="0">
            <wp:extent cx="5956935" cy="2390775"/>
            <wp:effectExtent l="0" t="0" r="0" b="0"/>
            <wp:docPr id="22" name="Объект 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FC41F4" w:rsidRDefault="008925FA" w:rsidP="00317761">
      <w:pPr>
        <w:pStyle w:val="aff9"/>
        <w:spacing w:after="0"/>
        <w:jc w:val="center"/>
        <w:rPr>
          <w:rFonts w:ascii="Times New Roman" w:hAnsi="Times New Roman"/>
          <w:i w:val="0"/>
          <w:color w:val="auto"/>
          <w:sz w:val="28"/>
          <w:szCs w:val="28"/>
        </w:rPr>
      </w:pPr>
      <w:bookmarkStart w:id="84" w:name="_Ref204902087"/>
      <w:r w:rsidRPr="00577593">
        <w:rPr>
          <w:rFonts w:ascii="Times New Roman" w:hAnsi="Times New Roman"/>
          <w:i w:val="0"/>
          <w:color w:val="auto"/>
          <w:sz w:val="28"/>
          <w:szCs w:val="28"/>
        </w:rPr>
        <w:t xml:space="preserve">Рисунок </w:t>
      </w:r>
      <w:r w:rsidR="00074AE5" w:rsidRPr="00577593">
        <w:rPr>
          <w:rFonts w:ascii="Times New Roman" w:hAnsi="Times New Roman"/>
          <w:i w:val="0"/>
          <w:color w:val="auto"/>
          <w:sz w:val="28"/>
          <w:szCs w:val="28"/>
        </w:rPr>
        <w:fldChar w:fldCharType="begin"/>
      </w:r>
      <w:r w:rsidRPr="00577593">
        <w:rPr>
          <w:rFonts w:ascii="Times New Roman" w:hAnsi="Times New Roman"/>
          <w:i w:val="0"/>
          <w:color w:val="auto"/>
          <w:sz w:val="28"/>
          <w:szCs w:val="28"/>
        </w:rPr>
        <w:instrText xml:space="preserve"> SEQ Рисунок \* ARABIC </w:instrText>
      </w:r>
      <w:r w:rsidR="00074AE5" w:rsidRPr="00577593">
        <w:rPr>
          <w:rFonts w:ascii="Times New Roman" w:hAnsi="Times New Roman"/>
          <w:i w:val="0"/>
          <w:color w:val="auto"/>
          <w:sz w:val="28"/>
          <w:szCs w:val="28"/>
        </w:rPr>
        <w:fldChar w:fldCharType="separate"/>
      </w:r>
      <w:r w:rsidR="00071499">
        <w:rPr>
          <w:rFonts w:ascii="Times New Roman" w:hAnsi="Times New Roman"/>
          <w:i w:val="0"/>
          <w:noProof/>
          <w:color w:val="auto"/>
          <w:sz w:val="28"/>
          <w:szCs w:val="28"/>
        </w:rPr>
        <w:t>22</w:t>
      </w:r>
      <w:r w:rsidR="00074AE5" w:rsidRPr="00577593">
        <w:rPr>
          <w:rFonts w:ascii="Times New Roman" w:hAnsi="Times New Roman"/>
          <w:i w:val="0"/>
          <w:color w:val="auto"/>
          <w:sz w:val="28"/>
          <w:szCs w:val="28"/>
        </w:rPr>
        <w:fldChar w:fldCharType="end"/>
      </w:r>
      <w:bookmarkEnd w:id="84"/>
      <w:r w:rsidRPr="00577593">
        <w:rPr>
          <w:rFonts w:ascii="Times New Roman" w:hAnsi="Times New Roman"/>
          <w:i w:val="0"/>
          <w:color w:val="auto"/>
          <w:sz w:val="28"/>
          <w:szCs w:val="28"/>
        </w:rPr>
        <w:t xml:space="preserve"> </w:t>
      </w:r>
      <w:r w:rsidR="00A518B7" w:rsidRPr="00577593">
        <w:rPr>
          <w:rFonts w:ascii="Times New Roman" w:hAnsi="Times New Roman"/>
          <w:i w:val="0"/>
          <w:color w:val="auto"/>
          <w:sz w:val="28"/>
          <w:szCs w:val="28"/>
        </w:rPr>
        <w:t>–</w:t>
      </w:r>
      <w:r w:rsidRPr="00577593">
        <w:rPr>
          <w:rFonts w:ascii="Times New Roman" w:hAnsi="Times New Roman"/>
          <w:i w:val="0"/>
          <w:color w:val="auto"/>
          <w:sz w:val="28"/>
          <w:szCs w:val="28"/>
        </w:rPr>
        <w:t xml:space="preserve"> Инвестиции по источнику средств</w:t>
      </w:r>
      <w:r w:rsidR="00101AE2" w:rsidRPr="00577593">
        <w:rPr>
          <w:rFonts w:ascii="Times New Roman" w:hAnsi="Times New Roman"/>
          <w:i w:val="0"/>
          <w:color w:val="auto"/>
          <w:sz w:val="28"/>
          <w:szCs w:val="28"/>
        </w:rPr>
        <w:t xml:space="preserve"> за январь-декабрь</w:t>
      </w:r>
      <w:r w:rsidRPr="00577593">
        <w:rPr>
          <w:rFonts w:ascii="Times New Roman" w:hAnsi="Times New Roman"/>
          <w:i w:val="0"/>
          <w:color w:val="auto"/>
          <w:sz w:val="28"/>
          <w:szCs w:val="28"/>
        </w:rPr>
        <w:t xml:space="preserve">, </w:t>
      </w:r>
      <w:r w:rsidR="00E16862" w:rsidRPr="00577593">
        <w:rPr>
          <w:rFonts w:ascii="Times New Roman" w:hAnsi="Times New Roman"/>
          <w:i w:val="0"/>
          <w:color w:val="auto"/>
          <w:sz w:val="28"/>
          <w:szCs w:val="28"/>
        </w:rPr>
        <w:t>%</w:t>
      </w:r>
    </w:p>
    <w:p w:rsidR="00317761" w:rsidRPr="00577593" w:rsidRDefault="00317761" w:rsidP="00317761">
      <w:pPr>
        <w:spacing w:after="0" w:line="240" w:lineRule="auto"/>
        <w:ind w:firstLine="142"/>
        <w:jc w:val="both"/>
        <w:rPr>
          <w:rFonts w:ascii="Times New Roman" w:hAnsi="Times New Roman"/>
          <w:i/>
          <w:sz w:val="28"/>
          <w:szCs w:val="28"/>
        </w:rPr>
      </w:pPr>
      <w:r w:rsidRPr="00577593">
        <w:rPr>
          <w:rFonts w:ascii="Times New Roman" w:hAnsi="Times New Roman"/>
          <w:sz w:val="28"/>
          <w:szCs w:val="28"/>
        </w:rPr>
        <w:t>Примечание – Источник: данные Росстата</w:t>
      </w:r>
    </w:p>
    <w:p w:rsidR="00317761" w:rsidRPr="00317761" w:rsidRDefault="00317761" w:rsidP="00317761">
      <w:pPr>
        <w:spacing w:after="0" w:line="240" w:lineRule="auto"/>
      </w:pP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В разрезе видов экономической деятельности (</w:t>
      </w:r>
      <w:r w:rsidR="00D558A5">
        <w:fldChar w:fldCharType="begin"/>
      </w:r>
      <w:r w:rsidR="00D558A5">
        <w:instrText xml:space="preserve"> REF _Ref199439931 \h  \* MERGEFORMAT </w:instrText>
      </w:r>
      <w:r w:rsidR="00D558A5">
        <w:fldChar w:fldCharType="separate"/>
      </w:r>
      <w:r w:rsidR="00071499" w:rsidRPr="00071499">
        <w:rPr>
          <w:rFonts w:ascii="Times New Roman" w:hAnsi="Times New Roman"/>
          <w:sz w:val="28"/>
          <w:szCs w:val="28"/>
        </w:rPr>
        <w:t>Рисунок 23</w:t>
      </w:r>
      <w:r w:rsidR="00D558A5">
        <w:fldChar w:fldCharType="end"/>
      </w:r>
      <w:r w:rsidRPr="00577593">
        <w:rPr>
          <w:rFonts w:ascii="Times New Roman" w:hAnsi="Times New Roman"/>
          <w:sz w:val="28"/>
          <w:szCs w:val="28"/>
        </w:rPr>
        <w:t>) наибольшая доля инвестиций приходилась на транспортировку и хранение (25%, или 53 млрд рублей), обрабатывающие производства (15%, или 32 млрд рублей)</w:t>
      </w:r>
      <w:r w:rsidR="00BD2F0A">
        <w:rPr>
          <w:rFonts w:ascii="Times New Roman" w:hAnsi="Times New Roman"/>
          <w:sz w:val="28"/>
          <w:szCs w:val="28"/>
        </w:rPr>
        <w:t xml:space="preserve"> </w:t>
      </w:r>
      <w:r w:rsidRPr="00577593">
        <w:rPr>
          <w:rFonts w:ascii="Times New Roman" w:hAnsi="Times New Roman"/>
          <w:sz w:val="28"/>
          <w:szCs w:val="28"/>
        </w:rPr>
        <w:t>и производителей электроэнергии (13%, или</w:t>
      </w:r>
      <w:r w:rsidR="00C44D3B">
        <w:rPr>
          <w:rFonts w:ascii="Times New Roman" w:hAnsi="Times New Roman"/>
          <w:sz w:val="28"/>
          <w:szCs w:val="28"/>
        </w:rPr>
        <w:t xml:space="preserve"> </w:t>
      </w:r>
      <w:r w:rsidRPr="00577593">
        <w:rPr>
          <w:rFonts w:ascii="Times New Roman" w:hAnsi="Times New Roman"/>
          <w:sz w:val="28"/>
          <w:szCs w:val="28"/>
        </w:rPr>
        <w:t>28</w:t>
      </w:r>
      <w:r w:rsidR="00C44D3B">
        <w:rPr>
          <w:rFonts w:ascii="Times New Roman" w:hAnsi="Times New Roman"/>
          <w:sz w:val="28"/>
          <w:szCs w:val="28"/>
        </w:rPr>
        <w:t xml:space="preserve"> млрд </w:t>
      </w:r>
      <w:r w:rsidRPr="00577593">
        <w:rPr>
          <w:rFonts w:ascii="Times New Roman" w:hAnsi="Times New Roman"/>
          <w:sz w:val="28"/>
          <w:szCs w:val="28"/>
        </w:rPr>
        <w:t>рублей). Инвестиционная активность отражает структуру экономики города, так как наиболее динамично развивающиеся отрасли используют свободный капитал для расширения и модернизации производств.</w:t>
      </w:r>
    </w:p>
    <w:p w:rsidR="00FC41F4" w:rsidRPr="00577593" w:rsidRDefault="000D3F7A" w:rsidP="002000D4">
      <w:pPr>
        <w:spacing w:after="0" w:line="240" w:lineRule="auto"/>
        <w:ind w:firstLine="142"/>
        <w:jc w:val="both"/>
        <w:rPr>
          <w:rFonts w:ascii="Times New Roman" w:hAnsi="Times New Roman"/>
          <w:i/>
          <w:sz w:val="28"/>
          <w:szCs w:val="28"/>
        </w:rPr>
      </w:pPr>
      <w:r w:rsidRPr="00577593">
        <w:rPr>
          <w:rFonts w:ascii="Times New Roman" w:hAnsi="Times New Roman"/>
          <w:i/>
          <w:noProof/>
          <w:sz w:val="24"/>
          <w:szCs w:val="24"/>
          <w:lang w:eastAsia="ru-RU"/>
        </w:rPr>
        <w:drawing>
          <wp:inline distT="0" distB="0" distL="0" distR="0">
            <wp:extent cx="5943600" cy="2782570"/>
            <wp:effectExtent l="0" t="0" r="0" b="0"/>
            <wp:docPr id="23" name="Объект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FC41F4" w:rsidRDefault="008925FA" w:rsidP="00317761">
      <w:pPr>
        <w:pStyle w:val="aff9"/>
        <w:spacing w:after="0"/>
        <w:jc w:val="center"/>
        <w:rPr>
          <w:rFonts w:ascii="Times New Roman" w:hAnsi="Times New Roman"/>
          <w:i w:val="0"/>
          <w:color w:val="auto"/>
          <w:sz w:val="28"/>
          <w:szCs w:val="28"/>
        </w:rPr>
      </w:pPr>
      <w:bookmarkStart w:id="85" w:name="_Ref199439931"/>
      <w:r w:rsidRPr="00577593">
        <w:rPr>
          <w:rFonts w:ascii="Times New Roman" w:hAnsi="Times New Roman"/>
          <w:i w:val="0"/>
          <w:color w:val="auto"/>
          <w:sz w:val="28"/>
          <w:szCs w:val="28"/>
        </w:rPr>
        <w:t xml:space="preserve">Рисунок </w:t>
      </w:r>
      <w:r w:rsidR="00074AE5" w:rsidRPr="00577593">
        <w:rPr>
          <w:rFonts w:ascii="Times New Roman" w:hAnsi="Times New Roman"/>
          <w:i w:val="0"/>
          <w:color w:val="auto"/>
          <w:sz w:val="28"/>
          <w:szCs w:val="28"/>
        </w:rPr>
        <w:fldChar w:fldCharType="begin"/>
      </w:r>
      <w:r w:rsidRPr="00577593">
        <w:rPr>
          <w:rFonts w:ascii="Times New Roman" w:hAnsi="Times New Roman"/>
          <w:i w:val="0"/>
          <w:color w:val="auto"/>
          <w:sz w:val="28"/>
          <w:szCs w:val="28"/>
        </w:rPr>
        <w:instrText xml:space="preserve"> SEQ Рисунок \* ARABIC </w:instrText>
      </w:r>
      <w:r w:rsidR="00074AE5" w:rsidRPr="00577593">
        <w:rPr>
          <w:rFonts w:ascii="Times New Roman" w:hAnsi="Times New Roman"/>
          <w:i w:val="0"/>
          <w:color w:val="auto"/>
          <w:sz w:val="28"/>
          <w:szCs w:val="28"/>
        </w:rPr>
        <w:fldChar w:fldCharType="separate"/>
      </w:r>
      <w:r w:rsidR="00071499">
        <w:rPr>
          <w:rFonts w:ascii="Times New Roman" w:hAnsi="Times New Roman"/>
          <w:i w:val="0"/>
          <w:noProof/>
          <w:color w:val="auto"/>
          <w:sz w:val="28"/>
          <w:szCs w:val="28"/>
        </w:rPr>
        <w:t>23</w:t>
      </w:r>
      <w:r w:rsidR="00074AE5" w:rsidRPr="00577593">
        <w:rPr>
          <w:rFonts w:ascii="Times New Roman" w:hAnsi="Times New Roman"/>
          <w:i w:val="0"/>
          <w:color w:val="auto"/>
          <w:sz w:val="28"/>
          <w:szCs w:val="28"/>
        </w:rPr>
        <w:fldChar w:fldCharType="end"/>
      </w:r>
      <w:bookmarkEnd w:id="85"/>
      <w:r w:rsidRPr="00577593">
        <w:rPr>
          <w:rFonts w:ascii="Times New Roman" w:hAnsi="Times New Roman"/>
          <w:i w:val="0"/>
          <w:color w:val="auto"/>
          <w:sz w:val="28"/>
          <w:szCs w:val="28"/>
        </w:rPr>
        <w:t xml:space="preserve"> </w:t>
      </w:r>
      <w:r w:rsidR="00A518B7" w:rsidRPr="00577593">
        <w:rPr>
          <w:rFonts w:ascii="Times New Roman" w:hAnsi="Times New Roman"/>
          <w:i w:val="0"/>
          <w:color w:val="auto"/>
          <w:sz w:val="28"/>
          <w:szCs w:val="28"/>
        </w:rPr>
        <w:t>–</w:t>
      </w:r>
      <w:r w:rsidRPr="00577593">
        <w:rPr>
          <w:rFonts w:ascii="Times New Roman" w:hAnsi="Times New Roman"/>
          <w:i w:val="0"/>
          <w:color w:val="auto"/>
          <w:sz w:val="28"/>
          <w:szCs w:val="28"/>
        </w:rPr>
        <w:t xml:space="preserve"> Инвестиции по виду экономической деятельности</w:t>
      </w:r>
      <w:r w:rsidR="00E84B74" w:rsidRPr="00577593">
        <w:rPr>
          <w:rFonts w:ascii="Times New Roman" w:hAnsi="Times New Roman"/>
          <w:i w:val="0"/>
          <w:color w:val="auto"/>
          <w:sz w:val="28"/>
          <w:szCs w:val="28"/>
        </w:rPr>
        <w:t xml:space="preserve"> за январь-декабрь</w:t>
      </w:r>
      <w:r w:rsidRPr="00577593">
        <w:rPr>
          <w:rFonts w:ascii="Times New Roman" w:hAnsi="Times New Roman"/>
          <w:i w:val="0"/>
          <w:color w:val="auto"/>
          <w:sz w:val="28"/>
          <w:szCs w:val="28"/>
        </w:rPr>
        <w:t xml:space="preserve">, </w:t>
      </w:r>
      <w:r w:rsidR="00E16862" w:rsidRPr="00577593">
        <w:rPr>
          <w:rFonts w:ascii="Times New Roman" w:hAnsi="Times New Roman"/>
          <w:i w:val="0"/>
          <w:color w:val="auto"/>
          <w:sz w:val="28"/>
          <w:szCs w:val="28"/>
        </w:rPr>
        <w:t>%</w:t>
      </w:r>
    </w:p>
    <w:p w:rsidR="00317761" w:rsidRPr="00577593" w:rsidRDefault="00317761" w:rsidP="00317761">
      <w:pPr>
        <w:spacing w:after="0" w:line="240" w:lineRule="auto"/>
        <w:ind w:firstLine="142"/>
        <w:jc w:val="both"/>
        <w:rPr>
          <w:rFonts w:ascii="Times New Roman" w:hAnsi="Times New Roman"/>
          <w:i/>
          <w:sz w:val="28"/>
          <w:szCs w:val="28"/>
        </w:rPr>
      </w:pPr>
      <w:r w:rsidRPr="00577593">
        <w:rPr>
          <w:rFonts w:ascii="Times New Roman" w:hAnsi="Times New Roman"/>
          <w:sz w:val="28"/>
          <w:szCs w:val="28"/>
        </w:rPr>
        <w:t>Примечание – Источник: данные Росстата</w:t>
      </w:r>
    </w:p>
    <w:p w:rsidR="00317761" w:rsidRPr="00317761" w:rsidRDefault="00317761" w:rsidP="00317761"/>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К ключевым проблемам инвестиционного климата </w:t>
      </w:r>
      <w:r w:rsidR="00121E8D">
        <w:rPr>
          <w:rFonts w:ascii="Times New Roman" w:hAnsi="Times New Roman"/>
          <w:sz w:val="28"/>
          <w:szCs w:val="28"/>
        </w:rPr>
        <w:t xml:space="preserve">города Барнаула </w:t>
      </w:r>
      <w:r w:rsidRPr="00577593">
        <w:rPr>
          <w:rFonts w:ascii="Times New Roman" w:hAnsi="Times New Roman"/>
          <w:sz w:val="28"/>
          <w:szCs w:val="28"/>
        </w:rPr>
        <w:t>относятся: </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высокая стоимость заемных средств;  </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lastRenderedPageBreak/>
        <w:t>ограниченность земельных ресурсов и дефицит производственных площадок;</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 xml:space="preserve">низкая привлекательность </w:t>
      </w:r>
      <w:r w:rsidR="00BD2F0A">
        <w:rPr>
          <w:rFonts w:ascii="Times New Roman" w:eastAsia="Times New Roman" w:hAnsi="Times New Roman"/>
          <w:sz w:val="28"/>
          <w:szCs w:val="28"/>
          <w:lang w:eastAsia="ru-RU"/>
        </w:rPr>
        <w:t xml:space="preserve">города </w:t>
      </w:r>
      <w:r w:rsidRPr="00577593">
        <w:rPr>
          <w:rFonts w:ascii="Times New Roman" w:eastAsia="Times New Roman" w:hAnsi="Times New Roman"/>
          <w:sz w:val="28"/>
          <w:szCs w:val="28"/>
          <w:lang w:eastAsia="ru-RU"/>
        </w:rPr>
        <w:t>Барнаула как инвестиционной площадки по сравнению с другими городами СФО (удаленность от Транссиба, стоимость энергии, стоимость земли и обеспеченность инфраструктурой).</w:t>
      </w:r>
    </w:p>
    <w:p w:rsidR="00FC41F4" w:rsidRPr="00577593" w:rsidRDefault="008925FA" w:rsidP="002000D4">
      <w:pPr>
        <w:pStyle w:val="3"/>
        <w:spacing w:before="0" w:line="240" w:lineRule="auto"/>
        <w:ind w:firstLine="709"/>
        <w:rPr>
          <w:rFonts w:ascii="Times New Roman" w:hAnsi="Times New Roman"/>
          <w:b/>
          <w:color w:val="auto"/>
          <w:sz w:val="28"/>
          <w:szCs w:val="28"/>
        </w:rPr>
      </w:pPr>
      <w:bookmarkStart w:id="86" w:name="_Toc531762495"/>
      <w:bookmarkStart w:id="87" w:name="_Toc204923003"/>
      <w:bookmarkStart w:id="88" w:name="_Toc204933337"/>
      <w:bookmarkStart w:id="89" w:name="_Toc208496641"/>
      <w:bookmarkStart w:id="90" w:name="_Toc208668923"/>
      <w:bookmarkStart w:id="91" w:name="_Toc212804272"/>
      <w:r w:rsidRPr="00577593">
        <w:rPr>
          <w:rFonts w:ascii="Times New Roman" w:hAnsi="Times New Roman"/>
          <w:b/>
          <w:color w:val="auto"/>
          <w:sz w:val="28"/>
          <w:szCs w:val="28"/>
        </w:rPr>
        <w:t>2.5.4</w:t>
      </w:r>
      <w:r w:rsidR="00BD2F0A">
        <w:rPr>
          <w:rFonts w:ascii="Times New Roman" w:hAnsi="Times New Roman"/>
          <w:b/>
          <w:color w:val="auto"/>
          <w:sz w:val="28"/>
          <w:szCs w:val="28"/>
        </w:rPr>
        <w:t>.</w:t>
      </w:r>
      <w:r w:rsidRPr="00577593">
        <w:rPr>
          <w:rFonts w:ascii="Times New Roman" w:hAnsi="Times New Roman"/>
          <w:b/>
          <w:color w:val="auto"/>
          <w:sz w:val="28"/>
          <w:szCs w:val="28"/>
        </w:rPr>
        <w:t xml:space="preserve"> Деловая инфраструктура и предпринимательство</w:t>
      </w:r>
      <w:bookmarkEnd w:id="86"/>
      <w:bookmarkEnd w:id="87"/>
      <w:bookmarkEnd w:id="88"/>
      <w:bookmarkEnd w:id="89"/>
      <w:bookmarkEnd w:id="90"/>
      <w:bookmarkEnd w:id="91"/>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Развитие малого и среднего предпринимательства является одним из ключевых направлений для экономики </w:t>
      </w:r>
      <w:r w:rsidR="00BD2F0A">
        <w:rPr>
          <w:rFonts w:ascii="Times New Roman" w:hAnsi="Times New Roman"/>
          <w:sz w:val="28"/>
          <w:szCs w:val="28"/>
        </w:rPr>
        <w:t xml:space="preserve">города </w:t>
      </w:r>
      <w:r w:rsidRPr="00577593">
        <w:rPr>
          <w:rFonts w:ascii="Times New Roman" w:hAnsi="Times New Roman"/>
          <w:sz w:val="28"/>
          <w:szCs w:val="28"/>
        </w:rPr>
        <w:t>Барнаула, так как позволяет решать важные задачи обеспечени</w:t>
      </w:r>
      <w:r w:rsidR="004F19FD">
        <w:rPr>
          <w:rFonts w:ascii="Times New Roman" w:hAnsi="Times New Roman"/>
          <w:sz w:val="28"/>
          <w:szCs w:val="28"/>
        </w:rPr>
        <w:t>я</w:t>
      </w:r>
      <w:r w:rsidRPr="00577593">
        <w:rPr>
          <w:rFonts w:ascii="Times New Roman" w:hAnsi="Times New Roman"/>
          <w:sz w:val="28"/>
          <w:szCs w:val="28"/>
        </w:rPr>
        <w:t xml:space="preserve"> занятости населения, </w:t>
      </w:r>
      <w:r w:rsidR="004F19FD">
        <w:rPr>
          <w:rFonts w:ascii="Times New Roman" w:hAnsi="Times New Roman"/>
          <w:sz w:val="28"/>
          <w:szCs w:val="28"/>
        </w:rPr>
        <w:t>формирования конкурентной среды</w:t>
      </w:r>
      <w:r w:rsidRPr="00577593">
        <w:rPr>
          <w:rFonts w:ascii="Times New Roman" w:hAnsi="Times New Roman"/>
          <w:sz w:val="28"/>
          <w:szCs w:val="28"/>
        </w:rPr>
        <w:t xml:space="preserve">, </w:t>
      </w:r>
      <w:r w:rsidR="004F19FD">
        <w:rPr>
          <w:rFonts w:ascii="Times New Roman" w:hAnsi="Times New Roman"/>
          <w:sz w:val="28"/>
          <w:szCs w:val="28"/>
        </w:rPr>
        <w:t>роста</w:t>
      </w:r>
      <w:r w:rsidRPr="00577593">
        <w:rPr>
          <w:rFonts w:ascii="Times New Roman" w:hAnsi="Times New Roman"/>
          <w:sz w:val="28"/>
          <w:szCs w:val="28"/>
        </w:rPr>
        <w:t xml:space="preserve"> налоговых поступлений в бюджет города.</w:t>
      </w:r>
    </w:p>
    <w:p w:rsidR="0048349D" w:rsidRPr="00577593" w:rsidRDefault="0048349D"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В целях развития </w:t>
      </w:r>
      <w:r w:rsidR="004F19FD">
        <w:rPr>
          <w:rFonts w:ascii="Times New Roman" w:hAnsi="Times New Roman"/>
          <w:sz w:val="28"/>
          <w:szCs w:val="28"/>
        </w:rPr>
        <w:t>МСП</w:t>
      </w:r>
      <w:r w:rsidRPr="00577593">
        <w:rPr>
          <w:rFonts w:ascii="Times New Roman" w:hAnsi="Times New Roman"/>
          <w:sz w:val="28"/>
          <w:szCs w:val="28"/>
        </w:rPr>
        <w:t xml:space="preserve"> в городе реализуются</w:t>
      </w:r>
      <w:r w:rsidR="009753C7" w:rsidRPr="00577593">
        <w:rPr>
          <w:rFonts w:ascii="Times New Roman" w:hAnsi="Times New Roman"/>
          <w:sz w:val="28"/>
          <w:szCs w:val="28"/>
        </w:rPr>
        <w:t xml:space="preserve"> </w:t>
      </w:r>
      <w:r w:rsidRPr="00577593">
        <w:rPr>
          <w:rFonts w:ascii="Times New Roman" w:hAnsi="Times New Roman"/>
          <w:sz w:val="28"/>
          <w:szCs w:val="28"/>
        </w:rPr>
        <w:t>государственная программа «Развитие малого и среднего предпринимательства в Алтайском крае»</w:t>
      </w:r>
      <w:r w:rsidR="009753C7" w:rsidRPr="00577593">
        <w:rPr>
          <w:rFonts w:ascii="Times New Roman" w:hAnsi="Times New Roman"/>
          <w:sz w:val="28"/>
          <w:szCs w:val="28"/>
        </w:rPr>
        <w:t xml:space="preserve">, </w:t>
      </w:r>
      <w:r w:rsidRPr="00577593">
        <w:rPr>
          <w:rFonts w:ascii="Times New Roman" w:hAnsi="Times New Roman"/>
          <w:sz w:val="28"/>
          <w:szCs w:val="28"/>
        </w:rPr>
        <w:t>муниципальная программа «Развитие предпринимательства и туризма в городе Барнауле».</w:t>
      </w:r>
    </w:p>
    <w:p w:rsidR="00FC41F4" w:rsidRPr="00577593" w:rsidRDefault="00E12509" w:rsidP="002000D4">
      <w:pPr>
        <w:spacing w:after="0" w:line="240" w:lineRule="auto"/>
        <w:ind w:firstLine="709"/>
        <w:jc w:val="both"/>
        <w:rPr>
          <w:rFonts w:ascii="Times New Roman" w:hAnsi="Times New Roman"/>
          <w:sz w:val="28"/>
          <w:szCs w:val="28"/>
        </w:rPr>
      </w:pPr>
      <w:r w:rsidRPr="00E12509">
        <w:rPr>
          <w:rFonts w:ascii="Times New Roman" w:hAnsi="Times New Roman"/>
          <w:sz w:val="28"/>
          <w:szCs w:val="28"/>
        </w:rPr>
        <w:t xml:space="preserve">В 2024 году в городе Барнауле функционировало более </w:t>
      </w:r>
      <w:r w:rsidRPr="00E12509">
        <w:rPr>
          <w:rFonts w:ascii="Times New Roman" w:hAnsi="Times New Roman"/>
          <w:bCs/>
          <w:sz w:val="28"/>
          <w:szCs w:val="28"/>
        </w:rPr>
        <w:t xml:space="preserve">41 тысячи субъектов </w:t>
      </w:r>
      <w:r w:rsidR="004F19FD">
        <w:rPr>
          <w:rFonts w:ascii="Times New Roman" w:hAnsi="Times New Roman"/>
          <w:bCs/>
          <w:sz w:val="28"/>
          <w:szCs w:val="28"/>
        </w:rPr>
        <w:t>МСП</w:t>
      </w:r>
      <w:r w:rsidRPr="00E12509">
        <w:rPr>
          <w:rFonts w:ascii="Times New Roman" w:hAnsi="Times New Roman"/>
          <w:sz w:val="28"/>
          <w:szCs w:val="28"/>
        </w:rPr>
        <w:t xml:space="preserve">, что составляет </w:t>
      </w:r>
      <w:r w:rsidRPr="00E12509">
        <w:rPr>
          <w:rFonts w:ascii="Times New Roman" w:hAnsi="Times New Roman"/>
          <w:bCs/>
          <w:sz w:val="28"/>
          <w:szCs w:val="28"/>
        </w:rPr>
        <w:t>51,7%</w:t>
      </w:r>
      <w:r w:rsidRPr="00E12509">
        <w:rPr>
          <w:rFonts w:ascii="Times New Roman" w:hAnsi="Times New Roman"/>
          <w:sz w:val="28"/>
          <w:szCs w:val="28"/>
        </w:rPr>
        <w:t xml:space="preserve"> от общего количества действующих предприятий данного сектора в Алтайском крае. В сфере малого и среднего бизнеса было занято свыше </w:t>
      </w:r>
      <w:r w:rsidRPr="00E12509">
        <w:rPr>
          <w:rFonts w:ascii="Times New Roman" w:hAnsi="Times New Roman"/>
          <w:bCs/>
          <w:sz w:val="28"/>
          <w:szCs w:val="28"/>
        </w:rPr>
        <w:t>143 тысяч человек</w:t>
      </w:r>
      <w:r w:rsidRPr="00E12509">
        <w:rPr>
          <w:rFonts w:ascii="Times New Roman" w:hAnsi="Times New Roman"/>
          <w:sz w:val="28"/>
          <w:szCs w:val="28"/>
        </w:rPr>
        <w:t xml:space="preserve">, или </w:t>
      </w:r>
      <w:r w:rsidRPr="00E12509">
        <w:rPr>
          <w:rFonts w:ascii="Times New Roman" w:hAnsi="Times New Roman"/>
          <w:bCs/>
          <w:sz w:val="28"/>
          <w:szCs w:val="28"/>
        </w:rPr>
        <w:t>38%</w:t>
      </w:r>
      <w:r w:rsidRPr="00E12509">
        <w:rPr>
          <w:rFonts w:ascii="Times New Roman" w:hAnsi="Times New Roman"/>
          <w:sz w:val="28"/>
          <w:szCs w:val="28"/>
        </w:rPr>
        <w:t xml:space="preserve"> от общей численности работников, занятых в предпринимательской деятельности региона. </w:t>
      </w:r>
      <w:r w:rsidR="008925FA" w:rsidRPr="00577593">
        <w:rPr>
          <w:rFonts w:ascii="Times New Roman" w:hAnsi="Times New Roman"/>
          <w:sz w:val="28"/>
          <w:szCs w:val="28"/>
        </w:rPr>
        <w:t>По видам экономической деятельности преобладающую долю в малом бизнесе занимает оптовая и розничная торговля; ремонт автотранспортных средств и м</w:t>
      </w:r>
      <w:r w:rsidR="000A15D0" w:rsidRPr="00577593">
        <w:rPr>
          <w:rFonts w:ascii="Times New Roman" w:hAnsi="Times New Roman"/>
          <w:sz w:val="28"/>
          <w:szCs w:val="28"/>
        </w:rPr>
        <w:t xml:space="preserve">отоциклов </w:t>
      </w:r>
      <w:r w:rsidR="00A518B7" w:rsidRPr="00577593">
        <w:rPr>
          <w:rFonts w:ascii="Times New Roman" w:hAnsi="Times New Roman"/>
          <w:sz w:val="28"/>
          <w:szCs w:val="28"/>
        </w:rPr>
        <w:t>–</w:t>
      </w:r>
      <w:r w:rsidR="000A15D0" w:rsidRPr="00577593">
        <w:rPr>
          <w:rFonts w:ascii="Times New Roman" w:hAnsi="Times New Roman"/>
          <w:sz w:val="28"/>
          <w:szCs w:val="28"/>
        </w:rPr>
        <w:t xml:space="preserve"> 36% (42,5% в 2017 году</w:t>
      </w:r>
      <w:r w:rsidR="008925FA" w:rsidRPr="00577593">
        <w:rPr>
          <w:rFonts w:ascii="Times New Roman" w:hAnsi="Times New Roman"/>
          <w:sz w:val="28"/>
          <w:szCs w:val="28"/>
        </w:rPr>
        <w:t xml:space="preserve">), транспортировка </w:t>
      </w:r>
      <w:r w:rsidR="000A15D0" w:rsidRPr="00577593">
        <w:rPr>
          <w:rFonts w:ascii="Times New Roman" w:hAnsi="Times New Roman"/>
          <w:sz w:val="28"/>
          <w:szCs w:val="28"/>
        </w:rPr>
        <w:t xml:space="preserve">и хранение </w:t>
      </w:r>
      <w:r w:rsidR="00A518B7" w:rsidRPr="00577593">
        <w:rPr>
          <w:rFonts w:ascii="Times New Roman" w:hAnsi="Times New Roman"/>
          <w:sz w:val="28"/>
          <w:szCs w:val="28"/>
        </w:rPr>
        <w:t>–</w:t>
      </w:r>
      <w:r w:rsidR="000A15D0" w:rsidRPr="00577593">
        <w:rPr>
          <w:rFonts w:ascii="Times New Roman" w:hAnsi="Times New Roman"/>
          <w:sz w:val="28"/>
          <w:szCs w:val="28"/>
        </w:rPr>
        <w:t xml:space="preserve"> 10% (8,6% в 2017 году</w:t>
      </w:r>
      <w:r w:rsidR="008925FA" w:rsidRPr="00577593">
        <w:rPr>
          <w:rFonts w:ascii="Times New Roman" w:hAnsi="Times New Roman"/>
          <w:sz w:val="28"/>
          <w:szCs w:val="28"/>
        </w:rPr>
        <w:t>), обрабатывающие п</w:t>
      </w:r>
      <w:r w:rsidR="000A15D0" w:rsidRPr="00577593">
        <w:rPr>
          <w:rFonts w:ascii="Times New Roman" w:hAnsi="Times New Roman"/>
          <w:sz w:val="28"/>
          <w:szCs w:val="28"/>
        </w:rPr>
        <w:t xml:space="preserve">роизводства </w:t>
      </w:r>
      <w:r w:rsidR="00A518B7" w:rsidRPr="00577593">
        <w:rPr>
          <w:rFonts w:ascii="Times New Roman" w:hAnsi="Times New Roman"/>
          <w:sz w:val="28"/>
          <w:szCs w:val="28"/>
        </w:rPr>
        <w:t>–</w:t>
      </w:r>
      <w:r w:rsidR="000A15D0" w:rsidRPr="00577593">
        <w:rPr>
          <w:rFonts w:ascii="Times New Roman" w:hAnsi="Times New Roman"/>
          <w:sz w:val="28"/>
          <w:szCs w:val="28"/>
        </w:rPr>
        <w:t xml:space="preserve"> 9% (9,1% в 2017 году</w:t>
      </w:r>
      <w:r w:rsidR="008925FA" w:rsidRPr="00577593">
        <w:rPr>
          <w:rFonts w:ascii="Times New Roman" w:hAnsi="Times New Roman"/>
          <w:sz w:val="28"/>
          <w:szCs w:val="28"/>
        </w:rPr>
        <w:t>), ст</w:t>
      </w:r>
      <w:r w:rsidR="000A15D0" w:rsidRPr="00577593">
        <w:rPr>
          <w:rFonts w:ascii="Times New Roman" w:hAnsi="Times New Roman"/>
          <w:sz w:val="28"/>
          <w:szCs w:val="28"/>
        </w:rPr>
        <w:t xml:space="preserve">роительство </w:t>
      </w:r>
      <w:r w:rsidR="00A518B7" w:rsidRPr="00577593">
        <w:rPr>
          <w:rFonts w:ascii="Times New Roman" w:hAnsi="Times New Roman"/>
          <w:sz w:val="28"/>
          <w:szCs w:val="28"/>
        </w:rPr>
        <w:t>–</w:t>
      </w:r>
      <w:r w:rsidR="000A15D0" w:rsidRPr="00577593">
        <w:rPr>
          <w:rFonts w:ascii="Times New Roman" w:hAnsi="Times New Roman"/>
          <w:sz w:val="28"/>
          <w:szCs w:val="28"/>
        </w:rPr>
        <w:t xml:space="preserve"> 9% (7,8% в 2017 году</w:t>
      </w:r>
      <w:r w:rsidR="008925FA" w:rsidRPr="00577593">
        <w:rPr>
          <w:rFonts w:ascii="Times New Roman" w:hAnsi="Times New Roman"/>
          <w:sz w:val="28"/>
          <w:szCs w:val="28"/>
        </w:rPr>
        <w:t>), деятельность по операциям с недвижимым</w:t>
      </w:r>
      <w:r w:rsidR="000A15D0" w:rsidRPr="00577593">
        <w:rPr>
          <w:rFonts w:ascii="Times New Roman" w:hAnsi="Times New Roman"/>
          <w:sz w:val="28"/>
          <w:szCs w:val="28"/>
        </w:rPr>
        <w:t xml:space="preserve"> имуществом </w:t>
      </w:r>
      <w:r w:rsidR="00A518B7" w:rsidRPr="00577593">
        <w:rPr>
          <w:rFonts w:ascii="Times New Roman" w:hAnsi="Times New Roman"/>
          <w:sz w:val="28"/>
          <w:szCs w:val="28"/>
        </w:rPr>
        <w:t>–</w:t>
      </w:r>
      <w:r w:rsidR="000A15D0" w:rsidRPr="00577593">
        <w:rPr>
          <w:rFonts w:ascii="Times New Roman" w:hAnsi="Times New Roman"/>
          <w:sz w:val="28"/>
          <w:szCs w:val="28"/>
        </w:rPr>
        <w:t xml:space="preserve"> 8% (6,4% в 2017 году</w:t>
      </w:r>
      <w:r w:rsidR="008925FA" w:rsidRPr="00577593">
        <w:rPr>
          <w:rFonts w:ascii="Times New Roman" w:hAnsi="Times New Roman"/>
          <w:sz w:val="28"/>
          <w:szCs w:val="28"/>
        </w:rPr>
        <w:t>)</w:t>
      </w:r>
      <w:r w:rsidR="004F19FD">
        <w:rPr>
          <w:rFonts w:ascii="Times New Roman" w:hAnsi="Times New Roman"/>
          <w:sz w:val="28"/>
          <w:szCs w:val="28"/>
        </w:rPr>
        <w:t xml:space="preserve">, а также 8% - деятельность профессиональная, научная и техническая (7,4% в 2017 году) </w:t>
      </w:r>
      <w:r w:rsidR="008925FA" w:rsidRPr="00577593">
        <w:rPr>
          <w:rFonts w:ascii="Times New Roman" w:hAnsi="Times New Roman"/>
          <w:sz w:val="28"/>
          <w:szCs w:val="28"/>
        </w:rPr>
        <w:t>(</w:t>
      </w:r>
      <w:r w:rsidR="00D558A5">
        <w:fldChar w:fldCharType="begin"/>
      </w:r>
      <w:r w:rsidR="00D558A5">
        <w:instrText xml:space="preserve"> REF _Ref199440091 \h  \* MERGEFORMAT </w:instrText>
      </w:r>
      <w:r w:rsidR="00D558A5">
        <w:fldChar w:fldCharType="separate"/>
      </w:r>
      <w:r w:rsidR="00071499" w:rsidRPr="00071499">
        <w:rPr>
          <w:rFonts w:ascii="Times New Roman" w:hAnsi="Times New Roman"/>
          <w:sz w:val="28"/>
          <w:szCs w:val="28"/>
        </w:rPr>
        <w:t>Рисунок</w:t>
      </w:r>
      <w:r w:rsidR="00071499" w:rsidRPr="00577593">
        <w:rPr>
          <w:rFonts w:ascii="Times New Roman" w:hAnsi="Times New Roman"/>
          <w:i/>
          <w:sz w:val="28"/>
          <w:szCs w:val="28"/>
        </w:rPr>
        <w:t xml:space="preserve"> </w:t>
      </w:r>
      <w:r w:rsidR="00071499" w:rsidRPr="00071499">
        <w:rPr>
          <w:rFonts w:ascii="Times New Roman" w:hAnsi="Times New Roman"/>
          <w:iCs/>
          <w:sz w:val="28"/>
          <w:szCs w:val="28"/>
        </w:rPr>
        <w:t>24</w:t>
      </w:r>
      <w:r w:rsidR="00D558A5">
        <w:fldChar w:fldCharType="end"/>
      </w:r>
      <w:r w:rsidR="008925FA" w:rsidRPr="00577593">
        <w:rPr>
          <w:rFonts w:ascii="Times New Roman" w:hAnsi="Times New Roman"/>
          <w:sz w:val="28"/>
          <w:szCs w:val="28"/>
        </w:rPr>
        <w:t>).</w:t>
      </w:r>
    </w:p>
    <w:p w:rsidR="00FC41F4" w:rsidRPr="00BD2F0A" w:rsidRDefault="00FC41F4" w:rsidP="002000D4">
      <w:pPr>
        <w:spacing w:after="0" w:line="240" w:lineRule="auto"/>
        <w:jc w:val="both"/>
        <w:rPr>
          <w:rFonts w:ascii="Times New Roman" w:hAnsi="Times New Roman"/>
          <w:sz w:val="8"/>
          <w:szCs w:val="8"/>
        </w:rPr>
      </w:pPr>
    </w:p>
    <w:p w:rsidR="00FC41F4" w:rsidRPr="00577593" w:rsidRDefault="000D3F7A" w:rsidP="002000D4">
      <w:pPr>
        <w:spacing w:after="0" w:line="240" w:lineRule="auto"/>
        <w:jc w:val="center"/>
        <w:rPr>
          <w:rFonts w:ascii="Times New Roman" w:hAnsi="Times New Roman"/>
          <w:sz w:val="24"/>
          <w:szCs w:val="24"/>
        </w:rPr>
      </w:pPr>
      <w:r w:rsidRPr="00577593">
        <w:rPr>
          <w:rFonts w:ascii="Times New Roman" w:hAnsi="Times New Roman"/>
          <w:noProof/>
          <w:lang w:eastAsia="ru-RU"/>
        </w:rPr>
        <w:drawing>
          <wp:inline distT="0" distB="0" distL="0" distR="0">
            <wp:extent cx="5105400" cy="3416300"/>
            <wp:effectExtent l="0" t="0" r="0" b="0"/>
            <wp:docPr id="24" name="Диаграмма 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317761" w:rsidRDefault="008925FA" w:rsidP="00317761">
      <w:pPr>
        <w:pStyle w:val="aff9"/>
        <w:spacing w:after="0"/>
        <w:jc w:val="center"/>
        <w:rPr>
          <w:rFonts w:ascii="Times New Roman" w:hAnsi="Times New Roman"/>
          <w:i w:val="0"/>
          <w:color w:val="auto"/>
          <w:sz w:val="28"/>
          <w:szCs w:val="28"/>
        </w:rPr>
      </w:pPr>
      <w:bookmarkStart w:id="92" w:name="_Ref199440091"/>
      <w:r w:rsidRPr="00577593">
        <w:rPr>
          <w:rFonts w:ascii="Times New Roman" w:hAnsi="Times New Roman"/>
          <w:i w:val="0"/>
          <w:color w:val="auto"/>
          <w:sz w:val="28"/>
          <w:szCs w:val="28"/>
        </w:rPr>
        <w:lastRenderedPageBreak/>
        <w:t xml:space="preserve">Рисунок </w:t>
      </w:r>
      <w:r w:rsidR="00074AE5" w:rsidRPr="00577593">
        <w:rPr>
          <w:rFonts w:ascii="Times New Roman" w:hAnsi="Times New Roman"/>
          <w:i w:val="0"/>
          <w:color w:val="auto"/>
          <w:sz w:val="28"/>
          <w:szCs w:val="28"/>
        </w:rPr>
        <w:fldChar w:fldCharType="begin"/>
      </w:r>
      <w:r w:rsidRPr="00577593">
        <w:rPr>
          <w:rFonts w:ascii="Times New Roman" w:hAnsi="Times New Roman"/>
          <w:i w:val="0"/>
          <w:color w:val="auto"/>
          <w:sz w:val="28"/>
          <w:szCs w:val="28"/>
        </w:rPr>
        <w:instrText xml:space="preserve"> SEQ Рисунок \* ARABIC </w:instrText>
      </w:r>
      <w:r w:rsidR="00074AE5" w:rsidRPr="00577593">
        <w:rPr>
          <w:rFonts w:ascii="Times New Roman" w:hAnsi="Times New Roman"/>
          <w:i w:val="0"/>
          <w:color w:val="auto"/>
          <w:sz w:val="28"/>
          <w:szCs w:val="28"/>
        </w:rPr>
        <w:fldChar w:fldCharType="separate"/>
      </w:r>
      <w:r w:rsidR="00071499">
        <w:rPr>
          <w:rFonts w:ascii="Times New Roman" w:hAnsi="Times New Roman"/>
          <w:i w:val="0"/>
          <w:noProof/>
          <w:color w:val="auto"/>
          <w:sz w:val="28"/>
          <w:szCs w:val="28"/>
        </w:rPr>
        <w:t>24</w:t>
      </w:r>
      <w:r w:rsidR="00074AE5" w:rsidRPr="00577593">
        <w:rPr>
          <w:rFonts w:ascii="Times New Roman" w:hAnsi="Times New Roman"/>
          <w:i w:val="0"/>
          <w:color w:val="auto"/>
          <w:sz w:val="28"/>
          <w:szCs w:val="28"/>
        </w:rPr>
        <w:fldChar w:fldCharType="end"/>
      </w:r>
      <w:bookmarkEnd w:id="92"/>
      <w:r w:rsidRPr="00577593">
        <w:rPr>
          <w:rFonts w:ascii="Times New Roman" w:hAnsi="Times New Roman"/>
          <w:i w:val="0"/>
          <w:color w:val="auto"/>
          <w:sz w:val="28"/>
          <w:szCs w:val="28"/>
        </w:rPr>
        <w:t xml:space="preserve"> </w:t>
      </w:r>
      <w:r w:rsidR="00A518B7" w:rsidRPr="00577593">
        <w:rPr>
          <w:rFonts w:ascii="Times New Roman" w:hAnsi="Times New Roman"/>
          <w:i w:val="0"/>
          <w:color w:val="auto"/>
          <w:sz w:val="28"/>
          <w:szCs w:val="28"/>
        </w:rPr>
        <w:t>–</w:t>
      </w:r>
      <w:r w:rsidRPr="00577593">
        <w:rPr>
          <w:rFonts w:ascii="Times New Roman" w:hAnsi="Times New Roman"/>
          <w:i w:val="0"/>
          <w:color w:val="auto"/>
          <w:sz w:val="28"/>
          <w:szCs w:val="28"/>
        </w:rPr>
        <w:t xml:space="preserve"> Структура предприятий МСП по видам деятельности, % </w:t>
      </w:r>
    </w:p>
    <w:p w:rsidR="00317761" w:rsidRPr="00577593" w:rsidRDefault="00317761" w:rsidP="00317761">
      <w:pPr>
        <w:pStyle w:val="aff9"/>
        <w:spacing w:after="0"/>
        <w:jc w:val="center"/>
        <w:rPr>
          <w:rFonts w:ascii="Times New Roman" w:hAnsi="Times New Roman"/>
          <w:i w:val="0"/>
          <w:color w:val="auto"/>
          <w:sz w:val="28"/>
          <w:szCs w:val="28"/>
        </w:rPr>
      </w:pPr>
      <w:r w:rsidRPr="00577593">
        <w:rPr>
          <w:rFonts w:ascii="Times New Roman" w:hAnsi="Times New Roman"/>
          <w:i w:val="0"/>
          <w:color w:val="auto"/>
          <w:sz w:val="28"/>
          <w:szCs w:val="28"/>
        </w:rPr>
        <w:t>Примечание – Источник: данные Единого реестра МСП</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При этом структура предприятий МСП по видам деятельности в Алтайском крае практически совпадает со структурой в </w:t>
      </w:r>
      <w:r w:rsidR="00BD2F0A">
        <w:rPr>
          <w:rFonts w:ascii="Times New Roman" w:hAnsi="Times New Roman"/>
          <w:sz w:val="28"/>
          <w:szCs w:val="28"/>
        </w:rPr>
        <w:t xml:space="preserve">городе </w:t>
      </w:r>
      <w:r w:rsidRPr="00577593">
        <w:rPr>
          <w:rFonts w:ascii="Times New Roman" w:hAnsi="Times New Roman"/>
          <w:sz w:val="28"/>
          <w:szCs w:val="28"/>
        </w:rPr>
        <w:t xml:space="preserve">Барнауле, отличаясь только более </w:t>
      </w:r>
      <w:r w:rsidR="0048349D" w:rsidRPr="00577593">
        <w:rPr>
          <w:rFonts w:ascii="Times New Roman" w:hAnsi="Times New Roman"/>
          <w:sz w:val="28"/>
          <w:szCs w:val="28"/>
        </w:rPr>
        <w:t>высокой долей</w:t>
      </w:r>
      <w:r w:rsidRPr="00577593">
        <w:rPr>
          <w:rFonts w:ascii="Times New Roman" w:hAnsi="Times New Roman"/>
          <w:sz w:val="28"/>
          <w:szCs w:val="28"/>
        </w:rPr>
        <w:t xml:space="preserve"> предприятий сельского хозяйства (около 5% в Алтайском крае). </w:t>
      </w:r>
    </w:p>
    <w:p w:rsidR="0048349D" w:rsidRPr="00577593" w:rsidRDefault="0048349D"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Деятельность малого и среднего бизнеса в </w:t>
      </w:r>
      <w:r w:rsidR="00BD2F0A">
        <w:rPr>
          <w:rFonts w:ascii="Times New Roman" w:hAnsi="Times New Roman"/>
          <w:sz w:val="28"/>
          <w:szCs w:val="28"/>
        </w:rPr>
        <w:t>городе</w:t>
      </w:r>
      <w:r w:rsidRPr="00577593">
        <w:rPr>
          <w:rFonts w:ascii="Times New Roman" w:hAnsi="Times New Roman"/>
          <w:sz w:val="28"/>
          <w:szCs w:val="28"/>
        </w:rPr>
        <w:t xml:space="preserve"> оказывает заметное влияние</w:t>
      </w:r>
      <w:r w:rsidR="00D5003C" w:rsidRPr="00577593">
        <w:rPr>
          <w:rFonts w:ascii="Times New Roman" w:hAnsi="Times New Roman"/>
          <w:sz w:val="28"/>
          <w:szCs w:val="28"/>
        </w:rPr>
        <w:t xml:space="preserve"> </w:t>
      </w:r>
      <w:r w:rsidRPr="00577593">
        <w:rPr>
          <w:rFonts w:ascii="Times New Roman" w:hAnsi="Times New Roman"/>
          <w:sz w:val="28"/>
          <w:szCs w:val="28"/>
        </w:rPr>
        <w:t xml:space="preserve">на развитие МСП Алтайского края. Согласно данным сплошного обследования Росстата за 2020 год, на долю барнаульских индивидуальных предпринимателей приходилось 48% совокупной выручки края, а на юридические лица </w:t>
      </w:r>
      <w:r w:rsidR="00A518B7" w:rsidRPr="00577593">
        <w:rPr>
          <w:rFonts w:ascii="Times New Roman" w:hAnsi="Times New Roman"/>
          <w:sz w:val="28"/>
          <w:szCs w:val="28"/>
        </w:rPr>
        <w:t>–</w:t>
      </w:r>
      <w:r w:rsidRPr="00577593">
        <w:rPr>
          <w:rFonts w:ascii="Times New Roman" w:hAnsi="Times New Roman"/>
          <w:sz w:val="28"/>
          <w:szCs w:val="28"/>
        </w:rPr>
        <w:t xml:space="preserve"> 69%. Уровень занятости составлял 38% и 52% соответственно. Приведенные показатели свидетельствуют о значительном вкладе </w:t>
      </w:r>
      <w:r w:rsidR="00BD2F0A">
        <w:rPr>
          <w:rFonts w:ascii="Times New Roman" w:hAnsi="Times New Roman"/>
          <w:sz w:val="28"/>
          <w:szCs w:val="28"/>
        </w:rPr>
        <w:t xml:space="preserve">города </w:t>
      </w:r>
      <w:r w:rsidRPr="00577593">
        <w:rPr>
          <w:rFonts w:ascii="Times New Roman" w:hAnsi="Times New Roman"/>
          <w:sz w:val="28"/>
          <w:szCs w:val="28"/>
        </w:rPr>
        <w:t>Барнаула в формирование и развитие предпринимательского сектора региона</w:t>
      </w:r>
      <w:r w:rsidR="00BD2F0A">
        <w:rPr>
          <w:rFonts w:ascii="Times New Roman" w:hAnsi="Times New Roman"/>
          <w:sz w:val="28"/>
          <w:szCs w:val="28"/>
        </w:rPr>
        <w:t>.</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Доля предпринимательства в формировании доходной части бюджета города выросла с 41,9% в 2012 году до 58,4% в 2024 году. Соответственно, можно говорить о выполнении целевого показателя Стратегии социально-экономического развития города Барнаула до 2025 года (55,2% к 2025 году).</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Большинство предприятий МСП (более 40 тысяч) относятся к микропредприятиям и малым предприятиям, с учетом индивидуальных предпринимателей, средних предприятий насчитывается всего 127 единиц (</w:t>
      </w:r>
      <w:r w:rsidR="00D558A5">
        <w:fldChar w:fldCharType="begin"/>
      </w:r>
      <w:r w:rsidR="00D558A5">
        <w:instrText xml:space="preserve"> REF _Ref199440152 \h  \* MERGEFORMAT </w:instrText>
      </w:r>
      <w:r w:rsidR="00D558A5">
        <w:fldChar w:fldCharType="separate"/>
      </w:r>
      <w:r w:rsidR="00071499" w:rsidRPr="00071499">
        <w:rPr>
          <w:rFonts w:ascii="Times New Roman" w:hAnsi="Times New Roman"/>
          <w:sz w:val="28"/>
          <w:szCs w:val="28"/>
        </w:rPr>
        <w:t>Рисунок 25</w:t>
      </w:r>
      <w:r w:rsidR="00D558A5">
        <w:fldChar w:fldCharType="end"/>
      </w:r>
      <w:r w:rsidRPr="00577593">
        <w:rPr>
          <w:rFonts w:ascii="Times New Roman" w:hAnsi="Times New Roman"/>
          <w:sz w:val="28"/>
          <w:szCs w:val="28"/>
        </w:rPr>
        <w:t>).</w:t>
      </w:r>
    </w:p>
    <w:p w:rsidR="00FC41F4" w:rsidRPr="00577593" w:rsidRDefault="000D3F7A" w:rsidP="002000D4">
      <w:pPr>
        <w:spacing w:after="0" w:line="240" w:lineRule="auto"/>
        <w:jc w:val="center"/>
        <w:rPr>
          <w:rFonts w:ascii="Times New Roman" w:hAnsi="Times New Roman"/>
          <w:sz w:val="24"/>
          <w:szCs w:val="24"/>
        </w:rPr>
      </w:pPr>
      <w:r w:rsidRPr="00577593">
        <w:rPr>
          <w:rFonts w:ascii="Times New Roman" w:hAnsi="Times New Roman"/>
          <w:noProof/>
          <w:lang w:eastAsia="ru-RU"/>
        </w:rPr>
        <w:drawing>
          <wp:inline distT="0" distB="0" distL="0" distR="0">
            <wp:extent cx="5760720" cy="3514090"/>
            <wp:effectExtent l="0" t="0" r="0" b="0"/>
            <wp:docPr id="25" name="Объект 2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FC41F4" w:rsidRDefault="008925FA" w:rsidP="00317761">
      <w:pPr>
        <w:pStyle w:val="aff9"/>
        <w:spacing w:after="0"/>
        <w:jc w:val="center"/>
        <w:rPr>
          <w:rFonts w:ascii="Times New Roman" w:hAnsi="Times New Roman"/>
          <w:i w:val="0"/>
          <w:color w:val="auto"/>
          <w:sz w:val="28"/>
          <w:szCs w:val="28"/>
        </w:rPr>
      </w:pPr>
      <w:bookmarkStart w:id="93" w:name="_Ref199440152"/>
      <w:r w:rsidRPr="00577593">
        <w:rPr>
          <w:rFonts w:ascii="Times New Roman" w:hAnsi="Times New Roman"/>
          <w:i w:val="0"/>
          <w:color w:val="auto"/>
          <w:sz w:val="28"/>
          <w:szCs w:val="28"/>
        </w:rPr>
        <w:t xml:space="preserve">Рисунок </w:t>
      </w:r>
      <w:r w:rsidR="00074AE5" w:rsidRPr="00577593">
        <w:rPr>
          <w:rFonts w:ascii="Times New Roman" w:hAnsi="Times New Roman"/>
          <w:i w:val="0"/>
          <w:color w:val="auto"/>
          <w:sz w:val="28"/>
          <w:szCs w:val="28"/>
        </w:rPr>
        <w:fldChar w:fldCharType="begin"/>
      </w:r>
      <w:r w:rsidRPr="00577593">
        <w:rPr>
          <w:rFonts w:ascii="Times New Roman" w:hAnsi="Times New Roman"/>
          <w:i w:val="0"/>
          <w:color w:val="auto"/>
          <w:sz w:val="28"/>
          <w:szCs w:val="28"/>
        </w:rPr>
        <w:instrText xml:space="preserve"> SEQ Рисунок \* ARABIC </w:instrText>
      </w:r>
      <w:r w:rsidR="00074AE5" w:rsidRPr="00577593">
        <w:rPr>
          <w:rFonts w:ascii="Times New Roman" w:hAnsi="Times New Roman"/>
          <w:i w:val="0"/>
          <w:color w:val="auto"/>
          <w:sz w:val="28"/>
          <w:szCs w:val="28"/>
        </w:rPr>
        <w:fldChar w:fldCharType="separate"/>
      </w:r>
      <w:r w:rsidR="00071499">
        <w:rPr>
          <w:rFonts w:ascii="Times New Roman" w:hAnsi="Times New Roman"/>
          <w:i w:val="0"/>
          <w:noProof/>
          <w:color w:val="auto"/>
          <w:sz w:val="28"/>
          <w:szCs w:val="28"/>
        </w:rPr>
        <w:t>25</w:t>
      </w:r>
      <w:r w:rsidR="00074AE5" w:rsidRPr="00577593">
        <w:rPr>
          <w:rFonts w:ascii="Times New Roman" w:hAnsi="Times New Roman"/>
          <w:i w:val="0"/>
          <w:color w:val="auto"/>
          <w:sz w:val="28"/>
          <w:szCs w:val="28"/>
        </w:rPr>
        <w:fldChar w:fldCharType="end"/>
      </w:r>
      <w:bookmarkEnd w:id="93"/>
      <w:r w:rsidRPr="00577593">
        <w:rPr>
          <w:rFonts w:ascii="Times New Roman" w:hAnsi="Times New Roman"/>
          <w:i w:val="0"/>
          <w:color w:val="auto"/>
          <w:sz w:val="28"/>
          <w:szCs w:val="28"/>
        </w:rPr>
        <w:t xml:space="preserve"> </w:t>
      </w:r>
      <w:r w:rsidR="00A518B7" w:rsidRPr="00577593">
        <w:rPr>
          <w:rFonts w:ascii="Times New Roman" w:hAnsi="Times New Roman"/>
          <w:i w:val="0"/>
          <w:color w:val="auto"/>
          <w:sz w:val="28"/>
          <w:szCs w:val="28"/>
        </w:rPr>
        <w:t>–</w:t>
      </w:r>
      <w:r w:rsidRPr="00577593">
        <w:rPr>
          <w:rFonts w:ascii="Times New Roman" w:hAnsi="Times New Roman"/>
          <w:i w:val="0"/>
          <w:color w:val="auto"/>
          <w:sz w:val="28"/>
          <w:szCs w:val="28"/>
        </w:rPr>
        <w:t xml:space="preserve"> Распределение МСП на микропредприятия, малые </w:t>
      </w:r>
      <w:r w:rsidR="00317761">
        <w:rPr>
          <w:rFonts w:ascii="Times New Roman" w:hAnsi="Times New Roman"/>
          <w:i w:val="0"/>
          <w:color w:val="auto"/>
          <w:sz w:val="28"/>
          <w:szCs w:val="28"/>
        </w:rPr>
        <w:t xml:space="preserve">и средние </w:t>
      </w:r>
      <w:r w:rsidRPr="00577593">
        <w:rPr>
          <w:rFonts w:ascii="Times New Roman" w:hAnsi="Times New Roman"/>
          <w:i w:val="0"/>
          <w:color w:val="auto"/>
          <w:sz w:val="28"/>
          <w:szCs w:val="28"/>
        </w:rPr>
        <w:t>предприятия, в том числе индивидуальных предпринимателей, ед.</w:t>
      </w:r>
    </w:p>
    <w:p w:rsidR="00317761" w:rsidRPr="00577593" w:rsidRDefault="00317761" w:rsidP="00317761">
      <w:pPr>
        <w:pStyle w:val="aff9"/>
        <w:spacing w:after="0"/>
        <w:rPr>
          <w:rFonts w:ascii="Times New Roman" w:hAnsi="Times New Roman"/>
          <w:i w:val="0"/>
          <w:color w:val="auto"/>
          <w:sz w:val="28"/>
          <w:szCs w:val="28"/>
        </w:rPr>
      </w:pPr>
      <w:r w:rsidRPr="00577593">
        <w:rPr>
          <w:rFonts w:ascii="Times New Roman" w:hAnsi="Times New Roman"/>
          <w:i w:val="0"/>
          <w:color w:val="auto"/>
          <w:sz w:val="28"/>
          <w:szCs w:val="28"/>
        </w:rPr>
        <w:t>Примечание – Источник: данные Единого реестра МСП</w:t>
      </w:r>
    </w:p>
    <w:p w:rsidR="00317761" w:rsidRDefault="00317761" w:rsidP="002000D4">
      <w:pPr>
        <w:spacing w:after="0" w:line="240" w:lineRule="auto"/>
        <w:ind w:firstLine="709"/>
        <w:jc w:val="both"/>
        <w:rPr>
          <w:rFonts w:ascii="Times New Roman" w:hAnsi="Times New Roman"/>
          <w:sz w:val="28"/>
          <w:szCs w:val="28"/>
        </w:rPr>
      </w:pP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lastRenderedPageBreak/>
        <w:t xml:space="preserve">Количество индивидуальных предпринимателей на 22% выше, чем количество зарегистрированных юридических лиц </w:t>
      </w:r>
      <w:r w:rsidR="00C742AD" w:rsidRPr="00577593">
        <w:rPr>
          <w:rFonts w:ascii="Times New Roman" w:hAnsi="Times New Roman"/>
          <w:sz w:val="28"/>
          <w:szCs w:val="28"/>
        </w:rPr>
        <w:t>–</w:t>
      </w:r>
      <w:r w:rsidRPr="00577593">
        <w:rPr>
          <w:rFonts w:ascii="Times New Roman" w:hAnsi="Times New Roman"/>
          <w:sz w:val="28"/>
          <w:szCs w:val="28"/>
        </w:rPr>
        <w:t xml:space="preserve"> субъектов МСП: </w:t>
      </w:r>
      <w:r w:rsidR="00D5003C" w:rsidRPr="00577593">
        <w:rPr>
          <w:rFonts w:ascii="Times New Roman" w:hAnsi="Times New Roman"/>
          <w:sz w:val="28"/>
          <w:szCs w:val="28"/>
        </w:rPr>
        <w:br/>
      </w:r>
      <w:r w:rsidRPr="00577593">
        <w:rPr>
          <w:rFonts w:ascii="Times New Roman" w:hAnsi="Times New Roman"/>
          <w:sz w:val="28"/>
          <w:szCs w:val="28"/>
        </w:rPr>
        <w:t>22,7 тысячи и 18,6 тысячи соответственно (</w:t>
      </w:r>
      <w:r w:rsidR="00D558A5">
        <w:fldChar w:fldCharType="begin"/>
      </w:r>
      <w:r w:rsidR="00D558A5">
        <w:instrText xml:space="preserve"> REF _Ref199440192 \h  \* MERGEFORMAT </w:instrText>
      </w:r>
      <w:r w:rsidR="00D558A5">
        <w:fldChar w:fldCharType="separate"/>
      </w:r>
      <w:r w:rsidR="00071499" w:rsidRPr="00071499">
        <w:rPr>
          <w:rFonts w:ascii="Times New Roman" w:hAnsi="Times New Roman"/>
          <w:sz w:val="28"/>
          <w:szCs w:val="28"/>
        </w:rPr>
        <w:t>Рисунок 26</w:t>
      </w:r>
      <w:r w:rsidR="00D558A5">
        <w:fldChar w:fldCharType="end"/>
      </w:r>
      <w:r w:rsidRPr="00577593">
        <w:rPr>
          <w:rFonts w:ascii="Times New Roman" w:hAnsi="Times New Roman"/>
          <w:sz w:val="28"/>
          <w:szCs w:val="28"/>
        </w:rPr>
        <w:t>).</w:t>
      </w:r>
    </w:p>
    <w:p w:rsidR="00FC41F4" w:rsidRPr="00577593" w:rsidRDefault="000D3F7A" w:rsidP="002000D4">
      <w:pPr>
        <w:spacing w:after="0" w:line="240" w:lineRule="auto"/>
        <w:jc w:val="center"/>
        <w:rPr>
          <w:rFonts w:ascii="Times New Roman" w:hAnsi="Times New Roman"/>
        </w:rPr>
      </w:pPr>
      <w:r w:rsidRPr="00577593">
        <w:rPr>
          <w:rFonts w:ascii="Times New Roman" w:hAnsi="Times New Roman"/>
          <w:noProof/>
          <w:lang w:eastAsia="ru-RU"/>
        </w:rPr>
        <w:drawing>
          <wp:inline distT="0" distB="0" distL="0" distR="0">
            <wp:extent cx="5015230" cy="2126615"/>
            <wp:effectExtent l="0" t="0" r="13970" b="6985"/>
            <wp:docPr id="26"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FC41F4" w:rsidRDefault="008925FA" w:rsidP="00317761">
      <w:pPr>
        <w:pStyle w:val="aff9"/>
        <w:spacing w:after="0"/>
        <w:jc w:val="center"/>
        <w:rPr>
          <w:rFonts w:ascii="Times New Roman" w:hAnsi="Times New Roman"/>
          <w:i w:val="0"/>
          <w:color w:val="auto"/>
          <w:sz w:val="28"/>
          <w:szCs w:val="28"/>
        </w:rPr>
      </w:pPr>
      <w:bookmarkStart w:id="94" w:name="_Ref199440192"/>
      <w:r w:rsidRPr="00577593">
        <w:rPr>
          <w:rFonts w:ascii="Times New Roman" w:hAnsi="Times New Roman"/>
          <w:i w:val="0"/>
          <w:color w:val="auto"/>
          <w:sz w:val="28"/>
          <w:szCs w:val="28"/>
        </w:rPr>
        <w:t xml:space="preserve">Рисунок </w:t>
      </w:r>
      <w:r w:rsidR="00074AE5" w:rsidRPr="00577593">
        <w:rPr>
          <w:rFonts w:ascii="Times New Roman" w:hAnsi="Times New Roman"/>
          <w:i w:val="0"/>
          <w:color w:val="auto"/>
          <w:sz w:val="28"/>
          <w:szCs w:val="28"/>
        </w:rPr>
        <w:fldChar w:fldCharType="begin"/>
      </w:r>
      <w:r w:rsidRPr="00577593">
        <w:rPr>
          <w:rFonts w:ascii="Times New Roman" w:hAnsi="Times New Roman"/>
          <w:i w:val="0"/>
          <w:color w:val="auto"/>
          <w:sz w:val="28"/>
          <w:szCs w:val="28"/>
        </w:rPr>
        <w:instrText xml:space="preserve"> SEQ Рисунок \* ARABIC </w:instrText>
      </w:r>
      <w:r w:rsidR="00074AE5" w:rsidRPr="00577593">
        <w:rPr>
          <w:rFonts w:ascii="Times New Roman" w:hAnsi="Times New Roman"/>
          <w:i w:val="0"/>
          <w:color w:val="auto"/>
          <w:sz w:val="28"/>
          <w:szCs w:val="28"/>
        </w:rPr>
        <w:fldChar w:fldCharType="separate"/>
      </w:r>
      <w:r w:rsidR="00071499">
        <w:rPr>
          <w:rFonts w:ascii="Times New Roman" w:hAnsi="Times New Roman"/>
          <w:i w:val="0"/>
          <w:noProof/>
          <w:color w:val="auto"/>
          <w:sz w:val="28"/>
          <w:szCs w:val="28"/>
        </w:rPr>
        <w:t>26</w:t>
      </w:r>
      <w:r w:rsidR="00074AE5" w:rsidRPr="00577593">
        <w:rPr>
          <w:rFonts w:ascii="Times New Roman" w:hAnsi="Times New Roman"/>
          <w:i w:val="0"/>
          <w:color w:val="auto"/>
          <w:sz w:val="28"/>
          <w:szCs w:val="28"/>
        </w:rPr>
        <w:fldChar w:fldCharType="end"/>
      </w:r>
      <w:bookmarkEnd w:id="94"/>
      <w:r w:rsidRPr="00577593">
        <w:rPr>
          <w:rFonts w:ascii="Times New Roman" w:hAnsi="Times New Roman"/>
          <w:i w:val="0"/>
          <w:color w:val="auto"/>
          <w:sz w:val="28"/>
          <w:szCs w:val="28"/>
        </w:rPr>
        <w:t xml:space="preserve"> </w:t>
      </w:r>
      <w:r w:rsidR="00A518B7" w:rsidRPr="00577593">
        <w:rPr>
          <w:rFonts w:ascii="Times New Roman" w:hAnsi="Times New Roman"/>
          <w:i w:val="0"/>
          <w:color w:val="auto"/>
          <w:sz w:val="28"/>
          <w:szCs w:val="28"/>
        </w:rPr>
        <w:t>–</w:t>
      </w:r>
      <w:r w:rsidRPr="00577593">
        <w:rPr>
          <w:rFonts w:ascii="Times New Roman" w:hAnsi="Times New Roman"/>
          <w:i w:val="0"/>
          <w:color w:val="auto"/>
          <w:sz w:val="28"/>
          <w:szCs w:val="28"/>
        </w:rPr>
        <w:t xml:space="preserve"> Количество юридических лиц и индивидуальных предпринимателей, ед. </w:t>
      </w:r>
    </w:p>
    <w:p w:rsidR="00317761" w:rsidRPr="00577593" w:rsidRDefault="00317761" w:rsidP="00317761">
      <w:pPr>
        <w:pStyle w:val="aff9"/>
        <w:spacing w:after="0"/>
        <w:rPr>
          <w:rFonts w:ascii="Times New Roman" w:hAnsi="Times New Roman"/>
          <w:i w:val="0"/>
          <w:color w:val="auto"/>
          <w:sz w:val="28"/>
          <w:szCs w:val="28"/>
        </w:rPr>
      </w:pPr>
      <w:r w:rsidRPr="00577593">
        <w:rPr>
          <w:rFonts w:ascii="Times New Roman" w:hAnsi="Times New Roman"/>
          <w:i w:val="0"/>
          <w:color w:val="auto"/>
          <w:sz w:val="28"/>
          <w:szCs w:val="28"/>
        </w:rPr>
        <w:t>Примечание – Источник: данные Единого реестра МСП</w:t>
      </w:r>
    </w:p>
    <w:p w:rsidR="00317761" w:rsidRDefault="00317761" w:rsidP="002000D4">
      <w:pPr>
        <w:spacing w:after="0" w:line="240" w:lineRule="auto"/>
        <w:ind w:firstLine="709"/>
        <w:jc w:val="both"/>
        <w:rPr>
          <w:rFonts w:ascii="Times New Roman" w:hAnsi="Times New Roman"/>
          <w:sz w:val="28"/>
          <w:szCs w:val="28"/>
        </w:rPr>
      </w:pP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Среди реализуемых финансовых мер поддержки МСП в </w:t>
      </w:r>
      <w:r w:rsidR="00BD2F0A">
        <w:rPr>
          <w:rFonts w:ascii="Times New Roman" w:hAnsi="Times New Roman"/>
          <w:sz w:val="28"/>
          <w:szCs w:val="28"/>
        </w:rPr>
        <w:t xml:space="preserve">городе </w:t>
      </w:r>
      <w:r w:rsidRPr="00577593">
        <w:rPr>
          <w:rFonts w:ascii="Times New Roman" w:hAnsi="Times New Roman"/>
          <w:sz w:val="28"/>
          <w:szCs w:val="28"/>
        </w:rPr>
        <w:t>Барнауле преобладают региональные меры, а городом оказывается в основном информационная поддержка.</w:t>
      </w:r>
    </w:p>
    <w:p w:rsidR="0048349D" w:rsidRPr="00577593" w:rsidRDefault="0048349D"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Министерством экономического развития Алтайского края поддержка предоставляется в форме финансового возмещения затрат инвесторов </w:t>
      </w:r>
      <w:r w:rsidR="00D5003C" w:rsidRPr="00577593">
        <w:rPr>
          <w:rFonts w:ascii="Times New Roman" w:hAnsi="Times New Roman"/>
          <w:sz w:val="28"/>
          <w:szCs w:val="28"/>
        </w:rPr>
        <w:br/>
      </w:r>
      <w:r w:rsidRPr="00577593">
        <w:rPr>
          <w:rFonts w:ascii="Times New Roman" w:hAnsi="Times New Roman"/>
          <w:sz w:val="28"/>
          <w:szCs w:val="28"/>
        </w:rPr>
        <w:t xml:space="preserve">и субъектов бизнеса </w:t>
      </w:r>
      <w:r w:rsidR="00A518B7" w:rsidRPr="00577593">
        <w:rPr>
          <w:rFonts w:ascii="Times New Roman" w:hAnsi="Times New Roman"/>
          <w:sz w:val="28"/>
          <w:szCs w:val="28"/>
        </w:rPr>
        <w:t>–</w:t>
      </w:r>
      <w:r w:rsidRPr="00577593">
        <w:rPr>
          <w:rFonts w:ascii="Times New Roman" w:hAnsi="Times New Roman"/>
          <w:sz w:val="28"/>
          <w:szCs w:val="28"/>
        </w:rPr>
        <w:t xml:space="preserve"> по налогу на имущество, уплате банковских процентов и лизинговых платежей, подключению к инженерным сетям, приобретению нового оборудования, а также созданию и строительству производственных объектов. </w:t>
      </w:r>
    </w:p>
    <w:p w:rsidR="0048349D" w:rsidRPr="00577593" w:rsidRDefault="0048349D"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Управлением Алтайского края по развитию предпринимательства </w:t>
      </w:r>
      <w:r w:rsidR="00D5003C" w:rsidRPr="00577593">
        <w:rPr>
          <w:rFonts w:ascii="Times New Roman" w:hAnsi="Times New Roman"/>
          <w:sz w:val="28"/>
          <w:szCs w:val="28"/>
        </w:rPr>
        <w:br/>
      </w:r>
      <w:r w:rsidRPr="00577593">
        <w:rPr>
          <w:rFonts w:ascii="Times New Roman" w:hAnsi="Times New Roman"/>
          <w:sz w:val="28"/>
          <w:szCs w:val="28"/>
        </w:rPr>
        <w:t>и рыночной инфраструктуры поддержка предоставляется в форме грантов</w:t>
      </w:r>
      <w:r w:rsidRPr="00577593">
        <w:rPr>
          <w:rFonts w:ascii="Times New Roman" w:eastAsia="Times New Roman" w:hAnsi="Times New Roman"/>
          <w:sz w:val="28"/>
          <w:szCs w:val="28"/>
          <w:lang w:eastAsia="ru-RU"/>
        </w:rPr>
        <w:t xml:space="preserve"> </w:t>
      </w:r>
      <w:r w:rsidR="00D5003C" w:rsidRPr="00577593">
        <w:rPr>
          <w:rFonts w:ascii="Times New Roman" w:eastAsia="Times New Roman" w:hAnsi="Times New Roman"/>
          <w:sz w:val="28"/>
          <w:szCs w:val="28"/>
          <w:lang w:eastAsia="ru-RU"/>
        </w:rPr>
        <w:br/>
      </w:r>
      <w:r w:rsidRPr="00577593">
        <w:rPr>
          <w:rFonts w:ascii="Times New Roman" w:hAnsi="Times New Roman"/>
          <w:sz w:val="28"/>
          <w:szCs w:val="28"/>
        </w:rPr>
        <w:t>на реализацию проектов в приоритетных отраслях экономики, льготное микрофинансирование через некоммерческую микрокредитную компанию «Алтайский фонд финансирования предпринимательства», а также поручительства по кредитам и займам, предоставляемые региональным центром гарантий. Нефинансовая поддержка осуществляется через региональный центр «Мой бизнес», на площадке которого предприниматели получают консультационные, образовательные и маркетинговые услуги, способствующие повышению эффективности их деятельности и развитию деловых инициатив.</w:t>
      </w:r>
    </w:p>
    <w:p w:rsidR="0048349D" w:rsidRPr="00577593" w:rsidRDefault="000A15D0" w:rsidP="002000D4">
      <w:pPr>
        <w:pStyle w:val="af5"/>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За 2017</w:t>
      </w:r>
      <w:r w:rsidR="00EE4CC9" w:rsidRPr="00577593">
        <w:rPr>
          <w:rFonts w:ascii="Times New Roman" w:eastAsia="Times New Roman" w:hAnsi="Times New Roman"/>
          <w:sz w:val="28"/>
          <w:szCs w:val="28"/>
          <w:lang w:eastAsia="ru-RU"/>
        </w:rPr>
        <w:t>-</w:t>
      </w:r>
      <w:r w:rsidRPr="00577593">
        <w:rPr>
          <w:rFonts w:ascii="Times New Roman" w:eastAsia="Times New Roman" w:hAnsi="Times New Roman"/>
          <w:sz w:val="28"/>
          <w:szCs w:val="28"/>
          <w:lang w:eastAsia="ru-RU"/>
        </w:rPr>
        <w:t>2024 годы</w:t>
      </w:r>
      <w:r w:rsidR="0048349D" w:rsidRPr="00577593">
        <w:rPr>
          <w:rFonts w:ascii="Times New Roman" w:eastAsia="Times New Roman" w:hAnsi="Times New Roman"/>
          <w:sz w:val="28"/>
          <w:szCs w:val="28"/>
          <w:lang w:eastAsia="ru-RU"/>
        </w:rPr>
        <w:t xml:space="preserve"> 451 субъекту МСП выданы поручительства Центром предоставления гарантий на сумму 4,01 млрд рублей, </w:t>
      </w:r>
      <w:r w:rsidR="00BD2F0A">
        <w:rPr>
          <w:rFonts w:ascii="Times New Roman" w:eastAsia="Times New Roman" w:hAnsi="Times New Roman"/>
          <w:sz w:val="28"/>
          <w:szCs w:val="28"/>
          <w:lang w:eastAsia="ru-RU"/>
        </w:rPr>
        <w:br/>
      </w:r>
      <w:r w:rsidR="0048349D" w:rsidRPr="00577593">
        <w:rPr>
          <w:rFonts w:ascii="Times New Roman" w:eastAsia="Times New Roman" w:hAnsi="Times New Roman"/>
          <w:sz w:val="28"/>
          <w:szCs w:val="28"/>
          <w:lang w:eastAsia="ru-RU"/>
        </w:rPr>
        <w:t xml:space="preserve">а 721 субъекту МСП Алтайским фондом финансирования предпринимательства выданы микрозаймы на сумму 2,13 млрд рублей. </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К ключевым проблемам развития предпринимательства в </w:t>
      </w:r>
      <w:r w:rsidR="00BD2F0A">
        <w:rPr>
          <w:rFonts w:ascii="Times New Roman" w:hAnsi="Times New Roman"/>
          <w:sz w:val="28"/>
          <w:szCs w:val="28"/>
        </w:rPr>
        <w:t xml:space="preserve">городе </w:t>
      </w:r>
      <w:r w:rsidRPr="00577593">
        <w:rPr>
          <w:rFonts w:ascii="Times New Roman" w:hAnsi="Times New Roman"/>
          <w:sz w:val="28"/>
          <w:szCs w:val="28"/>
        </w:rPr>
        <w:t>Барнауле можно отнести следующие: </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недостаток собственных оборотных средств у предприятий;  </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lastRenderedPageBreak/>
        <w:t>низкая доступность финансовых средств;  </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низкая инновационная активность предпринимателей;  </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высокие транспортные расходы; </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 xml:space="preserve">дефицит производственных (промышленных) площадей, </w:t>
      </w:r>
      <w:r w:rsidR="004F19FD">
        <w:rPr>
          <w:rFonts w:ascii="Times New Roman" w:eastAsia="Times New Roman" w:hAnsi="Times New Roman"/>
          <w:sz w:val="28"/>
          <w:szCs w:val="28"/>
          <w:lang w:eastAsia="ru-RU"/>
        </w:rPr>
        <w:t xml:space="preserve">высокая </w:t>
      </w:r>
      <w:r w:rsidRPr="00577593">
        <w:rPr>
          <w:rFonts w:ascii="Times New Roman" w:eastAsia="Times New Roman" w:hAnsi="Times New Roman"/>
          <w:sz w:val="28"/>
          <w:szCs w:val="28"/>
          <w:lang w:eastAsia="ru-RU"/>
        </w:rPr>
        <w:t>стоимость аренды и покупки недвижимости данного сегмента;</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недостаток современных и качественных пространств для развития креативных индустрий.</w:t>
      </w:r>
    </w:p>
    <w:p w:rsidR="00FC41F4" w:rsidRPr="00577593" w:rsidRDefault="008925FA" w:rsidP="002000D4">
      <w:pPr>
        <w:pStyle w:val="3"/>
        <w:spacing w:before="0" w:line="240" w:lineRule="auto"/>
        <w:ind w:firstLine="709"/>
        <w:rPr>
          <w:rFonts w:ascii="Times New Roman" w:hAnsi="Times New Roman"/>
          <w:color w:val="auto"/>
          <w:sz w:val="28"/>
          <w:szCs w:val="28"/>
        </w:rPr>
      </w:pPr>
      <w:bookmarkStart w:id="95" w:name="_Toc572483093"/>
      <w:bookmarkStart w:id="96" w:name="_Toc204923004"/>
      <w:bookmarkStart w:id="97" w:name="_Toc204933338"/>
      <w:bookmarkStart w:id="98" w:name="_Toc208496642"/>
      <w:bookmarkStart w:id="99" w:name="_Toc208668924"/>
      <w:bookmarkStart w:id="100" w:name="_Toc212804273"/>
      <w:r w:rsidRPr="00577593">
        <w:rPr>
          <w:rFonts w:ascii="Times New Roman" w:hAnsi="Times New Roman"/>
          <w:b/>
          <w:color w:val="auto"/>
          <w:sz w:val="28"/>
          <w:szCs w:val="28"/>
        </w:rPr>
        <w:t>2.5.5</w:t>
      </w:r>
      <w:r w:rsidR="00BD2F0A">
        <w:rPr>
          <w:rFonts w:ascii="Times New Roman" w:hAnsi="Times New Roman"/>
          <w:b/>
          <w:color w:val="auto"/>
          <w:sz w:val="28"/>
          <w:szCs w:val="28"/>
        </w:rPr>
        <w:t>.</w:t>
      </w:r>
      <w:r w:rsidRPr="00577593">
        <w:rPr>
          <w:rFonts w:ascii="Times New Roman" w:hAnsi="Times New Roman"/>
          <w:b/>
          <w:color w:val="auto"/>
          <w:sz w:val="28"/>
          <w:szCs w:val="28"/>
        </w:rPr>
        <w:t xml:space="preserve"> </w:t>
      </w:r>
      <w:r w:rsidR="00E67714" w:rsidRPr="00577593">
        <w:rPr>
          <w:rFonts w:ascii="Times New Roman" w:hAnsi="Times New Roman"/>
          <w:b/>
          <w:color w:val="auto"/>
          <w:sz w:val="28"/>
          <w:szCs w:val="28"/>
        </w:rPr>
        <w:t>П</w:t>
      </w:r>
      <w:r w:rsidRPr="00577593">
        <w:rPr>
          <w:rFonts w:ascii="Times New Roman" w:hAnsi="Times New Roman"/>
          <w:b/>
          <w:color w:val="auto"/>
          <w:sz w:val="28"/>
          <w:szCs w:val="28"/>
        </w:rPr>
        <w:t>отребительск</w:t>
      </w:r>
      <w:r w:rsidR="00E67714" w:rsidRPr="00577593">
        <w:rPr>
          <w:rFonts w:ascii="Times New Roman" w:hAnsi="Times New Roman"/>
          <w:b/>
          <w:color w:val="auto"/>
          <w:sz w:val="28"/>
          <w:szCs w:val="28"/>
        </w:rPr>
        <w:t>ий</w:t>
      </w:r>
      <w:r w:rsidRPr="00577593">
        <w:rPr>
          <w:rFonts w:ascii="Times New Roman" w:hAnsi="Times New Roman"/>
          <w:b/>
          <w:color w:val="auto"/>
          <w:sz w:val="28"/>
          <w:szCs w:val="28"/>
        </w:rPr>
        <w:t xml:space="preserve"> рын</w:t>
      </w:r>
      <w:r w:rsidR="008B11DD" w:rsidRPr="00577593">
        <w:rPr>
          <w:rFonts w:ascii="Times New Roman" w:hAnsi="Times New Roman"/>
          <w:b/>
          <w:color w:val="auto"/>
          <w:sz w:val="28"/>
          <w:szCs w:val="28"/>
        </w:rPr>
        <w:t>о</w:t>
      </w:r>
      <w:r w:rsidRPr="00577593">
        <w:rPr>
          <w:rFonts w:ascii="Times New Roman" w:hAnsi="Times New Roman"/>
          <w:b/>
          <w:color w:val="auto"/>
          <w:sz w:val="28"/>
          <w:szCs w:val="28"/>
        </w:rPr>
        <w:t>к</w:t>
      </w:r>
      <w:bookmarkEnd w:id="95"/>
      <w:bookmarkEnd w:id="96"/>
      <w:bookmarkEnd w:id="97"/>
      <w:bookmarkEnd w:id="98"/>
      <w:bookmarkEnd w:id="99"/>
      <w:bookmarkEnd w:id="100"/>
    </w:p>
    <w:p w:rsidR="00E67714" w:rsidRPr="00577593" w:rsidRDefault="00E67714" w:rsidP="002000D4">
      <w:pPr>
        <w:pStyle w:val="my-2"/>
        <w:spacing w:before="0" w:beforeAutospacing="0" w:after="0" w:afterAutospacing="0"/>
        <w:ind w:firstLine="709"/>
        <w:jc w:val="both"/>
        <w:rPr>
          <w:rFonts w:eastAsia="SimSun"/>
          <w:sz w:val="28"/>
          <w:szCs w:val="28"/>
          <w:lang w:eastAsia="en-US"/>
        </w:rPr>
      </w:pPr>
      <w:r w:rsidRPr="00577593">
        <w:rPr>
          <w:rFonts w:eastAsia="SimSun"/>
          <w:sz w:val="28"/>
          <w:szCs w:val="28"/>
          <w:lang w:eastAsia="en-US"/>
        </w:rPr>
        <w:t>Развитие потребительского рынка является значимым фактором экономического роста города. Анализ динамики показателей, отражающих объем оборота, уровень занятости и обеспеченность торговыми площадями, позволяет объективно оценить его вклад и текущее состояние в структуре городской экономики.</w:t>
      </w:r>
    </w:p>
    <w:p w:rsidR="00E67714" w:rsidRPr="00577593" w:rsidRDefault="00E67714"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В целях развития потребительского рынка в городе реализуется муниципальная программа «Развитие предпринимательства и туризма </w:t>
      </w:r>
      <w:r w:rsidR="00D5003C" w:rsidRPr="00577593">
        <w:rPr>
          <w:rFonts w:ascii="Times New Roman" w:hAnsi="Times New Roman"/>
          <w:sz w:val="28"/>
          <w:szCs w:val="28"/>
        </w:rPr>
        <w:br/>
      </w:r>
      <w:r w:rsidRPr="00577593">
        <w:rPr>
          <w:rFonts w:ascii="Times New Roman" w:hAnsi="Times New Roman"/>
          <w:sz w:val="28"/>
          <w:szCs w:val="28"/>
        </w:rPr>
        <w:t>в городе Барнауле».</w:t>
      </w:r>
    </w:p>
    <w:p w:rsidR="00FC41F4" w:rsidRPr="00577593" w:rsidRDefault="004F19FD" w:rsidP="002000D4">
      <w:pPr>
        <w:spacing w:after="0" w:line="240" w:lineRule="auto"/>
        <w:ind w:firstLine="709"/>
        <w:jc w:val="both"/>
        <w:rPr>
          <w:rFonts w:ascii="Times New Roman" w:hAnsi="Times New Roman"/>
          <w:sz w:val="28"/>
          <w:szCs w:val="28"/>
        </w:rPr>
      </w:pPr>
      <w:r>
        <w:rPr>
          <w:rFonts w:ascii="Times New Roman" w:hAnsi="Times New Roman"/>
          <w:sz w:val="28"/>
          <w:szCs w:val="28"/>
        </w:rPr>
        <w:t>Р</w:t>
      </w:r>
      <w:r w:rsidRPr="00577593">
        <w:rPr>
          <w:rFonts w:ascii="Times New Roman" w:hAnsi="Times New Roman"/>
          <w:sz w:val="28"/>
          <w:szCs w:val="28"/>
        </w:rPr>
        <w:t xml:space="preserve">ост </w:t>
      </w:r>
      <w:r>
        <w:rPr>
          <w:rFonts w:ascii="Times New Roman" w:hAnsi="Times New Roman"/>
          <w:sz w:val="28"/>
          <w:szCs w:val="28"/>
        </w:rPr>
        <w:t>о</w:t>
      </w:r>
      <w:r w:rsidR="00E67714" w:rsidRPr="00577593">
        <w:rPr>
          <w:rFonts w:ascii="Times New Roman" w:hAnsi="Times New Roman"/>
          <w:sz w:val="28"/>
          <w:szCs w:val="28"/>
        </w:rPr>
        <w:t>бъем</w:t>
      </w:r>
      <w:r>
        <w:rPr>
          <w:rFonts w:ascii="Times New Roman" w:hAnsi="Times New Roman"/>
          <w:sz w:val="28"/>
          <w:szCs w:val="28"/>
        </w:rPr>
        <w:t>а</w:t>
      </w:r>
      <w:r w:rsidR="008925FA" w:rsidRPr="00577593">
        <w:rPr>
          <w:rFonts w:ascii="Times New Roman" w:hAnsi="Times New Roman"/>
          <w:sz w:val="28"/>
          <w:szCs w:val="28"/>
        </w:rPr>
        <w:t xml:space="preserve"> розничного товарооборота за 2012</w:t>
      </w:r>
      <w:r w:rsidR="00A518B7" w:rsidRPr="00577593">
        <w:rPr>
          <w:rFonts w:ascii="Times New Roman" w:hAnsi="Times New Roman"/>
          <w:sz w:val="28"/>
          <w:szCs w:val="28"/>
        </w:rPr>
        <w:t>-2024 годы</w:t>
      </w:r>
      <w:r w:rsidR="008925FA" w:rsidRPr="00577593">
        <w:rPr>
          <w:rFonts w:ascii="Times New Roman" w:hAnsi="Times New Roman"/>
          <w:sz w:val="28"/>
          <w:szCs w:val="28"/>
        </w:rPr>
        <w:t xml:space="preserve"> составил 357% в номинальном выражении, с 49 до 175 млрд рублей, в реальном выражении рост показателя составил 148%. Оборот общественного питания за соответствующий период вырос с 0,4 до 2,3 млрд рублей, в номинальном выражении рост составил 575%, а в реальном </w:t>
      </w:r>
      <w:r w:rsidR="00A518B7" w:rsidRPr="00577593">
        <w:rPr>
          <w:rFonts w:ascii="Times New Roman" w:hAnsi="Times New Roman"/>
          <w:sz w:val="28"/>
          <w:szCs w:val="28"/>
        </w:rPr>
        <w:t>–</w:t>
      </w:r>
      <w:r w:rsidR="008925FA" w:rsidRPr="00577593">
        <w:rPr>
          <w:rFonts w:ascii="Times New Roman" w:hAnsi="Times New Roman"/>
          <w:sz w:val="28"/>
          <w:szCs w:val="28"/>
        </w:rPr>
        <w:t xml:space="preserve"> 210%. Также за рассматриваемый период объем платных услуг населению вырос с 23 млрд рублей в 2012 году до 57 млрд рублей в 2024 году, темп роста составил 248% в номинальном выражении и 101% в реальном выражении. </w:t>
      </w:r>
      <w:r w:rsidR="0089128A" w:rsidRPr="00577593">
        <w:rPr>
          <w:rFonts w:ascii="Times New Roman" w:hAnsi="Times New Roman"/>
          <w:sz w:val="28"/>
          <w:szCs w:val="28"/>
        </w:rPr>
        <w:t>Таким образом, наиболее интенсивное развитие в реальном выражении наблюдается на рынке общественного питания. Розничная торговля и рынок платных услуг демонстрируют более умеренный рост, что указывает на наличие резервов и потенциала для дальнейшего развития этих секторов потребительского рынка.</w:t>
      </w:r>
    </w:p>
    <w:p w:rsidR="00D5003C" w:rsidRPr="00577593" w:rsidRDefault="0089128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В расчете на душу населения показатели развития потребительского рынка по крупным и средним организациям демонстрируют аналогичную динамику </w:t>
      </w:r>
      <w:r w:rsidR="008925FA" w:rsidRPr="00577593">
        <w:rPr>
          <w:rFonts w:ascii="Times New Roman" w:hAnsi="Times New Roman"/>
          <w:sz w:val="28"/>
          <w:szCs w:val="28"/>
        </w:rPr>
        <w:t>(</w:t>
      </w:r>
      <w:r w:rsidR="00D558A5">
        <w:fldChar w:fldCharType="begin"/>
      </w:r>
      <w:r w:rsidR="00D558A5">
        <w:instrText xml:space="preserve"> REF _Ref199445125 \h  \* MERGEFORMAT </w:instrText>
      </w:r>
      <w:r w:rsidR="00D558A5">
        <w:fldChar w:fldCharType="separate"/>
      </w:r>
      <w:r w:rsidR="00071499" w:rsidRPr="00071499">
        <w:rPr>
          <w:rFonts w:ascii="Times New Roman" w:hAnsi="Times New Roman"/>
          <w:sz w:val="28"/>
          <w:szCs w:val="28"/>
        </w:rPr>
        <w:t>Рисунок 27</w:t>
      </w:r>
      <w:r w:rsidR="00D558A5">
        <w:fldChar w:fldCharType="end"/>
      </w:r>
      <w:r w:rsidR="008925FA" w:rsidRPr="00577593">
        <w:rPr>
          <w:rFonts w:ascii="Times New Roman" w:hAnsi="Times New Roman"/>
          <w:sz w:val="28"/>
          <w:szCs w:val="28"/>
        </w:rPr>
        <w:t xml:space="preserve">, </w:t>
      </w:r>
      <w:r w:rsidR="00D558A5">
        <w:fldChar w:fldCharType="begin"/>
      </w:r>
      <w:r w:rsidR="00D558A5">
        <w:instrText xml:space="preserve"> REF _Ref199445127 \h  \* MERGEFORMAT </w:instrText>
      </w:r>
      <w:r w:rsidR="00D558A5">
        <w:fldChar w:fldCharType="separate"/>
      </w:r>
      <w:r w:rsidR="00071499" w:rsidRPr="00071499">
        <w:rPr>
          <w:rFonts w:ascii="Times New Roman" w:hAnsi="Times New Roman"/>
          <w:sz w:val="28"/>
          <w:szCs w:val="28"/>
        </w:rPr>
        <w:t>Рисунок 28</w:t>
      </w:r>
      <w:r w:rsidR="00D558A5">
        <w:fldChar w:fldCharType="end"/>
      </w:r>
      <w:r w:rsidR="008925FA" w:rsidRPr="00577593">
        <w:rPr>
          <w:rFonts w:ascii="Times New Roman" w:hAnsi="Times New Roman"/>
          <w:sz w:val="28"/>
          <w:szCs w:val="28"/>
        </w:rPr>
        <w:t xml:space="preserve">, </w:t>
      </w:r>
      <w:r w:rsidR="00D558A5">
        <w:fldChar w:fldCharType="begin"/>
      </w:r>
      <w:r w:rsidR="00D558A5">
        <w:instrText xml:space="preserve"> REF _Ref199445128 \h  \* MERGEFORMAT </w:instrText>
      </w:r>
      <w:r w:rsidR="00D558A5">
        <w:fldChar w:fldCharType="separate"/>
      </w:r>
      <w:r w:rsidR="00071499" w:rsidRPr="00071499">
        <w:rPr>
          <w:rFonts w:ascii="Times New Roman" w:hAnsi="Times New Roman"/>
          <w:sz w:val="28"/>
          <w:szCs w:val="28"/>
        </w:rPr>
        <w:t>Рисунок 29</w:t>
      </w:r>
      <w:r w:rsidR="00D558A5">
        <w:fldChar w:fldCharType="end"/>
      </w:r>
      <w:r w:rsidR="008925FA" w:rsidRPr="00577593">
        <w:rPr>
          <w:rFonts w:ascii="Times New Roman" w:hAnsi="Times New Roman"/>
          <w:sz w:val="28"/>
          <w:szCs w:val="28"/>
        </w:rPr>
        <w:t xml:space="preserve">). </w:t>
      </w:r>
      <w:r w:rsidRPr="00577593">
        <w:rPr>
          <w:rFonts w:ascii="Times New Roman" w:hAnsi="Times New Roman"/>
          <w:sz w:val="28"/>
          <w:szCs w:val="28"/>
        </w:rPr>
        <w:t>Объем</w:t>
      </w:r>
      <w:r w:rsidR="008925FA" w:rsidRPr="00577593">
        <w:rPr>
          <w:rFonts w:ascii="Times New Roman" w:hAnsi="Times New Roman"/>
          <w:sz w:val="28"/>
          <w:szCs w:val="28"/>
        </w:rPr>
        <w:t xml:space="preserve"> розничного товарооборота на душу населения за период 2012</w:t>
      </w:r>
      <w:r w:rsidR="00A518B7" w:rsidRPr="00577593">
        <w:rPr>
          <w:rFonts w:ascii="Times New Roman" w:hAnsi="Times New Roman"/>
          <w:sz w:val="28"/>
          <w:szCs w:val="28"/>
        </w:rPr>
        <w:t>-</w:t>
      </w:r>
      <w:r w:rsidR="000A15D0" w:rsidRPr="00577593">
        <w:rPr>
          <w:rFonts w:ascii="Times New Roman" w:hAnsi="Times New Roman"/>
          <w:sz w:val="28"/>
          <w:szCs w:val="28"/>
        </w:rPr>
        <w:t>2024 годы</w:t>
      </w:r>
      <w:r w:rsidR="008925FA" w:rsidRPr="00577593">
        <w:rPr>
          <w:rFonts w:ascii="Times New Roman" w:hAnsi="Times New Roman"/>
          <w:sz w:val="28"/>
          <w:szCs w:val="28"/>
        </w:rPr>
        <w:t xml:space="preserve"> составил 357% в номинальном выражении, с 71 тыс. рублей на человека до 254 тыс. рублей </w:t>
      </w:r>
      <w:r w:rsidR="00D5003C" w:rsidRPr="00577593">
        <w:rPr>
          <w:rFonts w:ascii="Times New Roman" w:hAnsi="Times New Roman"/>
          <w:sz w:val="28"/>
          <w:szCs w:val="28"/>
        </w:rPr>
        <w:br/>
      </w:r>
      <w:r w:rsidR="008925FA" w:rsidRPr="00577593">
        <w:rPr>
          <w:rFonts w:ascii="Times New Roman" w:hAnsi="Times New Roman"/>
          <w:sz w:val="28"/>
          <w:szCs w:val="28"/>
        </w:rPr>
        <w:t>на человека; в реальном выражении рост показателя составил 148%. Оборот общественного питания на душу населения за соответствующий пер</w:t>
      </w:r>
      <w:r w:rsidRPr="00577593">
        <w:rPr>
          <w:rFonts w:ascii="Times New Roman" w:hAnsi="Times New Roman"/>
          <w:sz w:val="28"/>
          <w:szCs w:val="28"/>
        </w:rPr>
        <w:t xml:space="preserve">иод вырос с 0,6 тыс. рублей на человека до 3,3 тыс. рублей на </w:t>
      </w:r>
      <w:r w:rsidR="008925FA" w:rsidRPr="00577593">
        <w:rPr>
          <w:rFonts w:ascii="Times New Roman" w:hAnsi="Times New Roman"/>
          <w:sz w:val="28"/>
          <w:szCs w:val="28"/>
        </w:rPr>
        <w:t xml:space="preserve">человека, в номинальном выражении рост составил 506%, а в реальном </w:t>
      </w:r>
      <w:r w:rsidR="00A518B7" w:rsidRPr="00577593">
        <w:rPr>
          <w:rFonts w:ascii="Times New Roman" w:hAnsi="Times New Roman"/>
          <w:sz w:val="28"/>
          <w:szCs w:val="28"/>
        </w:rPr>
        <w:t>–</w:t>
      </w:r>
      <w:r w:rsidR="008925FA" w:rsidRPr="00577593">
        <w:rPr>
          <w:rFonts w:ascii="Times New Roman" w:hAnsi="Times New Roman"/>
          <w:sz w:val="28"/>
          <w:szCs w:val="28"/>
        </w:rPr>
        <w:t xml:space="preserve"> 211%. Объем платных услуг населению вырос за рассматривае</w:t>
      </w:r>
      <w:r w:rsidRPr="00577593">
        <w:rPr>
          <w:rFonts w:ascii="Times New Roman" w:hAnsi="Times New Roman"/>
          <w:sz w:val="28"/>
          <w:szCs w:val="28"/>
        </w:rPr>
        <w:t>мый период с 34 тыс. рублей на </w:t>
      </w:r>
      <w:r w:rsidR="008925FA" w:rsidRPr="00577593">
        <w:rPr>
          <w:rFonts w:ascii="Times New Roman" w:hAnsi="Times New Roman"/>
          <w:sz w:val="28"/>
          <w:szCs w:val="28"/>
        </w:rPr>
        <w:t xml:space="preserve"> человека в 2</w:t>
      </w:r>
      <w:r w:rsidRPr="00577593">
        <w:rPr>
          <w:rFonts w:ascii="Times New Roman" w:hAnsi="Times New Roman"/>
          <w:sz w:val="28"/>
          <w:szCs w:val="28"/>
        </w:rPr>
        <w:t>012 году до 83 тыс. рублей на </w:t>
      </w:r>
      <w:r w:rsidR="008925FA" w:rsidRPr="00577593">
        <w:rPr>
          <w:rFonts w:ascii="Times New Roman" w:hAnsi="Times New Roman"/>
          <w:sz w:val="28"/>
          <w:szCs w:val="28"/>
        </w:rPr>
        <w:t xml:space="preserve">человека в 2024 году, темп роста составил 357% в номинальном выражении и 102% в реальном выражении. </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Таким образом, в реальном выражении успешнее всего развивался рынок общественного питания. Объем платных услуг на душу населения в </w:t>
      </w:r>
      <w:r w:rsidRPr="00577593">
        <w:rPr>
          <w:rFonts w:ascii="Times New Roman" w:hAnsi="Times New Roman"/>
          <w:sz w:val="28"/>
          <w:szCs w:val="28"/>
        </w:rPr>
        <w:lastRenderedPageBreak/>
        <w:t>реальном выражении практически не вырос, что в том числе может быть связано с тем, что услуги в основном предоставляются малыми предприятиями. </w:t>
      </w:r>
    </w:p>
    <w:p w:rsidR="00B02A13" w:rsidRPr="00577593" w:rsidRDefault="00B02A13" w:rsidP="002000D4">
      <w:pPr>
        <w:spacing w:after="0" w:line="240" w:lineRule="auto"/>
        <w:ind w:firstLine="709"/>
        <w:jc w:val="both"/>
        <w:rPr>
          <w:rFonts w:ascii="Times New Roman" w:hAnsi="Times New Roman"/>
          <w:sz w:val="28"/>
          <w:szCs w:val="28"/>
        </w:rPr>
      </w:pPr>
    </w:p>
    <w:p w:rsidR="00CF4251" w:rsidRPr="00577593" w:rsidRDefault="000D3F7A" w:rsidP="002000D4">
      <w:pPr>
        <w:spacing w:after="0" w:line="240" w:lineRule="auto"/>
        <w:ind w:firstLine="709"/>
        <w:jc w:val="both"/>
        <w:rPr>
          <w:rFonts w:ascii="Times New Roman" w:hAnsi="Times New Roman"/>
        </w:rPr>
      </w:pPr>
      <w:r w:rsidRPr="00577593">
        <w:rPr>
          <w:rFonts w:ascii="Times New Roman" w:hAnsi="Times New Roman"/>
          <w:noProof/>
          <w:sz w:val="24"/>
          <w:szCs w:val="24"/>
          <w:lang w:eastAsia="ru-RU"/>
        </w:rPr>
        <w:drawing>
          <wp:inline distT="0" distB="0" distL="0" distR="0">
            <wp:extent cx="5015865" cy="1841863"/>
            <wp:effectExtent l="0" t="0" r="0" b="6350"/>
            <wp:docPr id="27" name="Объект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FC41F4" w:rsidRDefault="008925FA" w:rsidP="00317761">
      <w:pPr>
        <w:pStyle w:val="paragraph"/>
        <w:spacing w:before="0" w:beforeAutospacing="0" w:after="0" w:afterAutospacing="0"/>
        <w:jc w:val="center"/>
        <w:rPr>
          <w:sz w:val="28"/>
          <w:szCs w:val="28"/>
        </w:rPr>
      </w:pPr>
      <w:bookmarkStart w:id="101" w:name="_Ref199445125"/>
      <w:r w:rsidRPr="00577593">
        <w:rPr>
          <w:sz w:val="28"/>
          <w:szCs w:val="28"/>
        </w:rPr>
        <w:t xml:space="preserve">Рисунок </w:t>
      </w:r>
      <w:r w:rsidR="00074AE5" w:rsidRPr="00577593">
        <w:rPr>
          <w:sz w:val="28"/>
          <w:szCs w:val="28"/>
        </w:rPr>
        <w:fldChar w:fldCharType="begin"/>
      </w:r>
      <w:r w:rsidRPr="00577593">
        <w:rPr>
          <w:sz w:val="28"/>
          <w:szCs w:val="28"/>
        </w:rPr>
        <w:instrText xml:space="preserve"> SEQ Рисунок \* ARABIC </w:instrText>
      </w:r>
      <w:r w:rsidR="00074AE5" w:rsidRPr="00577593">
        <w:rPr>
          <w:sz w:val="28"/>
          <w:szCs w:val="28"/>
        </w:rPr>
        <w:fldChar w:fldCharType="separate"/>
      </w:r>
      <w:r w:rsidR="00071499">
        <w:rPr>
          <w:noProof/>
          <w:sz w:val="28"/>
          <w:szCs w:val="28"/>
        </w:rPr>
        <w:t>27</w:t>
      </w:r>
      <w:r w:rsidR="00074AE5" w:rsidRPr="00577593">
        <w:rPr>
          <w:sz w:val="28"/>
          <w:szCs w:val="28"/>
        </w:rPr>
        <w:fldChar w:fldCharType="end"/>
      </w:r>
      <w:bookmarkEnd w:id="101"/>
      <w:r w:rsidRPr="00577593">
        <w:rPr>
          <w:sz w:val="28"/>
          <w:szCs w:val="28"/>
        </w:rPr>
        <w:t xml:space="preserve"> </w:t>
      </w:r>
      <w:r w:rsidR="00A518B7" w:rsidRPr="00577593">
        <w:rPr>
          <w:sz w:val="28"/>
          <w:szCs w:val="28"/>
        </w:rPr>
        <w:t>–</w:t>
      </w:r>
      <w:r w:rsidRPr="00577593">
        <w:rPr>
          <w:sz w:val="28"/>
          <w:szCs w:val="28"/>
        </w:rPr>
        <w:t xml:space="preserve"> Объем платных услуг по крупным и средним организациям</w:t>
      </w:r>
      <w:r w:rsidR="00CF4251" w:rsidRPr="00577593">
        <w:rPr>
          <w:sz w:val="28"/>
          <w:szCs w:val="28"/>
        </w:rPr>
        <w:t xml:space="preserve"> за январь-декабрь, </w:t>
      </w:r>
      <w:r w:rsidRPr="00577593">
        <w:rPr>
          <w:sz w:val="28"/>
          <w:szCs w:val="28"/>
        </w:rPr>
        <w:t>тыс. рублей н</w:t>
      </w:r>
      <w:r w:rsidR="000A15D0" w:rsidRPr="00577593">
        <w:rPr>
          <w:sz w:val="28"/>
          <w:szCs w:val="28"/>
        </w:rPr>
        <w:t>а душу населения в ценах 2024 года</w:t>
      </w:r>
    </w:p>
    <w:p w:rsidR="00317761" w:rsidRPr="00577593" w:rsidRDefault="00317761" w:rsidP="00317761">
      <w:pPr>
        <w:spacing w:after="0" w:line="240" w:lineRule="auto"/>
        <w:jc w:val="both"/>
        <w:rPr>
          <w:rFonts w:ascii="Times New Roman" w:hAnsi="Times New Roman"/>
          <w:sz w:val="28"/>
          <w:szCs w:val="28"/>
        </w:rPr>
      </w:pPr>
      <w:r w:rsidRPr="00577593">
        <w:rPr>
          <w:rFonts w:ascii="Times New Roman" w:hAnsi="Times New Roman"/>
          <w:iCs/>
          <w:sz w:val="28"/>
          <w:szCs w:val="28"/>
        </w:rPr>
        <w:t>Примечание – Источник: расчет по данным Росстата</w:t>
      </w:r>
    </w:p>
    <w:p w:rsidR="00317761" w:rsidRPr="00577593" w:rsidRDefault="00317761" w:rsidP="002000D4">
      <w:pPr>
        <w:pStyle w:val="paragraph"/>
        <w:spacing w:before="0" w:beforeAutospacing="0" w:after="200" w:afterAutospacing="0"/>
        <w:jc w:val="center"/>
        <w:rPr>
          <w:sz w:val="28"/>
          <w:szCs w:val="28"/>
        </w:rPr>
      </w:pPr>
    </w:p>
    <w:p w:rsidR="00FC41F4" w:rsidRPr="00577593" w:rsidRDefault="000D3F7A" w:rsidP="002000D4">
      <w:pPr>
        <w:pStyle w:val="aff9"/>
        <w:spacing w:after="0"/>
        <w:jc w:val="center"/>
        <w:rPr>
          <w:rStyle w:val="eop"/>
          <w:rFonts w:ascii="Times New Roman" w:hAnsi="Times New Roman"/>
          <w:color w:val="auto"/>
          <w:sz w:val="28"/>
          <w:szCs w:val="28"/>
        </w:rPr>
      </w:pPr>
      <w:r w:rsidRPr="00577593">
        <w:rPr>
          <w:rFonts w:ascii="Times New Roman" w:hAnsi="Times New Roman"/>
          <w:noProof/>
          <w:color w:val="auto"/>
          <w:lang w:eastAsia="ru-RU"/>
        </w:rPr>
        <w:drawing>
          <wp:inline distT="0" distB="0" distL="0" distR="0">
            <wp:extent cx="5015865" cy="2050868"/>
            <wp:effectExtent l="0" t="0" r="0" b="6985"/>
            <wp:docPr id="28" name="Объект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FC41F4" w:rsidRDefault="008925FA" w:rsidP="00317761">
      <w:pPr>
        <w:pStyle w:val="paragraph"/>
        <w:spacing w:before="0" w:beforeAutospacing="0" w:after="0" w:afterAutospacing="0"/>
        <w:jc w:val="center"/>
        <w:rPr>
          <w:sz w:val="28"/>
          <w:szCs w:val="28"/>
        </w:rPr>
      </w:pPr>
      <w:bookmarkStart w:id="102" w:name="_Ref199445127"/>
      <w:r w:rsidRPr="00577593">
        <w:rPr>
          <w:sz w:val="28"/>
          <w:szCs w:val="28"/>
        </w:rPr>
        <w:t xml:space="preserve">Рисунок </w:t>
      </w:r>
      <w:r w:rsidR="00074AE5" w:rsidRPr="00577593">
        <w:rPr>
          <w:sz w:val="28"/>
          <w:szCs w:val="28"/>
        </w:rPr>
        <w:fldChar w:fldCharType="begin"/>
      </w:r>
      <w:r w:rsidRPr="00577593">
        <w:rPr>
          <w:sz w:val="28"/>
          <w:szCs w:val="28"/>
        </w:rPr>
        <w:instrText xml:space="preserve"> SEQ Рисунок \* ARABIC </w:instrText>
      </w:r>
      <w:r w:rsidR="00074AE5" w:rsidRPr="00577593">
        <w:rPr>
          <w:sz w:val="28"/>
          <w:szCs w:val="28"/>
        </w:rPr>
        <w:fldChar w:fldCharType="separate"/>
      </w:r>
      <w:r w:rsidR="00071499">
        <w:rPr>
          <w:noProof/>
          <w:sz w:val="28"/>
          <w:szCs w:val="28"/>
        </w:rPr>
        <w:t>28</w:t>
      </w:r>
      <w:r w:rsidR="00074AE5" w:rsidRPr="00577593">
        <w:rPr>
          <w:sz w:val="28"/>
          <w:szCs w:val="28"/>
        </w:rPr>
        <w:fldChar w:fldCharType="end"/>
      </w:r>
      <w:bookmarkEnd w:id="102"/>
      <w:r w:rsidRPr="00577593">
        <w:rPr>
          <w:sz w:val="28"/>
          <w:szCs w:val="28"/>
        </w:rPr>
        <w:t xml:space="preserve"> </w:t>
      </w:r>
      <w:r w:rsidR="00A518B7" w:rsidRPr="00577593">
        <w:rPr>
          <w:sz w:val="28"/>
          <w:szCs w:val="28"/>
        </w:rPr>
        <w:t>–</w:t>
      </w:r>
      <w:r w:rsidRPr="00577593">
        <w:rPr>
          <w:sz w:val="28"/>
          <w:szCs w:val="28"/>
        </w:rPr>
        <w:t xml:space="preserve"> Оборот розничной торговли по крупным и средним организациям</w:t>
      </w:r>
      <w:r w:rsidR="00CF4251" w:rsidRPr="00577593">
        <w:rPr>
          <w:sz w:val="28"/>
          <w:szCs w:val="28"/>
        </w:rPr>
        <w:t xml:space="preserve"> за январь-декабрь, </w:t>
      </w:r>
      <w:r w:rsidRPr="00577593">
        <w:rPr>
          <w:sz w:val="28"/>
          <w:szCs w:val="28"/>
        </w:rPr>
        <w:t>тыс. рублей н</w:t>
      </w:r>
      <w:r w:rsidR="000A15D0" w:rsidRPr="00577593">
        <w:rPr>
          <w:sz w:val="28"/>
          <w:szCs w:val="28"/>
        </w:rPr>
        <w:t xml:space="preserve">а душу населения </w:t>
      </w:r>
      <w:r w:rsidR="00B02A13" w:rsidRPr="00577593">
        <w:rPr>
          <w:sz w:val="28"/>
          <w:szCs w:val="28"/>
        </w:rPr>
        <w:br/>
      </w:r>
      <w:r w:rsidR="000A15D0" w:rsidRPr="00577593">
        <w:rPr>
          <w:sz w:val="28"/>
          <w:szCs w:val="28"/>
        </w:rPr>
        <w:t>в ценах 2024 года</w:t>
      </w:r>
    </w:p>
    <w:p w:rsidR="00317761" w:rsidRPr="00577593" w:rsidRDefault="00317761" w:rsidP="00317761">
      <w:pPr>
        <w:pStyle w:val="aff9"/>
        <w:spacing w:after="0"/>
        <w:rPr>
          <w:rFonts w:ascii="Times New Roman" w:hAnsi="Times New Roman"/>
          <w:i w:val="0"/>
          <w:iCs w:val="0"/>
          <w:color w:val="auto"/>
          <w:sz w:val="28"/>
          <w:szCs w:val="28"/>
        </w:rPr>
      </w:pPr>
      <w:r w:rsidRPr="00577593">
        <w:rPr>
          <w:rFonts w:ascii="Times New Roman" w:hAnsi="Times New Roman"/>
          <w:i w:val="0"/>
          <w:iCs w:val="0"/>
          <w:color w:val="auto"/>
          <w:sz w:val="28"/>
          <w:szCs w:val="28"/>
        </w:rPr>
        <w:t>Примечание – Источник: расчет по данным Росстата</w:t>
      </w:r>
    </w:p>
    <w:p w:rsidR="00317761" w:rsidRPr="00577593" w:rsidRDefault="00317761" w:rsidP="002000D4">
      <w:pPr>
        <w:pStyle w:val="paragraph"/>
        <w:spacing w:before="0" w:beforeAutospacing="0" w:after="200" w:afterAutospacing="0"/>
        <w:jc w:val="center"/>
        <w:rPr>
          <w:sz w:val="28"/>
          <w:szCs w:val="28"/>
        </w:rPr>
      </w:pPr>
    </w:p>
    <w:p w:rsidR="009976B6" w:rsidRPr="00577593" w:rsidRDefault="000D3F7A" w:rsidP="002000D4">
      <w:pPr>
        <w:spacing w:line="240" w:lineRule="auto"/>
        <w:ind w:firstLine="142"/>
        <w:jc w:val="center"/>
        <w:rPr>
          <w:rFonts w:ascii="Times New Roman" w:hAnsi="Times New Roman"/>
        </w:rPr>
      </w:pPr>
      <w:r w:rsidRPr="00577593">
        <w:rPr>
          <w:rFonts w:ascii="Times New Roman" w:hAnsi="Times New Roman"/>
          <w:noProof/>
          <w:sz w:val="18"/>
          <w:szCs w:val="18"/>
          <w:lang w:eastAsia="ru-RU"/>
        </w:rPr>
        <w:drawing>
          <wp:inline distT="0" distB="0" distL="0" distR="0">
            <wp:extent cx="5015865" cy="2024742"/>
            <wp:effectExtent l="0" t="0" r="0" b="0"/>
            <wp:docPr id="29" name="Объект 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FC41F4" w:rsidRPr="00577593" w:rsidRDefault="008925FA" w:rsidP="00B02A13">
      <w:pPr>
        <w:pStyle w:val="paragraph"/>
        <w:spacing w:before="0" w:beforeAutospacing="0" w:after="0" w:afterAutospacing="0"/>
        <w:jc w:val="center"/>
        <w:rPr>
          <w:sz w:val="28"/>
          <w:szCs w:val="28"/>
        </w:rPr>
      </w:pPr>
      <w:bookmarkStart w:id="103" w:name="_Ref199445128"/>
      <w:r w:rsidRPr="00577593">
        <w:rPr>
          <w:sz w:val="28"/>
          <w:szCs w:val="28"/>
        </w:rPr>
        <w:lastRenderedPageBreak/>
        <w:t xml:space="preserve">Рисунок </w:t>
      </w:r>
      <w:r w:rsidR="00074AE5" w:rsidRPr="00577593">
        <w:rPr>
          <w:sz w:val="28"/>
          <w:szCs w:val="28"/>
        </w:rPr>
        <w:fldChar w:fldCharType="begin"/>
      </w:r>
      <w:r w:rsidRPr="00577593">
        <w:rPr>
          <w:sz w:val="28"/>
          <w:szCs w:val="28"/>
        </w:rPr>
        <w:instrText xml:space="preserve"> SEQ Рисунок \* ARABIC </w:instrText>
      </w:r>
      <w:r w:rsidR="00074AE5" w:rsidRPr="00577593">
        <w:rPr>
          <w:sz w:val="28"/>
          <w:szCs w:val="28"/>
        </w:rPr>
        <w:fldChar w:fldCharType="separate"/>
      </w:r>
      <w:r w:rsidR="00071499">
        <w:rPr>
          <w:noProof/>
          <w:sz w:val="28"/>
          <w:szCs w:val="28"/>
        </w:rPr>
        <w:t>29</w:t>
      </w:r>
      <w:r w:rsidR="00074AE5" w:rsidRPr="00577593">
        <w:rPr>
          <w:sz w:val="28"/>
          <w:szCs w:val="28"/>
        </w:rPr>
        <w:fldChar w:fldCharType="end"/>
      </w:r>
      <w:bookmarkEnd w:id="103"/>
      <w:r w:rsidRPr="00577593">
        <w:rPr>
          <w:sz w:val="28"/>
          <w:szCs w:val="28"/>
        </w:rPr>
        <w:t xml:space="preserve"> </w:t>
      </w:r>
      <w:r w:rsidR="00A518B7" w:rsidRPr="00577593">
        <w:rPr>
          <w:sz w:val="28"/>
          <w:szCs w:val="28"/>
        </w:rPr>
        <w:t>–</w:t>
      </w:r>
      <w:r w:rsidRPr="00577593">
        <w:rPr>
          <w:sz w:val="28"/>
          <w:szCs w:val="28"/>
        </w:rPr>
        <w:t xml:space="preserve"> Оборот общественного питания по крупным и средним организациям</w:t>
      </w:r>
      <w:r w:rsidR="0057508B" w:rsidRPr="00577593">
        <w:rPr>
          <w:sz w:val="28"/>
          <w:szCs w:val="28"/>
        </w:rPr>
        <w:t xml:space="preserve"> за январь-декабрь, </w:t>
      </w:r>
      <w:r w:rsidRPr="00577593">
        <w:rPr>
          <w:sz w:val="28"/>
          <w:szCs w:val="28"/>
        </w:rPr>
        <w:t>тыс. рублей н</w:t>
      </w:r>
      <w:r w:rsidR="000A15D0" w:rsidRPr="00577593">
        <w:rPr>
          <w:sz w:val="28"/>
          <w:szCs w:val="28"/>
        </w:rPr>
        <w:t xml:space="preserve">а душу населения </w:t>
      </w:r>
      <w:r w:rsidR="00B02A13" w:rsidRPr="00577593">
        <w:rPr>
          <w:sz w:val="28"/>
          <w:szCs w:val="28"/>
        </w:rPr>
        <w:br/>
      </w:r>
      <w:r w:rsidR="000A15D0" w:rsidRPr="00577593">
        <w:rPr>
          <w:sz w:val="28"/>
          <w:szCs w:val="28"/>
        </w:rPr>
        <w:t>в ценах 2024 года</w:t>
      </w:r>
    </w:p>
    <w:p w:rsidR="00317761" w:rsidRPr="00577593" w:rsidRDefault="00317761" w:rsidP="00317761">
      <w:pPr>
        <w:spacing w:after="0" w:line="240" w:lineRule="auto"/>
        <w:rPr>
          <w:rFonts w:ascii="Times New Roman" w:eastAsia="Times New Roman" w:hAnsi="Times New Roman"/>
          <w:sz w:val="28"/>
          <w:szCs w:val="28"/>
          <w:lang w:eastAsia="ru-RU"/>
        </w:rPr>
      </w:pPr>
      <w:r w:rsidRPr="00577593">
        <w:rPr>
          <w:rFonts w:ascii="Times New Roman" w:hAnsi="Times New Roman"/>
          <w:iCs/>
          <w:sz w:val="28"/>
          <w:szCs w:val="28"/>
        </w:rPr>
        <w:t>Примечание – Источник: расчет по данным Росстата</w:t>
      </w:r>
    </w:p>
    <w:p w:rsidR="00B02A13" w:rsidRPr="00577593" w:rsidRDefault="00B02A13" w:rsidP="00B02A13">
      <w:pPr>
        <w:pStyle w:val="paragraph"/>
        <w:spacing w:before="0" w:beforeAutospacing="0" w:after="0" w:afterAutospacing="0"/>
        <w:jc w:val="center"/>
        <w:rPr>
          <w:sz w:val="28"/>
          <w:szCs w:val="28"/>
        </w:rPr>
      </w:pP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За счет строительства новых и реконструкции имеющихся объектов обеспеченность торговыми площадями увеличилась на 904,5 </w:t>
      </w:r>
      <w:r w:rsidR="000F76C4">
        <w:rPr>
          <w:rFonts w:ascii="Times New Roman" w:hAnsi="Times New Roman"/>
          <w:sz w:val="28"/>
          <w:szCs w:val="28"/>
        </w:rPr>
        <w:t>кв. м</w:t>
      </w:r>
      <w:r w:rsidRPr="00577593">
        <w:rPr>
          <w:rFonts w:ascii="Times New Roman" w:hAnsi="Times New Roman"/>
          <w:sz w:val="28"/>
          <w:szCs w:val="28"/>
        </w:rPr>
        <w:t xml:space="preserve"> </w:t>
      </w:r>
      <w:r w:rsidR="00D5003C" w:rsidRPr="00577593">
        <w:rPr>
          <w:rFonts w:ascii="Times New Roman" w:hAnsi="Times New Roman"/>
          <w:sz w:val="28"/>
          <w:szCs w:val="28"/>
        </w:rPr>
        <w:br/>
      </w:r>
      <w:r w:rsidRPr="00577593">
        <w:rPr>
          <w:rFonts w:ascii="Times New Roman" w:hAnsi="Times New Roman"/>
          <w:sz w:val="28"/>
          <w:szCs w:val="28"/>
        </w:rPr>
        <w:t>на 1000 жителей по сравнению с 2012 годом. В сфере общественного питания на 1000 жителей приходится 74,1 посадочных места, учитывая общедоступные столовые, закусочные, кафе, рестораны и бары, а также столовые учебных заведений, организаций, промышленных предприятий (прирост по сравнению с 2012 годом на 49,1%), в бытовом обслуживании обеспеченность количеством объектов на 1000 жителей незначительно выросла с 12,0 ед. в 2012 году до 13,5 ед. в 2024 году.</w:t>
      </w:r>
    </w:p>
    <w:p w:rsidR="00FC41F4" w:rsidRPr="00577593" w:rsidRDefault="008925FA" w:rsidP="002000D4">
      <w:pPr>
        <w:spacing w:after="0" w:line="240" w:lineRule="auto"/>
        <w:ind w:firstLine="709"/>
        <w:jc w:val="both"/>
        <w:rPr>
          <w:rFonts w:ascii="Times New Roman" w:hAnsi="Times New Roman"/>
          <w:sz w:val="24"/>
          <w:szCs w:val="24"/>
        </w:rPr>
      </w:pPr>
      <w:r w:rsidRPr="00577593">
        <w:rPr>
          <w:rFonts w:ascii="Times New Roman" w:hAnsi="Times New Roman"/>
          <w:sz w:val="28"/>
          <w:szCs w:val="28"/>
        </w:rPr>
        <w:t xml:space="preserve">Объекты общественного питания сосредоточены в основном в центре города, особенно возле пешеходной улицы Мало-Тобольской, также достаточно высокая концентрация наблюдается на территории спальных районов в Индустриальном районе </w:t>
      </w:r>
      <w:r w:rsidR="00BD2F0A">
        <w:rPr>
          <w:rFonts w:ascii="Times New Roman" w:hAnsi="Times New Roman"/>
          <w:sz w:val="28"/>
          <w:szCs w:val="28"/>
        </w:rPr>
        <w:t xml:space="preserve">города </w:t>
      </w:r>
      <w:r w:rsidRPr="00577593">
        <w:rPr>
          <w:rFonts w:ascii="Times New Roman" w:hAnsi="Times New Roman"/>
          <w:sz w:val="28"/>
          <w:szCs w:val="28"/>
        </w:rPr>
        <w:t>Барнаула (</w:t>
      </w:r>
      <w:r w:rsidR="00D558A5">
        <w:fldChar w:fldCharType="begin"/>
      </w:r>
      <w:r w:rsidR="00D558A5">
        <w:instrText xml:space="preserve"> REF _Ref199445451 \h  \* MERGEFORMAT </w:instrText>
      </w:r>
      <w:r w:rsidR="00D558A5">
        <w:fldChar w:fldCharType="separate"/>
      </w:r>
      <w:r w:rsidR="00071499" w:rsidRPr="00071499">
        <w:rPr>
          <w:rFonts w:ascii="Times New Roman" w:hAnsi="Times New Roman"/>
          <w:sz w:val="28"/>
          <w:szCs w:val="28"/>
        </w:rPr>
        <w:t>Рисунок 30</w:t>
      </w:r>
      <w:r w:rsidR="00D558A5">
        <w:fldChar w:fldCharType="end"/>
      </w:r>
      <w:r w:rsidRPr="00577593">
        <w:rPr>
          <w:rFonts w:ascii="Times New Roman" w:hAnsi="Times New Roman"/>
          <w:sz w:val="28"/>
          <w:szCs w:val="28"/>
        </w:rPr>
        <w:t>). Большое разнообразие типов объектов, с преобладанием кафе и ресторанов, наблюдается также в центре города, возле Алтайского государственного университета сконцентрировано больше кофеен, а на территории Индустриального района расположено достаточно много баров (</w:t>
      </w:r>
      <w:r w:rsidR="00D558A5">
        <w:fldChar w:fldCharType="begin"/>
      </w:r>
      <w:r w:rsidR="00D558A5">
        <w:instrText xml:space="preserve"> REF _Ref199445513 \h  \* MERGEFORMAT </w:instrText>
      </w:r>
      <w:r w:rsidR="00D558A5">
        <w:fldChar w:fldCharType="separate"/>
      </w:r>
      <w:r w:rsidR="00071499" w:rsidRPr="00071499">
        <w:rPr>
          <w:rFonts w:ascii="Times New Roman" w:hAnsi="Times New Roman"/>
          <w:sz w:val="28"/>
          <w:szCs w:val="28"/>
        </w:rPr>
        <w:t>Рисунок 31</w:t>
      </w:r>
      <w:r w:rsidR="00D558A5">
        <w:fldChar w:fldCharType="end"/>
      </w:r>
      <w:r w:rsidRPr="00577593">
        <w:rPr>
          <w:rFonts w:ascii="Times New Roman" w:hAnsi="Times New Roman"/>
          <w:sz w:val="28"/>
          <w:szCs w:val="28"/>
        </w:rPr>
        <w:t>).</w:t>
      </w:r>
    </w:p>
    <w:p w:rsidR="00FC41F4" w:rsidRPr="00577593" w:rsidRDefault="000D3F7A" w:rsidP="002000D4">
      <w:pPr>
        <w:spacing w:after="0" w:line="240" w:lineRule="auto"/>
        <w:jc w:val="center"/>
        <w:rPr>
          <w:rFonts w:ascii="Times New Roman" w:hAnsi="Times New Roman"/>
          <w:sz w:val="24"/>
          <w:szCs w:val="24"/>
        </w:rPr>
      </w:pPr>
      <w:r w:rsidRPr="00577593">
        <w:rPr>
          <w:rFonts w:ascii="Times New Roman" w:hAnsi="Times New Roman"/>
          <w:noProof/>
          <w:lang w:eastAsia="ru-RU"/>
        </w:rPr>
        <w:drawing>
          <wp:inline distT="0" distB="0" distL="0" distR="0">
            <wp:extent cx="3488055" cy="3683635"/>
            <wp:effectExtent l="0" t="0" r="0" b="0"/>
            <wp:docPr id="30" name="Picture 2005098689" descr="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5098689" descr="Рисунок"/>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488055" cy="3683635"/>
                    </a:xfrm>
                    <a:prstGeom prst="rect">
                      <a:avLst/>
                    </a:prstGeom>
                    <a:noFill/>
                    <a:ln>
                      <a:noFill/>
                    </a:ln>
                  </pic:spPr>
                </pic:pic>
              </a:graphicData>
            </a:graphic>
          </wp:inline>
        </w:drawing>
      </w:r>
    </w:p>
    <w:p w:rsidR="00BD2F0A" w:rsidRDefault="008925FA" w:rsidP="00317761">
      <w:pPr>
        <w:pStyle w:val="paragraph"/>
        <w:spacing w:before="0" w:beforeAutospacing="0" w:after="0" w:afterAutospacing="0"/>
        <w:jc w:val="center"/>
        <w:rPr>
          <w:sz w:val="28"/>
          <w:szCs w:val="28"/>
        </w:rPr>
      </w:pPr>
      <w:bookmarkStart w:id="104" w:name="_Ref199445451"/>
      <w:r w:rsidRPr="00577593">
        <w:rPr>
          <w:sz w:val="28"/>
          <w:szCs w:val="28"/>
        </w:rPr>
        <w:t xml:space="preserve">Рисунок </w:t>
      </w:r>
      <w:r w:rsidR="00074AE5" w:rsidRPr="00577593">
        <w:rPr>
          <w:sz w:val="28"/>
          <w:szCs w:val="28"/>
        </w:rPr>
        <w:fldChar w:fldCharType="begin"/>
      </w:r>
      <w:r w:rsidRPr="00577593">
        <w:rPr>
          <w:sz w:val="28"/>
          <w:szCs w:val="28"/>
        </w:rPr>
        <w:instrText xml:space="preserve"> SEQ Рисунок \* ARABIC </w:instrText>
      </w:r>
      <w:r w:rsidR="00074AE5" w:rsidRPr="00577593">
        <w:rPr>
          <w:sz w:val="28"/>
          <w:szCs w:val="28"/>
        </w:rPr>
        <w:fldChar w:fldCharType="separate"/>
      </w:r>
      <w:r w:rsidR="00071499">
        <w:rPr>
          <w:noProof/>
          <w:sz w:val="28"/>
          <w:szCs w:val="28"/>
        </w:rPr>
        <w:t>30</w:t>
      </w:r>
      <w:r w:rsidR="00074AE5" w:rsidRPr="00577593">
        <w:rPr>
          <w:sz w:val="28"/>
          <w:szCs w:val="28"/>
        </w:rPr>
        <w:fldChar w:fldCharType="end"/>
      </w:r>
      <w:bookmarkEnd w:id="104"/>
      <w:r w:rsidRPr="00577593">
        <w:rPr>
          <w:sz w:val="28"/>
          <w:szCs w:val="28"/>
        </w:rPr>
        <w:t xml:space="preserve"> </w:t>
      </w:r>
      <w:r w:rsidR="00A518B7" w:rsidRPr="00577593">
        <w:rPr>
          <w:sz w:val="28"/>
          <w:szCs w:val="28"/>
        </w:rPr>
        <w:t>–</w:t>
      </w:r>
      <w:r w:rsidRPr="00577593">
        <w:rPr>
          <w:sz w:val="28"/>
          <w:szCs w:val="28"/>
        </w:rPr>
        <w:t xml:space="preserve"> Концентрация объектов общественного питания</w:t>
      </w:r>
      <w:r w:rsidR="00BD2F0A" w:rsidRPr="00BD2F0A">
        <w:rPr>
          <w:sz w:val="28"/>
          <w:szCs w:val="28"/>
        </w:rPr>
        <w:t xml:space="preserve"> на территории города Барнаула </w:t>
      </w:r>
    </w:p>
    <w:p w:rsidR="00317761" w:rsidRPr="00577593" w:rsidRDefault="00317761" w:rsidP="00317761">
      <w:pPr>
        <w:spacing w:after="0" w:line="240" w:lineRule="auto"/>
        <w:rPr>
          <w:rFonts w:ascii="Times New Roman" w:hAnsi="Times New Roman"/>
          <w:i/>
          <w:sz w:val="28"/>
          <w:szCs w:val="28"/>
        </w:rPr>
      </w:pPr>
      <w:r w:rsidRPr="00577593">
        <w:rPr>
          <w:rFonts w:ascii="Times New Roman" w:hAnsi="Times New Roman"/>
          <w:sz w:val="28"/>
          <w:szCs w:val="28"/>
        </w:rPr>
        <w:t>Примечание – Источник: по данным открытых источников</w:t>
      </w:r>
    </w:p>
    <w:p w:rsidR="00317761" w:rsidRPr="00BD2F0A" w:rsidRDefault="00317761" w:rsidP="00BD2F0A">
      <w:pPr>
        <w:pStyle w:val="paragraph"/>
        <w:spacing w:before="0" w:beforeAutospacing="0" w:after="200" w:afterAutospacing="0"/>
        <w:jc w:val="center"/>
        <w:rPr>
          <w:sz w:val="28"/>
          <w:szCs w:val="28"/>
        </w:rPr>
      </w:pPr>
    </w:p>
    <w:p w:rsidR="00FC41F4" w:rsidRPr="00577593" w:rsidRDefault="008925FA" w:rsidP="002000D4">
      <w:pPr>
        <w:spacing w:after="0" w:line="240" w:lineRule="auto"/>
        <w:jc w:val="center"/>
        <w:rPr>
          <w:rStyle w:val="eop"/>
          <w:rFonts w:ascii="Times New Roman" w:hAnsi="Times New Roman"/>
          <w:sz w:val="28"/>
          <w:szCs w:val="28"/>
        </w:rPr>
      </w:pPr>
      <w:r w:rsidRPr="00577593">
        <w:rPr>
          <w:rFonts w:ascii="Times New Roman" w:hAnsi="Times New Roman"/>
        </w:rPr>
        <w:lastRenderedPageBreak/>
        <w:br/>
      </w:r>
      <w:r w:rsidRPr="00577593">
        <w:rPr>
          <w:rStyle w:val="eop"/>
          <w:rFonts w:ascii="Times New Roman" w:hAnsi="Times New Roman"/>
          <w:sz w:val="28"/>
          <w:szCs w:val="28"/>
        </w:rPr>
        <w:t> </w:t>
      </w:r>
      <w:r w:rsidR="000D3F7A" w:rsidRPr="00577593">
        <w:rPr>
          <w:rFonts w:ascii="Times New Roman" w:hAnsi="Times New Roman"/>
          <w:noProof/>
          <w:lang w:eastAsia="ru-RU"/>
        </w:rPr>
        <w:drawing>
          <wp:inline distT="0" distB="0" distL="0" distR="0">
            <wp:extent cx="3683635" cy="3945255"/>
            <wp:effectExtent l="0" t="0" r="0" b="0"/>
            <wp:docPr id="31" name="Picture 1078991588" descr="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8991588" descr="Рисунок"/>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683635" cy="3945255"/>
                    </a:xfrm>
                    <a:prstGeom prst="rect">
                      <a:avLst/>
                    </a:prstGeom>
                    <a:noFill/>
                    <a:ln>
                      <a:noFill/>
                    </a:ln>
                  </pic:spPr>
                </pic:pic>
              </a:graphicData>
            </a:graphic>
          </wp:inline>
        </w:drawing>
      </w:r>
    </w:p>
    <w:p w:rsidR="00FC41F4" w:rsidRDefault="008925FA" w:rsidP="00317761">
      <w:pPr>
        <w:pStyle w:val="paragraph"/>
        <w:spacing w:before="0" w:beforeAutospacing="0" w:after="0" w:afterAutospacing="0"/>
        <w:jc w:val="center"/>
        <w:rPr>
          <w:sz w:val="28"/>
          <w:szCs w:val="28"/>
        </w:rPr>
      </w:pPr>
      <w:bookmarkStart w:id="105" w:name="_Ref199445513"/>
      <w:r w:rsidRPr="00577593">
        <w:rPr>
          <w:sz w:val="28"/>
          <w:szCs w:val="28"/>
        </w:rPr>
        <w:t xml:space="preserve">Рисунок </w:t>
      </w:r>
      <w:r w:rsidR="00074AE5" w:rsidRPr="00577593">
        <w:rPr>
          <w:sz w:val="28"/>
          <w:szCs w:val="28"/>
        </w:rPr>
        <w:fldChar w:fldCharType="begin"/>
      </w:r>
      <w:r w:rsidRPr="00577593">
        <w:rPr>
          <w:sz w:val="28"/>
          <w:szCs w:val="28"/>
        </w:rPr>
        <w:instrText xml:space="preserve"> SEQ Рисунок \* ARABIC </w:instrText>
      </w:r>
      <w:r w:rsidR="00074AE5" w:rsidRPr="00577593">
        <w:rPr>
          <w:sz w:val="28"/>
          <w:szCs w:val="28"/>
        </w:rPr>
        <w:fldChar w:fldCharType="separate"/>
      </w:r>
      <w:r w:rsidR="00071499">
        <w:rPr>
          <w:noProof/>
          <w:sz w:val="28"/>
          <w:szCs w:val="28"/>
        </w:rPr>
        <w:t>31</w:t>
      </w:r>
      <w:r w:rsidR="00074AE5" w:rsidRPr="00577593">
        <w:rPr>
          <w:sz w:val="28"/>
          <w:szCs w:val="28"/>
        </w:rPr>
        <w:fldChar w:fldCharType="end"/>
      </w:r>
      <w:bookmarkEnd w:id="105"/>
      <w:r w:rsidRPr="00577593">
        <w:rPr>
          <w:sz w:val="28"/>
          <w:szCs w:val="28"/>
        </w:rPr>
        <w:t xml:space="preserve"> </w:t>
      </w:r>
      <w:r w:rsidR="00A518B7" w:rsidRPr="00577593">
        <w:rPr>
          <w:sz w:val="28"/>
          <w:szCs w:val="28"/>
        </w:rPr>
        <w:t>–</w:t>
      </w:r>
      <w:r w:rsidRPr="00577593">
        <w:rPr>
          <w:sz w:val="28"/>
          <w:szCs w:val="28"/>
        </w:rPr>
        <w:t xml:space="preserve"> Распределение объектов общественного по типам объектов</w:t>
      </w:r>
    </w:p>
    <w:p w:rsidR="00317761" w:rsidRPr="00317761" w:rsidRDefault="00317761" w:rsidP="00317761">
      <w:pPr>
        <w:pStyle w:val="paragraph"/>
        <w:spacing w:before="0" w:beforeAutospacing="0" w:after="0" w:afterAutospacing="0"/>
        <w:rPr>
          <w:i/>
          <w:sz w:val="28"/>
          <w:szCs w:val="28"/>
        </w:rPr>
      </w:pPr>
      <w:r w:rsidRPr="00317761">
        <w:rPr>
          <w:sz w:val="28"/>
          <w:szCs w:val="28"/>
        </w:rPr>
        <w:t>Примечание – Источник: по данным открытых источников</w:t>
      </w:r>
    </w:p>
    <w:p w:rsidR="00317761" w:rsidRDefault="00317761" w:rsidP="002000D4">
      <w:pPr>
        <w:spacing w:after="0" w:line="240" w:lineRule="auto"/>
        <w:ind w:firstLine="709"/>
        <w:jc w:val="both"/>
        <w:rPr>
          <w:rFonts w:ascii="Times New Roman" w:hAnsi="Times New Roman"/>
          <w:sz w:val="28"/>
          <w:szCs w:val="28"/>
        </w:rPr>
      </w:pP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Объекты розничной торговли распределены по территории города относительно равномерно, наибольшая концентрация наблюдается в центре города и в спальных районах Индустриального района, ниже концентрация в районе частной жилой застройки на территории Железнодорожного района (</w:t>
      </w:r>
      <w:r w:rsidR="00D558A5">
        <w:fldChar w:fldCharType="begin"/>
      </w:r>
      <w:r w:rsidR="00D558A5">
        <w:instrText xml:space="preserve"> REF _Ref199445599 \h  \* MERGEFORMAT </w:instrText>
      </w:r>
      <w:r w:rsidR="00D558A5">
        <w:fldChar w:fldCharType="separate"/>
      </w:r>
      <w:r w:rsidR="00071499" w:rsidRPr="00071499">
        <w:rPr>
          <w:rFonts w:ascii="Times New Roman" w:hAnsi="Times New Roman"/>
          <w:sz w:val="28"/>
          <w:szCs w:val="28"/>
        </w:rPr>
        <w:t>Рисунок 32</w:t>
      </w:r>
      <w:r w:rsidR="00D558A5">
        <w:fldChar w:fldCharType="end"/>
      </w:r>
      <w:r w:rsidRPr="00577593">
        <w:rPr>
          <w:rFonts w:ascii="Times New Roman" w:hAnsi="Times New Roman"/>
          <w:sz w:val="28"/>
          <w:szCs w:val="28"/>
        </w:rPr>
        <w:t>). По типам объектов были выделены наиболее встречающиеся категории: продуктовые магазины, аптеки, магазины одежды, канцтовары и мебельные магазины (</w:t>
      </w:r>
      <w:r w:rsidR="00D558A5">
        <w:fldChar w:fldCharType="begin"/>
      </w:r>
      <w:r w:rsidR="00D558A5">
        <w:instrText xml:space="preserve"> REF _Ref199445683 \h  \* MERGEFORMAT </w:instrText>
      </w:r>
      <w:r w:rsidR="00D558A5">
        <w:fldChar w:fldCharType="separate"/>
      </w:r>
      <w:r w:rsidR="00071499" w:rsidRPr="00071499">
        <w:rPr>
          <w:rFonts w:ascii="Times New Roman" w:hAnsi="Times New Roman"/>
          <w:sz w:val="28"/>
          <w:szCs w:val="28"/>
        </w:rPr>
        <w:t>Рисунок 33</w:t>
      </w:r>
      <w:r w:rsidR="00D558A5">
        <w:fldChar w:fldCharType="end"/>
      </w:r>
      <w:r w:rsidRPr="00577593">
        <w:rPr>
          <w:rFonts w:ascii="Times New Roman" w:hAnsi="Times New Roman"/>
          <w:sz w:val="28"/>
          <w:szCs w:val="28"/>
        </w:rPr>
        <w:t>). Аптеками обеспечены все районы города, магазины одежды в основном распределены вдоль улиц на первых коммерческих этажах, на севере города также можно выделить крупный мебельный центр.</w:t>
      </w:r>
    </w:p>
    <w:p w:rsidR="00FC41F4" w:rsidRPr="00577593" w:rsidRDefault="000D3F7A" w:rsidP="002000D4">
      <w:pPr>
        <w:spacing w:after="0" w:line="240" w:lineRule="auto"/>
        <w:jc w:val="center"/>
        <w:rPr>
          <w:rFonts w:ascii="Times New Roman" w:hAnsi="Times New Roman"/>
          <w:i/>
          <w:iCs/>
          <w:sz w:val="24"/>
          <w:szCs w:val="24"/>
        </w:rPr>
      </w:pPr>
      <w:r w:rsidRPr="00577593">
        <w:rPr>
          <w:rFonts w:ascii="Times New Roman" w:hAnsi="Times New Roman"/>
          <w:noProof/>
          <w:lang w:eastAsia="ru-RU"/>
        </w:rPr>
        <w:lastRenderedPageBreak/>
        <w:drawing>
          <wp:inline distT="0" distB="0" distL="0" distR="0">
            <wp:extent cx="4257766" cy="4257766"/>
            <wp:effectExtent l="0" t="0" r="9525" b="9525"/>
            <wp:docPr id="32" name="Picture 2108509588" descr="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8509588" descr="Рисунок"/>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260005" cy="4260005"/>
                    </a:xfrm>
                    <a:prstGeom prst="rect">
                      <a:avLst/>
                    </a:prstGeom>
                    <a:noFill/>
                    <a:ln>
                      <a:noFill/>
                    </a:ln>
                  </pic:spPr>
                </pic:pic>
              </a:graphicData>
            </a:graphic>
          </wp:inline>
        </w:drawing>
      </w:r>
    </w:p>
    <w:p w:rsidR="00FC41F4" w:rsidRDefault="008925FA" w:rsidP="00317761">
      <w:pPr>
        <w:pStyle w:val="paragraph"/>
        <w:spacing w:before="0" w:beforeAutospacing="0" w:after="0" w:afterAutospacing="0"/>
        <w:jc w:val="center"/>
        <w:rPr>
          <w:rStyle w:val="eop"/>
          <w:sz w:val="28"/>
          <w:szCs w:val="28"/>
        </w:rPr>
      </w:pPr>
      <w:bookmarkStart w:id="106" w:name="_Ref199445599"/>
      <w:r w:rsidRPr="00577593">
        <w:rPr>
          <w:sz w:val="28"/>
          <w:szCs w:val="28"/>
        </w:rPr>
        <w:t xml:space="preserve">Рисунок </w:t>
      </w:r>
      <w:r w:rsidR="00074AE5" w:rsidRPr="00577593">
        <w:rPr>
          <w:sz w:val="28"/>
          <w:szCs w:val="28"/>
        </w:rPr>
        <w:fldChar w:fldCharType="begin"/>
      </w:r>
      <w:r w:rsidRPr="00577593">
        <w:rPr>
          <w:sz w:val="28"/>
          <w:szCs w:val="28"/>
        </w:rPr>
        <w:instrText xml:space="preserve"> SEQ Рисунок \* ARABIC </w:instrText>
      </w:r>
      <w:r w:rsidR="00074AE5" w:rsidRPr="00577593">
        <w:rPr>
          <w:sz w:val="28"/>
          <w:szCs w:val="28"/>
        </w:rPr>
        <w:fldChar w:fldCharType="separate"/>
      </w:r>
      <w:r w:rsidR="00071499">
        <w:rPr>
          <w:noProof/>
          <w:sz w:val="28"/>
          <w:szCs w:val="28"/>
        </w:rPr>
        <w:t>32</w:t>
      </w:r>
      <w:r w:rsidR="00074AE5" w:rsidRPr="00577593">
        <w:rPr>
          <w:sz w:val="28"/>
          <w:szCs w:val="28"/>
        </w:rPr>
        <w:fldChar w:fldCharType="end"/>
      </w:r>
      <w:bookmarkEnd w:id="106"/>
      <w:r w:rsidRPr="00577593">
        <w:rPr>
          <w:sz w:val="28"/>
          <w:szCs w:val="28"/>
        </w:rPr>
        <w:t xml:space="preserve"> </w:t>
      </w:r>
      <w:r w:rsidR="00A518B7" w:rsidRPr="00577593">
        <w:rPr>
          <w:sz w:val="28"/>
          <w:szCs w:val="28"/>
        </w:rPr>
        <w:t>–</w:t>
      </w:r>
      <w:r w:rsidRPr="00577593">
        <w:rPr>
          <w:sz w:val="28"/>
          <w:szCs w:val="28"/>
        </w:rPr>
        <w:t xml:space="preserve"> Концентрация объектов розничной торговли на территории </w:t>
      </w:r>
      <w:r w:rsidR="00BD2F0A">
        <w:rPr>
          <w:sz w:val="28"/>
          <w:szCs w:val="28"/>
        </w:rPr>
        <w:t xml:space="preserve">города </w:t>
      </w:r>
      <w:r w:rsidRPr="00577593">
        <w:rPr>
          <w:sz w:val="28"/>
          <w:szCs w:val="28"/>
        </w:rPr>
        <w:t>Барнаула</w:t>
      </w:r>
      <w:r w:rsidRPr="00577593">
        <w:rPr>
          <w:rStyle w:val="eop"/>
          <w:sz w:val="28"/>
          <w:szCs w:val="28"/>
        </w:rPr>
        <w:t> </w:t>
      </w:r>
    </w:p>
    <w:p w:rsidR="00FC41F4" w:rsidRPr="00577593" w:rsidRDefault="000D3F7A" w:rsidP="002000D4">
      <w:pPr>
        <w:spacing w:after="0" w:line="240" w:lineRule="auto"/>
        <w:jc w:val="center"/>
        <w:rPr>
          <w:rFonts w:ascii="Times New Roman" w:hAnsi="Times New Roman"/>
          <w:sz w:val="24"/>
          <w:szCs w:val="24"/>
        </w:rPr>
      </w:pPr>
      <w:r w:rsidRPr="00577593">
        <w:rPr>
          <w:rFonts w:ascii="Times New Roman" w:hAnsi="Times New Roman"/>
          <w:noProof/>
          <w:lang w:eastAsia="ru-RU"/>
        </w:rPr>
        <w:drawing>
          <wp:inline distT="0" distB="0" distL="0" distR="0">
            <wp:extent cx="4114437" cy="4114437"/>
            <wp:effectExtent l="0" t="0" r="635" b="635"/>
            <wp:docPr id="33" name="Picture 1674985411" descr="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4985411" descr="Рисунок"/>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116975" cy="4116975"/>
                    </a:xfrm>
                    <a:prstGeom prst="rect">
                      <a:avLst/>
                    </a:prstGeom>
                    <a:noFill/>
                    <a:ln>
                      <a:noFill/>
                    </a:ln>
                  </pic:spPr>
                </pic:pic>
              </a:graphicData>
            </a:graphic>
          </wp:inline>
        </w:drawing>
      </w:r>
    </w:p>
    <w:p w:rsidR="00FC41F4" w:rsidRPr="00577593" w:rsidRDefault="008925FA" w:rsidP="002000D4">
      <w:pPr>
        <w:pStyle w:val="paragraph"/>
        <w:spacing w:before="0" w:beforeAutospacing="0" w:after="200" w:afterAutospacing="0"/>
        <w:jc w:val="center"/>
        <w:rPr>
          <w:sz w:val="28"/>
          <w:szCs w:val="28"/>
        </w:rPr>
      </w:pPr>
      <w:bookmarkStart w:id="107" w:name="_Ref199445683"/>
      <w:r w:rsidRPr="00577593">
        <w:rPr>
          <w:sz w:val="28"/>
          <w:szCs w:val="28"/>
        </w:rPr>
        <w:t xml:space="preserve">Рисунок </w:t>
      </w:r>
      <w:r w:rsidR="00074AE5" w:rsidRPr="00577593">
        <w:rPr>
          <w:sz w:val="28"/>
          <w:szCs w:val="28"/>
        </w:rPr>
        <w:fldChar w:fldCharType="begin"/>
      </w:r>
      <w:r w:rsidRPr="00577593">
        <w:rPr>
          <w:sz w:val="28"/>
          <w:szCs w:val="28"/>
        </w:rPr>
        <w:instrText xml:space="preserve"> SEQ Рисунок \* ARABIC </w:instrText>
      </w:r>
      <w:r w:rsidR="00074AE5" w:rsidRPr="00577593">
        <w:rPr>
          <w:sz w:val="28"/>
          <w:szCs w:val="28"/>
        </w:rPr>
        <w:fldChar w:fldCharType="separate"/>
      </w:r>
      <w:r w:rsidR="00071499">
        <w:rPr>
          <w:noProof/>
          <w:sz w:val="28"/>
          <w:szCs w:val="28"/>
        </w:rPr>
        <w:t>33</w:t>
      </w:r>
      <w:r w:rsidR="00074AE5" w:rsidRPr="00577593">
        <w:rPr>
          <w:sz w:val="28"/>
          <w:szCs w:val="28"/>
        </w:rPr>
        <w:fldChar w:fldCharType="end"/>
      </w:r>
      <w:bookmarkEnd w:id="107"/>
      <w:r w:rsidRPr="00577593">
        <w:rPr>
          <w:sz w:val="28"/>
          <w:szCs w:val="28"/>
        </w:rPr>
        <w:t xml:space="preserve"> </w:t>
      </w:r>
      <w:r w:rsidR="00A518B7" w:rsidRPr="00577593">
        <w:rPr>
          <w:sz w:val="28"/>
          <w:szCs w:val="28"/>
        </w:rPr>
        <w:t>–</w:t>
      </w:r>
      <w:r w:rsidRPr="00577593">
        <w:rPr>
          <w:sz w:val="28"/>
          <w:szCs w:val="28"/>
        </w:rPr>
        <w:t xml:space="preserve"> Распределение объектов розничной т</w:t>
      </w:r>
      <w:r w:rsidR="00E4079E" w:rsidRPr="00577593">
        <w:rPr>
          <w:sz w:val="28"/>
          <w:szCs w:val="28"/>
        </w:rPr>
        <w:t xml:space="preserve">орговли на территории </w:t>
      </w:r>
      <w:r w:rsidR="00BD2F0A">
        <w:rPr>
          <w:sz w:val="28"/>
          <w:szCs w:val="28"/>
        </w:rPr>
        <w:t xml:space="preserve">города </w:t>
      </w:r>
      <w:r w:rsidR="00E4079E" w:rsidRPr="00577593">
        <w:rPr>
          <w:sz w:val="28"/>
          <w:szCs w:val="28"/>
        </w:rPr>
        <w:t xml:space="preserve">Барнаула </w:t>
      </w:r>
      <w:r w:rsidRPr="00577593">
        <w:rPr>
          <w:sz w:val="28"/>
          <w:szCs w:val="28"/>
        </w:rPr>
        <w:t>по типам объектов</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lastRenderedPageBreak/>
        <w:t>Наибольшая плотность платных услуг наблюдается в Индустриальном районе (</w:t>
      </w:r>
      <w:r w:rsidR="00D558A5">
        <w:fldChar w:fldCharType="begin"/>
      </w:r>
      <w:r w:rsidR="00D558A5">
        <w:instrText xml:space="preserve"> REF _Ref208477843 \h  \* MERGEFORMAT </w:instrText>
      </w:r>
      <w:r w:rsidR="00D558A5">
        <w:fldChar w:fldCharType="separate"/>
      </w:r>
      <w:r w:rsidR="00071499" w:rsidRPr="00071499">
        <w:rPr>
          <w:rFonts w:ascii="Times New Roman" w:hAnsi="Times New Roman"/>
          <w:sz w:val="28"/>
          <w:szCs w:val="28"/>
        </w:rPr>
        <w:t>Рисунок 34</w:t>
      </w:r>
      <w:r w:rsidR="00D558A5">
        <w:fldChar w:fldCharType="end"/>
      </w:r>
      <w:r w:rsidRPr="00577593">
        <w:rPr>
          <w:rFonts w:ascii="Times New Roman" w:hAnsi="Times New Roman"/>
          <w:sz w:val="28"/>
          <w:szCs w:val="28"/>
        </w:rPr>
        <w:t>). Курсы повышения квалификации, курсы дополнительного образования сконцентрированы преимущественно между образовательным кластером, где располагаются высшие учебные заведения, и железнодорожной станцией (чуть севернее центра города). Фитнес, спортивные секции, салоны красоты, ремонт бытовой техники концентрируются преимущественно в Индустриальном районе.</w:t>
      </w:r>
    </w:p>
    <w:p w:rsidR="00FC41F4" w:rsidRPr="00577593" w:rsidRDefault="000D3F7A" w:rsidP="002000D4">
      <w:pPr>
        <w:spacing w:after="0" w:line="240" w:lineRule="auto"/>
        <w:jc w:val="center"/>
        <w:rPr>
          <w:rFonts w:ascii="Times New Roman" w:hAnsi="Times New Roman"/>
          <w:sz w:val="24"/>
          <w:szCs w:val="24"/>
        </w:rPr>
      </w:pPr>
      <w:r w:rsidRPr="00577593">
        <w:rPr>
          <w:rFonts w:ascii="Times New Roman" w:hAnsi="Times New Roman"/>
          <w:noProof/>
          <w:lang w:eastAsia="ru-RU"/>
        </w:rPr>
        <w:drawing>
          <wp:inline distT="0" distB="0" distL="0" distR="0">
            <wp:extent cx="3945074" cy="3945074"/>
            <wp:effectExtent l="0" t="0" r="0" b="0"/>
            <wp:docPr id="34" name="Picture 1340379089" descr="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0379089" descr="Рисунок"/>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945528" cy="3945528"/>
                    </a:xfrm>
                    <a:prstGeom prst="rect">
                      <a:avLst/>
                    </a:prstGeom>
                    <a:noFill/>
                    <a:ln>
                      <a:noFill/>
                    </a:ln>
                  </pic:spPr>
                </pic:pic>
              </a:graphicData>
            </a:graphic>
          </wp:inline>
        </w:drawing>
      </w:r>
    </w:p>
    <w:p w:rsidR="00FC41F4" w:rsidRPr="00577593" w:rsidRDefault="008925FA" w:rsidP="002000D4">
      <w:pPr>
        <w:pStyle w:val="paragraph"/>
        <w:spacing w:before="0" w:beforeAutospacing="0" w:after="200" w:afterAutospacing="0"/>
        <w:jc w:val="center"/>
        <w:rPr>
          <w:sz w:val="28"/>
          <w:szCs w:val="28"/>
        </w:rPr>
      </w:pPr>
      <w:bookmarkStart w:id="108" w:name="_Ref208477843"/>
      <w:r w:rsidRPr="00577593">
        <w:rPr>
          <w:sz w:val="28"/>
          <w:szCs w:val="28"/>
        </w:rPr>
        <w:t xml:space="preserve">Рисунок </w:t>
      </w:r>
      <w:r w:rsidR="00074AE5" w:rsidRPr="00577593">
        <w:rPr>
          <w:sz w:val="28"/>
          <w:szCs w:val="28"/>
        </w:rPr>
        <w:fldChar w:fldCharType="begin"/>
      </w:r>
      <w:r w:rsidRPr="00577593">
        <w:rPr>
          <w:sz w:val="28"/>
          <w:szCs w:val="28"/>
        </w:rPr>
        <w:instrText xml:space="preserve"> SEQ Рисунок \* ARABIC </w:instrText>
      </w:r>
      <w:r w:rsidR="00074AE5" w:rsidRPr="00577593">
        <w:rPr>
          <w:sz w:val="28"/>
          <w:szCs w:val="28"/>
        </w:rPr>
        <w:fldChar w:fldCharType="separate"/>
      </w:r>
      <w:r w:rsidR="00071499">
        <w:rPr>
          <w:noProof/>
          <w:sz w:val="28"/>
          <w:szCs w:val="28"/>
        </w:rPr>
        <w:t>34</w:t>
      </w:r>
      <w:r w:rsidR="00074AE5" w:rsidRPr="00577593">
        <w:rPr>
          <w:sz w:val="28"/>
          <w:szCs w:val="28"/>
        </w:rPr>
        <w:fldChar w:fldCharType="end"/>
      </w:r>
      <w:bookmarkEnd w:id="108"/>
      <w:r w:rsidRPr="00577593">
        <w:rPr>
          <w:sz w:val="28"/>
          <w:szCs w:val="28"/>
        </w:rPr>
        <w:t xml:space="preserve"> </w:t>
      </w:r>
      <w:r w:rsidR="00A518B7" w:rsidRPr="00577593">
        <w:rPr>
          <w:sz w:val="28"/>
          <w:szCs w:val="28"/>
        </w:rPr>
        <w:t>–</w:t>
      </w:r>
      <w:r w:rsidRPr="00577593">
        <w:rPr>
          <w:sz w:val="28"/>
          <w:szCs w:val="28"/>
        </w:rPr>
        <w:t xml:space="preserve"> Концентрация объектов, предоставляющих платные услуг</w:t>
      </w:r>
      <w:r w:rsidR="00E4079E" w:rsidRPr="00577593">
        <w:rPr>
          <w:sz w:val="28"/>
          <w:szCs w:val="28"/>
        </w:rPr>
        <w:t xml:space="preserve">и населению </w:t>
      </w:r>
      <w:r w:rsidRPr="00577593">
        <w:rPr>
          <w:sz w:val="28"/>
          <w:szCs w:val="28"/>
        </w:rPr>
        <w:t xml:space="preserve">на территории </w:t>
      </w:r>
      <w:r w:rsidR="00B54E09">
        <w:rPr>
          <w:sz w:val="28"/>
          <w:szCs w:val="28"/>
        </w:rPr>
        <w:t xml:space="preserve">города </w:t>
      </w:r>
      <w:r w:rsidRPr="00577593">
        <w:rPr>
          <w:sz w:val="28"/>
          <w:szCs w:val="28"/>
        </w:rPr>
        <w:t>Барнаула</w:t>
      </w:r>
    </w:p>
    <w:p w:rsidR="00F337EF" w:rsidRPr="00577593" w:rsidRDefault="00F337EF"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Проблема оценки долгосрочной динамики показателей развития потребительского рынка связана с тем, </w:t>
      </w:r>
      <w:r w:rsidR="004F19FD">
        <w:rPr>
          <w:rFonts w:ascii="Times New Roman" w:hAnsi="Times New Roman"/>
          <w:sz w:val="28"/>
          <w:szCs w:val="28"/>
        </w:rPr>
        <w:t xml:space="preserve">что </w:t>
      </w:r>
      <w:r w:rsidRPr="00577593">
        <w:rPr>
          <w:rFonts w:ascii="Times New Roman" w:hAnsi="Times New Roman"/>
          <w:sz w:val="28"/>
          <w:szCs w:val="28"/>
        </w:rPr>
        <w:t>в последние годы Росстат предоставляет статистические данные только в отношении крупных и средних предприятий. Соответственно, городом были скорректированы целевые показатели социально-экономического развития. Таким образом, провести оценку выполнения Стратегии социально-экономич</w:t>
      </w:r>
      <w:r w:rsidR="0007259D" w:rsidRPr="00577593">
        <w:rPr>
          <w:rFonts w:ascii="Times New Roman" w:hAnsi="Times New Roman"/>
          <w:sz w:val="28"/>
          <w:szCs w:val="28"/>
        </w:rPr>
        <w:t xml:space="preserve">еского развития города Барнаула </w:t>
      </w:r>
      <w:r w:rsidRPr="00577593">
        <w:rPr>
          <w:rFonts w:ascii="Times New Roman" w:hAnsi="Times New Roman"/>
          <w:sz w:val="28"/>
          <w:szCs w:val="28"/>
        </w:rPr>
        <w:t>до 2025 года по показателям оборота розничной торговли, общественного питания и предоставлению платных услуг населению не представляется возможным. По обороту розничной торговли и по объему платных услуг на душу населения целевые показатели были достигнуты.</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Проблемы развития потребительского рынка города</w:t>
      </w:r>
      <w:r w:rsidR="00121E8D">
        <w:rPr>
          <w:rFonts w:ascii="Times New Roman" w:hAnsi="Times New Roman"/>
          <w:sz w:val="28"/>
          <w:szCs w:val="28"/>
        </w:rPr>
        <w:t xml:space="preserve"> Барнаула</w:t>
      </w:r>
      <w:r w:rsidRPr="00577593">
        <w:rPr>
          <w:rFonts w:ascii="Times New Roman" w:hAnsi="Times New Roman"/>
          <w:sz w:val="28"/>
          <w:szCs w:val="28"/>
        </w:rPr>
        <w:t xml:space="preserve">: </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 xml:space="preserve">неравномерность территориального размещения объектов инфраструктуры; </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 xml:space="preserve">высокая доля серой занятости в сфере услуг; </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нехватка качественных объектов общественного питания.</w:t>
      </w:r>
    </w:p>
    <w:p w:rsidR="00FC41F4" w:rsidRPr="00577593" w:rsidRDefault="008925FA" w:rsidP="002000D4">
      <w:pPr>
        <w:pStyle w:val="3"/>
        <w:spacing w:before="0" w:line="240" w:lineRule="auto"/>
        <w:ind w:firstLine="709"/>
        <w:rPr>
          <w:rFonts w:ascii="Times New Roman" w:hAnsi="Times New Roman"/>
          <w:b/>
          <w:color w:val="auto"/>
          <w:sz w:val="28"/>
          <w:szCs w:val="28"/>
        </w:rPr>
      </w:pPr>
      <w:bookmarkStart w:id="109" w:name="_Toc1955297479"/>
      <w:bookmarkStart w:id="110" w:name="_Toc204923005"/>
      <w:bookmarkStart w:id="111" w:name="_Toc204933339"/>
      <w:bookmarkStart w:id="112" w:name="_Toc208496643"/>
      <w:bookmarkStart w:id="113" w:name="_Toc208668925"/>
      <w:bookmarkStart w:id="114" w:name="_Toc212804274"/>
      <w:r w:rsidRPr="00577593">
        <w:rPr>
          <w:rFonts w:ascii="Times New Roman" w:hAnsi="Times New Roman"/>
          <w:b/>
          <w:color w:val="auto"/>
          <w:sz w:val="28"/>
          <w:szCs w:val="28"/>
        </w:rPr>
        <w:lastRenderedPageBreak/>
        <w:t>2.5.6</w:t>
      </w:r>
      <w:r w:rsidR="00BD2F0A">
        <w:rPr>
          <w:rFonts w:ascii="Times New Roman" w:hAnsi="Times New Roman"/>
          <w:b/>
          <w:color w:val="auto"/>
          <w:sz w:val="28"/>
          <w:szCs w:val="28"/>
        </w:rPr>
        <w:t>.</w:t>
      </w:r>
      <w:r w:rsidRPr="00577593">
        <w:rPr>
          <w:rFonts w:ascii="Times New Roman" w:hAnsi="Times New Roman"/>
          <w:b/>
          <w:color w:val="auto"/>
          <w:sz w:val="28"/>
          <w:szCs w:val="28"/>
        </w:rPr>
        <w:t xml:space="preserve"> Туризм</w:t>
      </w:r>
      <w:bookmarkEnd w:id="109"/>
      <w:bookmarkEnd w:id="110"/>
      <w:bookmarkEnd w:id="111"/>
      <w:bookmarkEnd w:id="112"/>
      <w:bookmarkEnd w:id="113"/>
      <w:bookmarkEnd w:id="114"/>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Город Барнаул, являясь деловым и культурным центром Алтайского края, обладает необходимым потенциалом для развития туризма. Его столичный статус, богатое историко-культурное наследие и природные ресурсы создают благоприятные условия для развития приоритетных направлений, таких как культурно-познавательный и оздоровительный туризм.</w:t>
      </w:r>
    </w:p>
    <w:p w:rsidR="00FC41F4" w:rsidRPr="00577593" w:rsidRDefault="008925FA" w:rsidP="002000D4">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hAnsi="Times New Roman"/>
          <w:sz w:val="28"/>
          <w:szCs w:val="28"/>
        </w:rPr>
        <w:t>Кроме того, город Барнаул востребован у транзитного туристического потока как</w:t>
      </w:r>
      <w:r w:rsidR="00225DCA" w:rsidRPr="00577593">
        <w:rPr>
          <w:rFonts w:ascii="Times New Roman" w:hAnsi="Times New Roman"/>
          <w:sz w:val="28"/>
          <w:szCs w:val="28"/>
        </w:rPr>
        <w:t> </w:t>
      </w:r>
      <w:r w:rsidRPr="00577593">
        <w:rPr>
          <w:rFonts w:ascii="Times New Roman" w:hAnsi="Times New Roman"/>
          <w:sz w:val="28"/>
          <w:szCs w:val="28"/>
        </w:rPr>
        <w:t>основной транспортный узел региона.</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Стратегией социально-экономического развития города Барнаула до 2025 года было запланировано достижение следующих целевых показателей развития туристической отра</w:t>
      </w:r>
      <w:r w:rsidR="00110080" w:rsidRPr="00577593">
        <w:rPr>
          <w:rFonts w:ascii="Times New Roman" w:hAnsi="Times New Roman"/>
          <w:sz w:val="28"/>
          <w:szCs w:val="28"/>
        </w:rPr>
        <w:t xml:space="preserve">сли: туристский поток </w:t>
      </w:r>
      <w:r w:rsidR="00A518B7" w:rsidRPr="00577593">
        <w:rPr>
          <w:rFonts w:ascii="Times New Roman" w:hAnsi="Times New Roman"/>
          <w:sz w:val="28"/>
          <w:szCs w:val="28"/>
        </w:rPr>
        <w:t>–</w:t>
      </w:r>
      <w:r w:rsidR="00110080" w:rsidRPr="00577593">
        <w:rPr>
          <w:rFonts w:ascii="Times New Roman" w:hAnsi="Times New Roman"/>
          <w:sz w:val="28"/>
          <w:szCs w:val="28"/>
        </w:rPr>
        <w:t xml:space="preserve"> </w:t>
      </w:r>
      <w:r w:rsidR="00E4079E" w:rsidRPr="00577593">
        <w:rPr>
          <w:rFonts w:ascii="Times New Roman" w:hAnsi="Times New Roman"/>
          <w:sz w:val="28"/>
          <w:szCs w:val="28"/>
        </w:rPr>
        <w:br/>
      </w:r>
      <w:r w:rsidR="00110080" w:rsidRPr="00577593">
        <w:rPr>
          <w:rFonts w:ascii="Times New Roman" w:hAnsi="Times New Roman"/>
          <w:sz w:val="28"/>
          <w:szCs w:val="28"/>
        </w:rPr>
        <w:t>460 тысяч</w:t>
      </w:r>
      <w:r w:rsidRPr="00577593">
        <w:rPr>
          <w:rFonts w:ascii="Times New Roman" w:hAnsi="Times New Roman"/>
          <w:sz w:val="28"/>
          <w:szCs w:val="28"/>
        </w:rPr>
        <w:t xml:space="preserve"> человек к 2025 году; количество мест в коллективных средствах размещения </w:t>
      </w:r>
      <w:r w:rsidR="00A518B7" w:rsidRPr="00577593">
        <w:rPr>
          <w:rFonts w:ascii="Times New Roman" w:hAnsi="Times New Roman"/>
          <w:sz w:val="28"/>
          <w:szCs w:val="28"/>
        </w:rPr>
        <w:t>– 5,5 тысяч</w:t>
      </w:r>
      <w:r w:rsidRPr="00577593">
        <w:rPr>
          <w:rFonts w:ascii="Times New Roman" w:hAnsi="Times New Roman"/>
          <w:sz w:val="28"/>
          <w:szCs w:val="28"/>
        </w:rPr>
        <w:t xml:space="preserve"> мест к 2025 году. На растущую динамику туристского потока существенно повлияли ограничения 2020 года, из-за чего количество посещений сократилось на 75% относительно 2019 года, когда ту</w:t>
      </w:r>
      <w:r w:rsidR="00110080" w:rsidRPr="00577593">
        <w:rPr>
          <w:rFonts w:ascii="Times New Roman" w:hAnsi="Times New Roman"/>
          <w:sz w:val="28"/>
          <w:szCs w:val="28"/>
        </w:rPr>
        <w:t>ристский поток составил 450 тысяч</w:t>
      </w:r>
      <w:r w:rsidRPr="00577593">
        <w:rPr>
          <w:rFonts w:ascii="Times New Roman" w:hAnsi="Times New Roman"/>
          <w:sz w:val="28"/>
          <w:szCs w:val="28"/>
        </w:rPr>
        <w:t xml:space="preserve"> человек, что почти опередило достижение целевого показателя на 6 лет. Тем не менее, после 2020 года показатель не вернулся к уровню 2019 года (</w:t>
      </w:r>
      <w:r w:rsidR="00D558A5">
        <w:fldChar w:fldCharType="begin"/>
      </w:r>
      <w:r w:rsidR="00D558A5">
        <w:instrText xml:space="preserve"> REF _Ref199445900 \h  \* MERGEFORMAT </w:instrText>
      </w:r>
      <w:r w:rsidR="00D558A5">
        <w:fldChar w:fldCharType="separate"/>
      </w:r>
      <w:r w:rsidR="00071499" w:rsidRPr="00071499">
        <w:rPr>
          <w:rFonts w:ascii="Times New Roman" w:hAnsi="Times New Roman"/>
          <w:sz w:val="28"/>
          <w:szCs w:val="28"/>
        </w:rPr>
        <w:t xml:space="preserve">Рисунок </w:t>
      </w:r>
      <w:r w:rsidR="00D558A5">
        <w:fldChar w:fldCharType="end"/>
      </w:r>
      <w:r w:rsidR="00BD2F0A">
        <w:rPr>
          <w:rFonts w:ascii="Times New Roman" w:hAnsi="Times New Roman"/>
          <w:sz w:val="28"/>
          <w:szCs w:val="28"/>
        </w:rPr>
        <w:t>3</w:t>
      </w:r>
      <w:r w:rsidR="00A65319">
        <w:rPr>
          <w:rFonts w:ascii="Times New Roman" w:hAnsi="Times New Roman"/>
          <w:sz w:val="28"/>
          <w:szCs w:val="28"/>
        </w:rPr>
        <w:t>5</w:t>
      </w:r>
      <w:r w:rsidRPr="00577593">
        <w:rPr>
          <w:rFonts w:ascii="Times New Roman" w:hAnsi="Times New Roman"/>
          <w:sz w:val="28"/>
          <w:szCs w:val="28"/>
        </w:rPr>
        <w:t>).</w:t>
      </w:r>
    </w:p>
    <w:p w:rsidR="00D40618" w:rsidRPr="00577593" w:rsidRDefault="000D3F7A" w:rsidP="00395D3A">
      <w:pPr>
        <w:spacing w:after="0" w:line="240" w:lineRule="auto"/>
        <w:jc w:val="center"/>
        <w:rPr>
          <w:rFonts w:ascii="Times New Roman" w:hAnsi="Times New Roman"/>
        </w:rPr>
      </w:pPr>
      <w:r w:rsidRPr="00577593">
        <w:rPr>
          <w:rFonts w:ascii="Times New Roman" w:hAnsi="Times New Roman"/>
          <w:noProof/>
          <w:sz w:val="24"/>
          <w:szCs w:val="24"/>
          <w:lang w:eastAsia="ru-RU"/>
        </w:rPr>
        <w:drawing>
          <wp:inline distT="0" distB="0" distL="0" distR="0">
            <wp:extent cx="5943600" cy="2207895"/>
            <wp:effectExtent l="0" t="0" r="0" b="0"/>
            <wp:docPr id="35" name="Объект 3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FC41F4" w:rsidRDefault="008925FA" w:rsidP="00395D3A">
      <w:pPr>
        <w:pStyle w:val="paragraph"/>
        <w:spacing w:before="0" w:beforeAutospacing="0" w:after="0" w:afterAutospacing="0"/>
        <w:jc w:val="center"/>
        <w:rPr>
          <w:sz w:val="28"/>
          <w:szCs w:val="28"/>
        </w:rPr>
      </w:pPr>
      <w:bookmarkStart w:id="115" w:name="_Ref199445900"/>
      <w:r w:rsidRPr="00577593">
        <w:rPr>
          <w:sz w:val="28"/>
          <w:szCs w:val="28"/>
        </w:rPr>
        <w:t xml:space="preserve">Рисунок </w:t>
      </w:r>
      <w:bookmarkEnd w:id="115"/>
      <w:r w:rsidR="008E5016" w:rsidRPr="00577593">
        <w:rPr>
          <w:sz w:val="28"/>
          <w:szCs w:val="28"/>
        </w:rPr>
        <w:t>3</w:t>
      </w:r>
      <w:r w:rsidR="00A65319">
        <w:rPr>
          <w:sz w:val="28"/>
          <w:szCs w:val="28"/>
        </w:rPr>
        <w:t>5</w:t>
      </w:r>
      <w:r w:rsidRPr="00577593">
        <w:rPr>
          <w:sz w:val="28"/>
          <w:szCs w:val="28"/>
        </w:rPr>
        <w:t xml:space="preserve"> </w:t>
      </w:r>
      <w:r w:rsidR="00A518B7" w:rsidRPr="00577593">
        <w:rPr>
          <w:sz w:val="28"/>
          <w:szCs w:val="28"/>
        </w:rPr>
        <w:t>–</w:t>
      </w:r>
      <w:r w:rsidRPr="00577593">
        <w:rPr>
          <w:sz w:val="28"/>
          <w:szCs w:val="28"/>
        </w:rPr>
        <w:t xml:space="preserve"> Тури</w:t>
      </w:r>
      <w:r w:rsidR="00110080" w:rsidRPr="00577593">
        <w:rPr>
          <w:sz w:val="28"/>
          <w:szCs w:val="28"/>
        </w:rPr>
        <w:t xml:space="preserve">стический поток в </w:t>
      </w:r>
      <w:r w:rsidR="00BD2F0A">
        <w:rPr>
          <w:sz w:val="28"/>
          <w:szCs w:val="28"/>
        </w:rPr>
        <w:t xml:space="preserve">городе </w:t>
      </w:r>
      <w:r w:rsidR="00110080" w:rsidRPr="00577593">
        <w:rPr>
          <w:sz w:val="28"/>
          <w:szCs w:val="28"/>
        </w:rPr>
        <w:t>Барнауле, тысяч</w:t>
      </w:r>
      <w:r w:rsidRPr="00577593">
        <w:rPr>
          <w:sz w:val="28"/>
          <w:szCs w:val="28"/>
        </w:rPr>
        <w:t xml:space="preserve"> человек</w:t>
      </w:r>
    </w:p>
    <w:p w:rsidR="00B47E22" w:rsidRPr="00577593" w:rsidRDefault="00B47E22" w:rsidP="00B47E22">
      <w:pPr>
        <w:spacing w:after="0" w:line="240" w:lineRule="auto"/>
        <w:rPr>
          <w:rFonts w:ascii="Times New Roman" w:hAnsi="Times New Roman"/>
          <w:sz w:val="28"/>
          <w:szCs w:val="28"/>
        </w:rPr>
      </w:pPr>
      <w:r w:rsidRPr="00577593">
        <w:rPr>
          <w:rFonts w:ascii="Times New Roman" w:hAnsi="Times New Roman"/>
          <w:sz w:val="28"/>
          <w:szCs w:val="28"/>
        </w:rPr>
        <w:t xml:space="preserve">Примечание – Источник: по данным </w:t>
      </w:r>
      <w:r w:rsidRPr="00577593">
        <w:rPr>
          <w:rFonts w:ascii="Times New Roman" w:hAnsi="Times New Roman"/>
          <w:iCs/>
          <w:sz w:val="28"/>
          <w:szCs w:val="28"/>
        </w:rPr>
        <w:t>администрации</w:t>
      </w:r>
      <w:r w:rsidRPr="00577593">
        <w:rPr>
          <w:rFonts w:ascii="Times New Roman" w:hAnsi="Times New Roman"/>
          <w:sz w:val="28"/>
          <w:szCs w:val="28"/>
        </w:rPr>
        <w:t xml:space="preserve"> города Барнаула</w:t>
      </w:r>
    </w:p>
    <w:p w:rsidR="00395D3A" w:rsidRPr="00577593" w:rsidRDefault="00395D3A" w:rsidP="002000D4">
      <w:pPr>
        <w:spacing w:after="0" w:line="240" w:lineRule="auto"/>
        <w:ind w:firstLine="709"/>
        <w:jc w:val="both"/>
        <w:rPr>
          <w:rFonts w:ascii="Times New Roman" w:hAnsi="Times New Roman"/>
          <w:sz w:val="28"/>
          <w:szCs w:val="28"/>
        </w:rPr>
      </w:pPr>
    </w:p>
    <w:p w:rsidR="00F337EF" w:rsidRPr="00577593" w:rsidRDefault="00F337EF"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На протяжении последних пяти лет наблюдается положительная</w:t>
      </w:r>
      <w:r w:rsidR="00430453" w:rsidRPr="00577593">
        <w:rPr>
          <w:rFonts w:ascii="Times New Roman" w:hAnsi="Times New Roman"/>
          <w:sz w:val="28"/>
          <w:szCs w:val="28"/>
        </w:rPr>
        <w:t xml:space="preserve"> динамика туристического потока,</w:t>
      </w:r>
      <w:r w:rsidRPr="00577593">
        <w:rPr>
          <w:rFonts w:ascii="Times New Roman" w:hAnsi="Times New Roman"/>
          <w:sz w:val="28"/>
          <w:szCs w:val="28"/>
        </w:rPr>
        <w:t xml:space="preserve"> в 2</w:t>
      </w:r>
      <w:r w:rsidR="00110080" w:rsidRPr="00577593">
        <w:rPr>
          <w:rFonts w:ascii="Times New Roman" w:hAnsi="Times New Roman"/>
          <w:sz w:val="28"/>
          <w:szCs w:val="28"/>
        </w:rPr>
        <w:t>024 год</w:t>
      </w:r>
      <w:r w:rsidR="00430453" w:rsidRPr="00577593">
        <w:rPr>
          <w:rFonts w:ascii="Times New Roman" w:hAnsi="Times New Roman"/>
          <w:sz w:val="28"/>
          <w:szCs w:val="28"/>
        </w:rPr>
        <w:t>у</w:t>
      </w:r>
      <w:r w:rsidR="00110080" w:rsidRPr="00577593">
        <w:rPr>
          <w:rFonts w:ascii="Times New Roman" w:hAnsi="Times New Roman"/>
          <w:sz w:val="28"/>
          <w:szCs w:val="28"/>
        </w:rPr>
        <w:t xml:space="preserve"> город посетили </w:t>
      </w:r>
      <w:r w:rsidR="00E4079E" w:rsidRPr="00577593">
        <w:rPr>
          <w:rFonts w:ascii="Times New Roman" w:hAnsi="Times New Roman"/>
          <w:sz w:val="28"/>
          <w:szCs w:val="28"/>
        </w:rPr>
        <w:br/>
      </w:r>
      <w:r w:rsidR="00430453" w:rsidRPr="00577593">
        <w:rPr>
          <w:rFonts w:ascii="Times New Roman" w:hAnsi="Times New Roman"/>
          <w:sz w:val="28"/>
          <w:szCs w:val="28"/>
        </w:rPr>
        <w:t>336,4</w:t>
      </w:r>
      <w:r w:rsidR="00110080" w:rsidRPr="00577593">
        <w:rPr>
          <w:rFonts w:ascii="Times New Roman" w:hAnsi="Times New Roman"/>
          <w:sz w:val="28"/>
          <w:szCs w:val="28"/>
        </w:rPr>
        <w:t xml:space="preserve"> тысяч</w:t>
      </w:r>
      <w:r w:rsidR="00430453" w:rsidRPr="00577593">
        <w:rPr>
          <w:rFonts w:ascii="Times New Roman" w:hAnsi="Times New Roman"/>
          <w:sz w:val="28"/>
          <w:szCs w:val="28"/>
        </w:rPr>
        <w:t>и человек</w:t>
      </w:r>
      <w:r w:rsidRPr="00577593">
        <w:rPr>
          <w:rFonts w:ascii="Times New Roman" w:hAnsi="Times New Roman"/>
          <w:sz w:val="28"/>
          <w:szCs w:val="28"/>
        </w:rPr>
        <w:t xml:space="preserve">. </w:t>
      </w:r>
    </w:p>
    <w:p w:rsidR="00FC41F4" w:rsidRPr="00577593" w:rsidRDefault="008925FA" w:rsidP="002000D4">
      <w:pPr>
        <w:spacing w:after="0" w:line="240" w:lineRule="auto"/>
        <w:ind w:firstLine="709"/>
        <w:jc w:val="both"/>
        <w:rPr>
          <w:rStyle w:val="normaltextrun"/>
          <w:rFonts w:ascii="Times New Roman" w:hAnsi="Times New Roman"/>
          <w:sz w:val="28"/>
          <w:szCs w:val="28"/>
        </w:rPr>
      </w:pPr>
      <w:r w:rsidRPr="00577593">
        <w:rPr>
          <w:rFonts w:ascii="Times New Roman" w:hAnsi="Times New Roman"/>
          <w:sz w:val="28"/>
          <w:szCs w:val="28"/>
        </w:rPr>
        <w:t xml:space="preserve">Количество мест размещения в 2025 году составило 5508 ед. </w:t>
      </w:r>
      <w:r w:rsidR="00A65319">
        <w:rPr>
          <w:rFonts w:ascii="Times New Roman" w:hAnsi="Times New Roman"/>
          <w:sz w:val="28"/>
          <w:szCs w:val="28"/>
        </w:rPr>
        <w:br/>
      </w:r>
      <w:r w:rsidRPr="00577593">
        <w:rPr>
          <w:rFonts w:ascii="Times New Roman" w:hAnsi="Times New Roman"/>
          <w:sz w:val="28"/>
          <w:szCs w:val="28"/>
        </w:rPr>
        <w:t xml:space="preserve">(без учета мест в детских лагерях) и 6888 ед. (с учетом мест в детских лагерях), что соответствует целевому показателю. Схема плотности распределения койко-мест в коллективных средствах размещения приведена на </w:t>
      </w:r>
      <w:r w:rsidR="00D558A5">
        <w:fldChar w:fldCharType="begin"/>
      </w:r>
      <w:r w:rsidR="00D558A5">
        <w:instrText xml:space="preserve"> REF _Ref199445986 \h  \* MERGEFORMAT </w:instrText>
      </w:r>
      <w:r w:rsidR="00D558A5">
        <w:fldChar w:fldCharType="separate"/>
      </w:r>
      <w:r w:rsidR="00071499" w:rsidRPr="00071499">
        <w:rPr>
          <w:rFonts w:ascii="Times New Roman" w:hAnsi="Times New Roman"/>
          <w:sz w:val="28"/>
          <w:szCs w:val="28"/>
        </w:rPr>
        <w:t xml:space="preserve">Рисунок </w:t>
      </w:r>
      <w:r w:rsidR="00D558A5">
        <w:fldChar w:fldCharType="end"/>
      </w:r>
      <w:r w:rsidR="00BD2F0A">
        <w:rPr>
          <w:rFonts w:ascii="Times New Roman" w:hAnsi="Times New Roman"/>
          <w:sz w:val="28"/>
          <w:szCs w:val="28"/>
        </w:rPr>
        <w:t>3</w:t>
      </w:r>
      <w:r w:rsidR="00A65319">
        <w:rPr>
          <w:rFonts w:ascii="Times New Roman" w:hAnsi="Times New Roman"/>
          <w:sz w:val="28"/>
          <w:szCs w:val="28"/>
        </w:rPr>
        <w:t>6</w:t>
      </w:r>
      <w:r w:rsidRPr="00577593">
        <w:rPr>
          <w:rFonts w:ascii="Times New Roman" w:hAnsi="Times New Roman"/>
          <w:sz w:val="28"/>
          <w:szCs w:val="28"/>
        </w:rPr>
        <w:t>.</w:t>
      </w:r>
    </w:p>
    <w:p w:rsidR="00FC41F4" w:rsidRPr="00577593" w:rsidRDefault="000D3F7A" w:rsidP="002000D4">
      <w:pPr>
        <w:spacing w:after="0" w:line="240" w:lineRule="auto"/>
        <w:jc w:val="center"/>
        <w:rPr>
          <w:rFonts w:ascii="Times New Roman" w:hAnsi="Times New Roman"/>
          <w:sz w:val="24"/>
          <w:szCs w:val="24"/>
        </w:rPr>
      </w:pPr>
      <w:r w:rsidRPr="00577593">
        <w:rPr>
          <w:rFonts w:ascii="Times New Roman" w:hAnsi="Times New Roman"/>
          <w:noProof/>
          <w:lang w:eastAsia="ru-RU"/>
        </w:rPr>
        <w:lastRenderedPageBreak/>
        <w:drawing>
          <wp:inline distT="0" distB="0" distL="0" distR="0">
            <wp:extent cx="4232275" cy="4232275"/>
            <wp:effectExtent l="0" t="0" r="0" b="0"/>
            <wp:docPr id="36" name="Picture 284167919" descr="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167919" descr="Рисунок"/>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232275" cy="4232275"/>
                    </a:xfrm>
                    <a:prstGeom prst="rect">
                      <a:avLst/>
                    </a:prstGeom>
                    <a:noFill/>
                    <a:ln>
                      <a:noFill/>
                    </a:ln>
                  </pic:spPr>
                </pic:pic>
              </a:graphicData>
            </a:graphic>
          </wp:inline>
        </w:drawing>
      </w:r>
    </w:p>
    <w:p w:rsidR="00FC41F4" w:rsidRDefault="008925FA" w:rsidP="00B47E22">
      <w:pPr>
        <w:pStyle w:val="paragraph"/>
        <w:spacing w:before="0" w:beforeAutospacing="0" w:after="0" w:afterAutospacing="0"/>
        <w:jc w:val="center"/>
        <w:rPr>
          <w:rStyle w:val="eop"/>
          <w:sz w:val="28"/>
          <w:szCs w:val="28"/>
        </w:rPr>
      </w:pPr>
      <w:bookmarkStart w:id="116" w:name="_Ref199445986"/>
      <w:r w:rsidRPr="00577593">
        <w:rPr>
          <w:sz w:val="28"/>
          <w:szCs w:val="28"/>
        </w:rPr>
        <w:t xml:space="preserve">Рисунок </w:t>
      </w:r>
      <w:bookmarkEnd w:id="116"/>
      <w:r w:rsidR="008E5016" w:rsidRPr="00577593">
        <w:rPr>
          <w:sz w:val="28"/>
          <w:szCs w:val="28"/>
        </w:rPr>
        <w:t>3</w:t>
      </w:r>
      <w:r w:rsidR="00A65319">
        <w:rPr>
          <w:sz w:val="28"/>
          <w:szCs w:val="28"/>
        </w:rPr>
        <w:t>6</w:t>
      </w:r>
      <w:r w:rsidRPr="00577593">
        <w:rPr>
          <w:sz w:val="28"/>
          <w:szCs w:val="28"/>
        </w:rPr>
        <w:t xml:space="preserve"> </w:t>
      </w:r>
      <w:r w:rsidR="00A518B7" w:rsidRPr="00577593">
        <w:rPr>
          <w:sz w:val="28"/>
          <w:szCs w:val="28"/>
        </w:rPr>
        <w:t>–</w:t>
      </w:r>
      <w:r w:rsidRPr="00577593">
        <w:rPr>
          <w:sz w:val="28"/>
          <w:szCs w:val="28"/>
        </w:rPr>
        <w:t xml:space="preserve"> </w:t>
      </w:r>
      <w:r w:rsidRPr="00577593">
        <w:rPr>
          <w:rStyle w:val="normaltextrun"/>
          <w:sz w:val="28"/>
          <w:szCs w:val="28"/>
        </w:rPr>
        <w:t xml:space="preserve">Схема плотности распределения койко-мест </w:t>
      </w:r>
      <w:r w:rsidRPr="00577593">
        <w:rPr>
          <w:rStyle w:val="normaltextrun"/>
          <w:sz w:val="28"/>
          <w:szCs w:val="28"/>
        </w:rPr>
        <w:br/>
        <w:t>в коллективных средствах размещения</w:t>
      </w:r>
      <w:r w:rsidRPr="00577593">
        <w:rPr>
          <w:rStyle w:val="eop"/>
          <w:sz w:val="28"/>
          <w:szCs w:val="28"/>
        </w:rPr>
        <w:t> </w:t>
      </w:r>
    </w:p>
    <w:p w:rsidR="00B47E22" w:rsidRPr="00577593" w:rsidRDefault="00B47E22" w:rsidP="00B47E22">
      <w:pPr>
        <w:spacing w:after="0" w:line="240" w:lineRule="auto"/>
        <w:rPr>
          <w:rFonts w:ascii="Times New Roman" w:hAnsi="Times New Roman"/>
          <w:i/>
          <w:sz w:val="28"/>
          <w:szCs w:val="28"/>
        </w:rPr>
      </w:pPr>
      <w:r w:rsidRPr="00577593">
        <w:rPr>
          <w:rFonts w:ascii="Times New Roman" w:hAnsi="Times New Roman"/>
          <w:sz w:val="28"/>
          <w:szCs w:val="28"/>
        </w:rPr>
        <w:t>Примечание – Источник: по данным открытых источников</w:t>
      </w:r>
    </w:p>
    <w:p w:rsidR="00B47E22" w:rsidRPr="00577593" w:rsidRDefault="00B47E22" w:rsidP="00B47E22">
      <w:pPr>
        <w:pStyle w:val="paragraph"/>
        <w:spacing w:before="0" w:beforeAutospacing="0" w:after="0" w:afterAutospacing="0"/>
        <w:jc w:val="center"/>
        <w:rPr>
          <w:sz w:val="28"/>
          <w:szCs w:val="28"/>
        </w:rPr>
      </w:pPr>
    </w:p>
    <w:p w:rsidR="00FC41F4"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В рамках программы развития туристско-рекреационного кластера «Барнаул </w:t>
      </w:r>
      <w:r w:rsidR="00A518B7" w:rsidRPr="00577593">
        <w:rPr>
          <w:rFonts w:ascii="Times New Roman" w:hAnsi="Times New Roman"/>
          <w:sz w:val="28"/>
          <w:szCs w:val="28"/>
        </w:rPr>
        <w:t>–</w:t>
      </w:r>
      <w:r w:rsidRPr="00577593">
        <w:rPr>
          <w:rFonts w:ascii="Times New Roman" w:hAnsi="Times New Roman"/>
          <w:sz w:val="28"/>
          <w:szCs w:val="28"/>
        </w:rPr>
        <w:t xml:space="preserve"> горнозаводской город» были реконструированы два моста через реку Барнаулку, Нагорный парк, построены сети ливневой канализации, модульная газовая котельная, очистные сооружения, обновлено ограждение парка культуры и отдыха «Центральный», обустроена пешеходная</w:t>
      </w:r>
      <w:r w:rsidR="004F19FD">
        <w:rPr>
          <w:rFonts w:ascii="Times New Roman" w:hAnsi="Times New Roman"/>
          <w:sz w:val="28"/>
          <w:szCs w:val="28"/>
        </w:rPr>
        <w:t xml:space="preserve"> часть </w:t>
      </w:r>
      <w:r w:rsidRPr="00577593">
        <w:rPr>
          <w:rFonts w:ascii="Times New Roman" w:hAnsi="Times New Roman"/>
          <w:sz w:val="28"/>
          <w:szCs w:val="28"/>
        </w:rPr>
        <w:t>улиц</w:t>
      </w:r>
      <w:r w:rsidR="004F19FD">
        <w:rPr>
          <w:rFonts w:ascii="Times New Roman" w:hAnsi="Times New Roman"/>
          <w:sz w:val="28"/>
          <w:szCs w:val="28"/>
        </w:rPr>
        <w:t>ы</w:t>
      </w:r>
      <w:r w:rsidRPr="00577593">
        <w:rPr>
          <w:rFonts w:ascii="Times New Roman" w:hAnsi="Times New Roman"/>
          <w:sz w:val="28"/>
          <w:szCs w:val="28"/>
        </w:rPr>
        <w:t xml:space="preserve"> Мало-Тобольская, созданы 2430 рабочих мест, проведен комплекс маркетинговых кампаний по продвижению кластера.</w:t>
      </w:r>
    </w:p>
    <w:p w:rsidR="00577593" w:rsidRPr="00577593" w:rsidRDefault="00577593" w:rsidP="002000D4">
      <w:pPr>
        <w:spacing w:after="0" w:line="240" w:lineRule="auto"/>
        <w:ind w:firstLine="709"/>
        <w:jc w:val="both"/>
        <w:rPr>
          <w:rFonts w:ascii="Times New Roman" w:hAnsi="Times New Roman"/>
          <w:sz w:val="28"/>
          <w:szCs w:val="28"/>
        </w:rPr>
      </w:pPr>
      <w:r>
        <w:rPr>
          <w:rFonts w:ascii="Times New Roman" w:hAnsi="Times New Roman"/>
          <w:sz w:val="28"/>
          <w:szCs w:val="28"/>
        </w:rPr>
        <w:t>За счет средств частных инвесторов был</w:t>
      </w:r>
      <w:r w:rsidR="004F19FD">
        <w:rPr>
          <w:rFonts w:ascii="Times New Roman" w:hAnsi="Times New Roman"/>
          <w:sz w:val="28"/>
          <w:szCs w:val="28"/>
        </w:rPr>
        <w:t>о</w:t>
      </w:r>
      <w:r>
        <w:rPr>
          <w:rFonts w:ascii="Times New Roman" w:hAnsi="Times New Roman"/>
          <w:sz w:val="28"/>
          <w:szCs w:val="28"/>
        </w:rPr>
        <w:t xml:space="preserve"> восстановлены 28 </w:t>
      </w:r>
      <w:r w:rsidR="004F19FD">
        <w:rPr>
          <w:rFonts w:ascii="Times New Roman" w:hAnsi="Times New Roman"/>
          <w:sz w:val="28"/>
          <w:szCs w:val="28"/>
        </w:rPr>
        <w:t xml:space="preserve">объектов культурного наследия </w:t>
      </w:r>
      <w:r>
        <w:rPr>
          <w:rFonts w:ascii="Times New Roman" w:hAnsi="Times New Roman"/>
          <w:sz w:val="28"/>
          <w:szCs w:val="28"/>
        </w:rPr>
        <w:t>федерального и регионального значения, в которых открылись гостиницы, музеи, объекты общественного питания и предприятия сферы ус</w:t>
      </w:r>
      <w:r w:rsidR="00FB7331">
        <w:rPr>
          <w:rFonts w:ascii="Times New Roman" w:hAnsi="Times New Roman"/>
          <w:sz w:val="28"/>
          <w:szCs w:val="28"/>
        </w:rPr>
        <w:t>луг</w:t>
      </w:r>
      <w:r>
        <w:rPr>
          <w:rFonts w:ascii="Times New Roman" w:hAnsi="Times New Roman"/>
          <w:sz w:val="28"/>
          <w:szCs w:val="28"/>
        </w:rPr>
        <w:t>.</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Перечисленные мероприятия по развитию туркластера были реализованы в 2014</w:t>
      </w:r>
      <w:r w:rsidR="00A518B7" w:rsidRPr="00577593">
        <w:rPr>
          <w:rFonts w:ascii="Times New Roman" w:hAnsi="Times New Roman"/>
          <w:sz w:val="28"/>
          <w:szCs w:val="28"/>
        </w:rPr>
        <w:t>-</w:t>
      </w:r>
      <w:r w:rsidR="000A15D0" w:rsidRPr="00577593">
        <w:rPr>
          <w:rFonts w:ascii="Times New Roman" w:hAnsi="Times New Roman"/>
          <w:sz w:val="28"/>
          <w:szCs w:val="28"/>
        </w:rPr>
        <w:t>2017 год</w:t>
      </w:r>
      <w:r w:rsidR="001F5B23">
        <w:rPr>
          <w:rFonts w:ascii="Times New Roman" w:hAnsi="Times New Roman"/>
          <w:sz w:val="28"/>
          <w:szCs w:val="28"/>
        </w:rPr>
        <w:t>ах</w:t>
      </w:r>
      <w:r w:rsidRPr="00577593">
        <w:rPr>
          <w:rFonts w:ascii="Times New Roman" w:hAnsi="Times New Roman"/>
          <w:sz w:val="28"/>
          <w:szCs w:val="28"/>
        </w:rPr>
        <w:t xml:space="preserve"> в рамках федеральной целевой программы «Развитие внутреннего и въездного туриз</w:t>
      </w:r>
      <w:r w:rsidR="00A518B7" w:rsidRPr="00577593">
        <w:rPr>
          <w:rFonts w:ascii="Times New Roman" w:hAnsi="Times New Roman"/>
          <w:sz w:val="28"/>
          <w:szCs w:val="28"/>
        </w:rPr>
        <w:t xml:space="preserve">ма в Российской Федерации </w:t>
      </w:r>
      <w:r w:rsidR="009B1937" w:rsidRPr="00577593">
        <w:rPr>
          <w:rFonts w:ascii="Times New Roman" w:hAnsi="Times New Roman"/>
          <w:sz w:val="28"/>
          <w:szCs w:val="28"/>
        </w:rPr>
        <w:br/>
      </w:r>
      <w:r w:rsidR="00A518B7" w:rsidRPr="00577593">
        <w:rPr>
          <w:rFonts w:ascii="Times New Roman" w:hAnsi="Times New Roman"/>
          <w:sz w:val="28"/>
          <w:szCs w:val="28"/>
        </w:rPr>
        <w:t>(2011-</w:t>
      </w:r>
      <w:r w:rsidRPr="00577593">
        <w:rPr>
          <w:rFonts w:ascii="Times New Roman" w:hAnsi="Times New Roman"/>
          <w:sz w:val="28"/>
          <w:szCs w:val="28"/>
        </w:rPr>
        <w:t>2018 годы)».</w:t>
      </w:r>
    </w:p>
    <w:p w:rsidR="00FC41F4" w:rsidRPr="00577593" w:rsidRDefault="008925FA" w:rsidP="002000D4">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Кроме того, развитие туристического кластера осуществлялось </w:t>
      </w:r>
      <w:r w:rsidR="009B1937" w:rsidRPr="00577593">
        <w:rPr>
          <w:rFonts w:ascii="Times New Roman" w:hAnsi="Times New Roman"/>
          <w:sz w:val="28"/>
          <w:szCs w:val="28"/>
        </w:rPr>
        <w:br/>
      </w:r>
      <w:r w:rsidRPr="00577593">
        <w:rPr>
          <w:rFonts w:ascii="Times New Roman" w:hAnsi="Times New Roman"/>
          <w:sz w:val="28"/>
          <w:szCs w:val="28"/>
        </w:rPr>
        <w:t>по федеральной программе «Формирование комфортной городской среды» национального проекта «Жилье и городская среда»:</w:t>
      </w:r>
    </w:p>
    <w:p w:rsidR="00FC41F4" w:rsidRPr="00577593" w:rsidRDefault="000A15D0"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в 2017-2018 год</w:t>
      </w:r>
      <w:r w:rsidR="001F5B23">
        <w:rPr>
          <w:rFonts w:ascii="Times New Roman" w:eastAsia="Times New Roman" w:hAnsi="Times New Roman"/>
          <w:sz w:val="28"/>
          <w:szCs w:val="28"/>
          <w:lang w:eastAsia="ru-RU"/>
        </w:rPr>
        <w:t>ах</w:t>
      </w:r>
      <w:r w:rsidR="008925FA" w:rsidRPr="00577593">
        <w:rPr>
          <w:rFonts w:ascii="Times New Roman" w:eastAsia="Times New Roman" w:hAnsi="Times New Roman"/>
          <w:sz w:val="28"/>
          <w:szCs w:val="28"/>
          <w:lang w:eastAsia="ru-RU"/>
        </w:rPr>
        <w:t xml:space="preserve"> реконструирована набережная реки Оби и создана лестница, соединяющая набережную с Нагорным парком;</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lastRenderedPageBreak/>
        <w:t xml:space="preserve">в 2022 году было продолжено благоустройство набережной реки Оби; </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 xml:space="preserve">в 2023 году велись работы по реконструкции парка культуры и отдыха «Центральный». Реконструирован фонтан, обустроены пешеходные дорожки </w:t>
      </w:r>
      <w:r w:rsidR="00A518B7" w:rsidRPr="00577593">
        <w:rPr>
          <w:rFonts w:ascii="Times New Roman" w:eastAsia="Times New Roman" w:hAnsi="Times New Roman"/>
          <w:sz w:val="28"/>
          <w:szCs w:val="28"/>
          <w:lang w:eastAsia="ru-RU"/>
        </w:rPr>
        <w:t>–</w:t>
      </w:r>
      <w:r w:rsidRPr="00577593">
        <w:rPr>
          <w:rFonts w:ascii="Times New Roman" w:eastAsia="Times New Roman" w:hAnsi="Times New Roman"/>
          <w:sz w:val="28"/>
          <w:szCs w:val="28"/>
          <w:lang w:eastAsia="ru-RU"/>
        </w:rPr>
        <w:t xml:space="preserve"> проведена замена плиточного и асфальтового покрытия, установлен</w:t>
      </w:r>
      <w:r w:rsidR="007F602F">
        <w:rPr>
          <w:rFonts w:ascii="Times New Roman" w:eastAsia="Times New Roman" w:hAnsi="Times New Roman"/>
          <w:sz w:val="28"/>
          <w:szCs w:val="28"/>
          <w:lang w:eastAsia="ru-RU"/>
        </w:rPr>
        <w:t>ы</w:t>
      </w:r>
      <w:r w:rsidRPr="00577593">
        <w:rPr>
          <w:rFonts w:ascii="Times New Roman" w:eastAsia="Times New Roman" w:hAnsi="Times New Roman"/>
          <w:sz w:val="28"/>
          <w:szCs w:val="28"/>
          <w:lang w:eastAsia="ru-RU"/>
        </w:rPr>
        <w:t xml:space="preserve"> уличное освещение, камеры видеонаблюдения, скамейки, детская площадка, урны, </w:t>
      </w:r>
      <w:r w:rsidR="007F602F">
        <w:rPr>
          <w:rFonts w:ascii="Times New Roman" w:eastAsia="Times New Roman" w:hAnsi="Times New Roman"/>
          <w:sz w:val="28"/>
          <w:szCs w:val="28"/>
          <w:lang w:eastAsia="ru-RU"/>
        </w:rPr>
        <w:t>осуществлено</w:t>
      </w:r>
      <w:r w:rsidRPr="00577593">
        <w:rPr>
          <w:rFonts w:ascii="Times New Roman" w:eastAsia="Times New Roman" w:hAnsi="Times New Roman"/>
          <w:sz w:val="28"/>
          <w:szCs w:val="28"/>
          <w:lang w:eastAsia="ru-RU"/>
        </w:rPr>
        <w:t xml:space="preserve"> озеленение территории.  </w:t>
      </w:r>
    </w:p>
    <w:p w:rsidR="00FC41F4" w:rsidRPr="00577593" w:rsidRDefault="008925FA" w:rsidP="002000D4">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Для продвижения туристских продуктов города и развития туристского потенциала в 2022 году создан туристический портал города Барнаула (далее </w:t>
      </w:r>
      <w:r w:rsidR="00A518B7" w:rsidRPr="00577593">
        <w:rPr>
          <w:rFonts w:ascii="Times New Roman" w:hAnsi="Times New Roman"/>
          <w:sz w:val="28"/>
          <w:szCs w:val="28"/>
        </w:rPr>
        <w:t>–</w:t>
      </w:r>
      <w:r w:rsidRPr="00577593">
        <w:rPr>
          <w:rFonts w:ascii="Times New Roman" w:hAnsi="Times New Roman"/>
          <w:sz w:val="28"/>
          <w:szCs w:val="28"/>
        </w:rPr>
        <w:t xml:space="preserve"> портал). На портале размещена информация о туристических объектах города, а также предусмотрен сервис «Карта гостя». С ее помощью туристы и жители </w:t>
      </w:r>
      <w:r w:rsidR="00BD2F0A">
        <w:rPr>
          <w:rFonts w:ascii="Times New Roman" w:hAnsi="Times New Roman"/>
          <w:sz w:val="28"/>
          <w:szCs w:val="28"/>
        </w:rPr>
        <w:t xml:space="preserve">города </w:t>
      </w:r>
      <w:r w:rsidRPr="00577593">
        <w:rPr>
          <w:rFonts w:ascii="Times New Roman" w:hAnsi="Times New Roman"/>
          <w:sz w:val="28"/>
          <w:szCs w:val="28"/>
        </w:rPr>
        <w:t>могут получить скидку или другой бонус у организаций-участников проекта. Функционал портала постоянно расширяется: в нем появляются новые разделы с возможностью прослушивания аудиоэкскурсий, добавляются новые пешеходные маршруты, обновляется дайджест городских событий, дополняется информация об организациях-участниках сервиса «Карта гостя». </w:t>
      </w:r>
    </w:p>
    <w:p w:rsidR="00FC41F4" w:rsidRPr="00577593" w:rsidRDefault="008925FA" w:rsidP="002000D4">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В 2024 году </w:t>
      </w:r>
      <w:r w:rsidR="00BD2F0A">
        <w:rPr>
          <w:rFonts w:ascii="Times New Roman" w:hAnsi="Times New Roman"/>
          <w:sz w:val="28"/>
          <w:szCs w:val="28"/>
        </w:rPr>
        <w:t xml:space="preserve">город </w:t>
      </w:r>
      <w:r w:rsidRPr="00577593">
        <w:rPr>
          <w:rFonts w:ascii="Times New Roman" w:hAnsi="Times New Roman"/>
          <w:sz w:val="28"/>
          <w:szCs w:val="28"/>
        </w:rPr>
        <w:t xml:space="preserve">стал участником национального проекта «Туризм и индустрия гостеприимства». По результатам конкурсного отбора </w:t>
      </w:r>
      <w:r w:rsidR="007F602F">
        <w:rPr>
          <w:rFonts w:ascii="Times New Roman" w:hAnsi="Times New Roman"/>
          <w:sz w:val="28"/>
          <w:szCs w:val="28"/>
        </w:rPr>
        <w:t xml:space="preserve">данный </w:t>
      </w:r>
      <w:r w:rsidRPr="00577593">
        <w:rPr>
          <w:rFonts w:ascii="Times New Roman" w:hAnsi="Times New Roman"/>
          <w:sz w:val="28"/>
          <w:szCs w:val="28"/>
        </w:rPr>
        <w:t>проект стал победителем на получение региональной субсидии на развитие общественных территорий в соответствии с проектом туристского кода центра города.</w:t>
      </w:r>
    </w:p>
    <w:p w:rsidR="00FC41F4" w:rsidRPr="00577593" w:rsidRDefault="008925FA" w:rsidP="002000D4">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Всего было реализовано 13 мероприятий по благоустройству исторической части </w:t>
      </w:r>
      <w:r w:rsidR="00A518B7" w:rsidRPr="00577593">
        <w:rPr>
          <w:rFonts w:ascii="Times New Roman" w:hAnsi="Times New Roman"/>
          <w:sz w:val="28"/>
          <w:szCs w:val="28"/>
        </w:rPr>
        <w:t>–</w:t>
      </w:r>
      <w:r w:rsidRPr="00577593">
        <w:rPr>
          <w:rFonts w:ascii="Times New Roman" w:hAnsi="Times New Roman"/>
          <w:sz w:val="28"/>
          <w:szCs w:val="28"/>
        </w:rPr>
        <w:t xml:space="preserve"> установлен макет исторической части города 60-х годов XIX века, фотозона, велопарковка, арт-объект «Купец», антипарковочные болларды, интерактивные стенды, ярмарочные павильоны, туристская навигация, воссоздана историческая беседка, сформирован экскурсионный маршрут.   </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С целью создания положительного образа города Барнаул регулярно принимает участие в международных туристических форумах и выставках. Ежегодно город участвует в Международной туристической выставке «Интурмаркет» и в международном туристском форуме «VISIT ALTAI». Также город стал участником «Всероссийской туристской премии «Маршрут года» 2023» и XII Международной премии в области событийного туризма RUSSIAN EVENT AWARDS 2023, по итогам которой был награжден дипломами финалиста в трех номинациях. </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Перспективы развития туризма в </w:t>
      </w:r>
      <w:r w:rsidR="00BD2F0A">
        <w:rPr>
          <w:rFonts w:ascii="Times New Roman" w:hAnsi="Times New Roman"/>
          <w:sz w:val="28"/>
          <w:szCs w:val="28"/>
        </w:rPr>
        <w:t xml:space="preserve">городе </w:t>
      </w:r>
      <w:r w:rsidRPr="00577593">
        <w:rPr>
          <w:rFonts w:ascii="Times New Roman" w:hAnsi="Times New Roman"/>
          <w:sz w:val="28"/>
          <w:szCs w:val="28"/>
        </w:rPr>
        <w:t>Барнауле связаны с комплексным подходом, включающим муниципально-частное партнерство, участие в федеральных программах и международных выставках, способствующих повышению узнаваемости города как туристического направления, а также успешная реализация проектов муниципальных программ. Эти меры призваны укрепить позиции</w:t>
      </w:r>
      <w:r w:rsidR="00BD2F0A">
        <w:rPr>
          <w:rFonts w:ascii="Times New Roman" w:hAnsi="Times New Roman"/>
          <w:sz w:val="28"/>
          <w:szCs w:val="28"/>
        </w:rPr>
        <w:t xml:space="preserve"> города </w:t>
      </w:r>
      <w:r w:rsidRPr="00577593">
        <w:rPr>
          <w:rFonts w:ascii="Times New Roman" w:hAnsi="Times New Roman"/>
          <w:sz w:val="28"/>
          <w:szCs w:val="28"/>
        </w:rPr>
        <w:t>Барнаула как одного из ключевых туристических центров Сибири.  </w:t>
      </w:r>
    </w:p>
    <w:p w:rsidR="009B1937"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Вместе с тем, несмотря на значительную работу по развитию исторической части города и ориентацию на культурно-познавательный </w:t>
      </w:r>
      <w:r w:rsidRPr="00577593">
        <w:rPr>
          <w:rFonts w:ascii="Times New Roman" w:hAnsi="Times New Roman"/>
          <w:sz w:val="28"/>
          <w:szCs w:val="28"/>
        </w:rPr>
        <w:lastRenderedPageBreak/>
        <w:t xml:space="preserve">туризм, </w:t>
      </w:r>
      <w:r w:rsidR="00BD2F0A">
        <w:rPr>
          <w:rFonts w:ascii="Times New Roman" w:hAnsi="Times New Roman"/>
          <w:sz w:val="28"/>
          <w:szCs w:val="28"/>
        </w:rPr>
        <w:t xml:space="preserve">город </w:t>
      </w:r>
      <w:r w:rsidRPr="00577593">
        <w:rPr>
          <w:rFonts w:ascii="Times New Roman" w:hAnsi="Times New Roman"/>
          <w:sz w:val="28"/>
          <w:szCs w:val="28"/>
        </w:rPr>
        <w:t xml:space="preserve">обладает необходимыми ресурсами для расширения оздоровительного и природно-экологического направления. Уникальный сосновый ленточный бор, являющийся природным достоянием региона, а также близость к реке Обь с ее неосвоенным правым берегом создают богатый потенциал для организации экологического туризма, активного отдыха и рекреационных зон. Это направление способно стать важным дополнением к существующим программам, укрепляя позиции </w:t>
      </w:r>
      <w:r w:rsidR="00BD2F0A">
        <w:rPr>
          <w:rFonts w:ascii="Times New Roman" w:hAnsi="Times New Roman"/>
          <w:sz w:val="28"/>
          <w:szCs w:val="28"/>
        </w:rPr>
        <w:t xml:space="preserve">города </w:t>
      </w:r>
      <w:r w:rsidRPr="00577593">
        <w:rPr>
          <w:rFonts w:ascii="Times New Roman" w:hAnsi="Times New Roman"/>
          <w:sz w:val="28"/>
          <w:szCs w:val="28"/>
        </w:rPr>
        <w:t>Барнаула как многопрофильного туристического центра. </w:t>
      </w:r>
    </w:p>
    <w:p w:rsidR="00FC41F4" w:rsidRPr="00577593" w:rsidRDefault="000D3F7A" w:rsidP="002000D4">
      <w:pPr>
        <w:spacing w:after="0" w:line="240" w:lineRule="auto"/>
        <w:jc w:val="center"/>
        <w:rPr>
          <w:rFonts w:ascii="Times New Roman" w:hAnsi="Times New Roman"/>
          <w:sz w:val="24"/>
          <w:szCs w:val="24"/>
        </w:rPr>
      </w:pPr>
      <w:r w:rsidRPr="00577593">
        <w:rPr>
          <w:rFonts w:ascii="Times New Roman" w:hAnsi="Times New Roman"/>
          <w:noProof/>
          <w:sz w:val="28"/>
          <w:szCs w:val="28"/>
          <w:lang w:eastAsia="ru-RU"/>
        </w:rPr>
        <w:drawing>
          <wp:inline distT="0" distB="0" distL="0" distR="0">
            <wp:extent cx="5750301" cy="6121400"/>
            <wp:effectExtent l="0" t="0" r="0" b="0"/>
            <wp:docPr id="37" name="Picture 934639004" descr="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4639004" descr="Рисунок"/>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53967" cy="6125303"/>
                    </a:xfrm>
                    <a:prstGeom prst="rect">
                      <a:avLst/>
                    </a:prstGeom>
                    <a:noFill/>
                    <a:ln>
                      <a:noFill/>
                    </a:ln>
                  </pic:spPr>
                </pic:pic>
              </a:graphicData>
            </a:graphic>
          </wp:inline>
        </w:drawing>
      </w:r>
    </w:p>
    <w:p w:rsidR="00FC41F4" w:rsidRDefault="008925FA" w:rsidP="00B47E22">
      <w:pPr>
        <w:pStyle w:val="paragraph"/>
        <w:spacing w:before="0" w:beforeAutospacing="0" w:after="0" w:afterAutospacing="0"/>
        <w:jc w:val="center"/>
      </w:pPr>
      <w:bookmarkStart w:id="117" w:name="_Ref199446168"/>
      <w:r w:rsidRPr="00577593">
        <w:rPr>
          <w:sz w:val="28"/>
          <w:szCs w:val="28"/>
        </w:rPr>
        <w:t xml:space="preserve">Рисунок </w:t>
      </w:r>
      <w:r w:rsidR="00A65319">
        <w:rPr>
          <w:sz w:val="28"/>
          <w:szCs w:val="28"/>
        </w:rPr>
        <w:t>37</w:t>
      </w:r>
      <w:bookmarkEnd w:id="117"/>
      <w:r w:rsidRPr="00577593">
        <w:rPr>
          <w:sz w:val="28"/>
          <w:szCs w:val="28"/>
        </w:rPr>
        <w:t xml:space="preserve"> </w:t>
      </w:r>
      <w:r w:rsidR="00A518B7" w:rsidRPr="00577593">
        <w:rPr>
          <w:sz w:val="28"/>
          <w:szCs w:val="28"/>
        </w:rPr>
        <w:t>–</w:t>
      </w:r>
      <w:r w:rsidRPr="00577593">
        <w:rPr>
          <w:sz w:val="28"/>
          <w:szCs w:val="28"/>
        </w:rPr>
        <w:t xml:space="preserve"> </w:t>
      </w:r>
      <w:r w:rsidRPr="00577593">
        <w:rPr>
          <w:rStyle w:val="normaltextrun"/>
          <w:sz w:val="28"/>
          <w:szCs w:val="28"/>
        </w:rPr>
        <w:t xml:space="preserve">Схема плотности распределения </w:t>
      </w:r>
      <w:r w:rsidRPr="00577593">
        <w:rPr>
          <w:sz w:val="28"/>
          <w:szCs w:val="28"/>
        </w:rPr>
        <w:t>объектов культурного наследия</w:t>
      </w:r>
      <w:r w:rsidRPr="00577593">
        <w:t> </w:t>
      </w:r>
    </w:p>
    <w:p w:rsidR="00B47E22" w:rsidRPr="00577593" w:rsidRDefault="00B47E22" w:rsidP="00B47E22">
      <w:pPr>
        <w:spacing w:after="0" w:line="240" w:lineRule="auto"/>
        <w:rPr>
          <w:rFonts w:ascii="Times New Roman" w:hAnsi="Times New Roman"/>
          <w:i/>
          <w:sz w:val="28"/>
          <w:szCs w:val="28"/>
        </w:rPr>
      </w:pPr>
      <w:r w:rsidRPr="00577593">
        <w:rPr>
          <w:rFonts w:ascii="Times New Roman" w:hAnsi="Times New Roman"/>
          <w:sz w:val="28"/>
          <w:szCs w:val="28"/>
        </w:rPr>
        <w:t>Примечание – Источник: по данным открытых источников</w:t>
      </w:r>
    </w:p>
    <w:p w:rsidR="00B47E22" w:rsidRPr="00577593" w:rsidRDefault="00B47E22" w:rsidP="002000D4">
      <w:pPr>
        <w:pStyle w:val="paragraph"/>
        <w:spacing w:before="0" w:beforeAutospacing="0" w:after="200" w:afterAutospacing="0"/>
        <w:jc w:val="center"/>
      </w:pPr>
    </w:p>
    <w:p w:rsidR="00D40618" w:rsidRPr="00577593" w:rsidRDefault="000D3F7A" w:rsidP="002000D4">
      <w:pPr>
        <w:spacing w:after="0" w:line="240" w:lineRule="auto"/>
        <w:rPr>
          <w:rFonts w:ascii="Times New Roman" w:hAnsi="Times New Roman"/>
          <w:sz w:val="24"/>
          <w:szCs w:val="24"/>
          <w:lang w:val="en-US"/>
        </w:rPr>
      </w:pPr>
      <w:r w:rsidRPr="00577593">
        <w:rPr>
          <w:rFonts w:ascii="Times New Roman" w:hAnsi="Times New Roman"/>
          <w:noProof/>
          <w:sz w:val="24"/>
          <w:szCs w:val="24"/>
          <w:lang w:eastAsia="ru-RU"/>
        </w:rPr>
        <w:lastRenderedPageBreak/>
        <w:drawing>
          <wp:inline distT="0" distB="0" distL="0" distR="0">
            <wp:extent cx="5406668" cy="5257800"/>
            <wp:effectExtent l="0" t="0" r="0" b="0"/>
            <wp:docPr id="38" name="Рисунок 38" desc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s"/>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09680" cy="5260729"/>
                    </a:xfrm>
                    <a:prstGeom prst="rect">
                      <a:avLst/>
                    </a:prstGeom>
                    <a:noFill/>
                    <a:ln>
                      <a:noFill/>
                    </a:ln>
                  </pic:spPr>
                </pic:pic>
              </a:graphicData>
            </a:graphic>
          </wp:inline>
        </w:drawing>
      </w:r>
    </w:p>
    <w:p w:rsidR="00FC41F4" w:rsidRDefault="008925FA" w:rsidP="00B47E22">
      <w:pPr>
        <w:pStyle w:val="paragraph"/>
        <w:spacing w:before="0" w:beforeAutospacing="0" w:after="0" w:afterAutospacing="0"/>
        <w:jc w:val="center"/>
        <w:rPr>
          <w:sz w:val="28"/>
          <w:szCs w:val="28"/>
        </w:rPr>
      </w:pPr>
      <w:bookmarkStart w:id="118" w:name="_Ref199446170"/>
      <w:r w:rsidRPr="00577593">
        <w:rPr>
          <w:sz w:val="28"/>
          <w:szCs w:val="28"/>
        </w:rPr>
        <w:t xml:space="preserve">Рисунок </w:t>
      </w:r>
      <w:r w:rsidR="00A65319">
        <w:rPr>
          <w:sz w:val="28"/>
          <w:szCs w:val="28"/>
        </w:rPr>
        <w:t>38</w:t>
      </w:r>
      <w:bookmarkEnd w:id="118"/>
      <w:r w:rsidRPr="00577593">
        <w:rPr>
          <w:sz w:val="28"/>
          <w:szCs w:val="28"/>
        </w:rPr>
        <w:t xml:space="preserve"> </w:t>
      </w:r>
      <w:r w:rsidR="00A518B7" w:rsidRPr="00577593">
        <w:rPr>
          <w:sz w:val="28"/>
          <w:szCs w:val="28"/>
        </w:rPr>
        <w:t>–</w:t>
      </w:r>
      <w:r w:rsidRPr="00577593">
        <w:rPr>
          <w:sz w:val="28"/>
          <w:szCs w:val="28"/>
        </w:rPr>
        <w:t xml:space="preserve"> Схема расположения туристических аттракторов</w:t>
      </w:r>
    </w:p>
    <w:p w:rsidR="00B47E22" w:rsidRPr="00577593" w:rsidRDefault="00B47E22" w:rsidP="00B47E22">
      <w:pPr>
        <w:spacing w:after="0" w:line="240" w:lineRule="auto"/>
        <w:rPr>
          <w:rFonts w:ascii="Times New Roman" w:hAnsi="Times New Roman"/>
          <w:i/>
          <w:sz w:val="28"/>
          <w:szCs w:val="28"/>
        </w:rPr>
      </w:pPr>
      <w:r w:rsidRPr="00577593">
        <w:rPr>
          <w:rFonts w:ascii="Times New Roman" w:hAnsi="Times New Roman"/>
          <w:sz w:val="28"/>
          <w:szCs w:val="28"/>
        </w:rPr>
        <w:t>Примечание – Источник: по данным открытых источников.</w:t>
      </w:r>
    </w:p>
    <w:p w:rsidR="00B47E22" w:rsidRPr="00577593" w:rsidRDefault="00B47E22" w:rsidP="007F602F">
      <w:pPr>
        <w:pStyle w:val="paragraph"/>
        <w:spacing w:before="0" w:beforeAutospacing="0" w:after="0" w:afterAutospacing="0"/>
        <w:jc w:val="center"/>
        <w:rPr>
          <w:sz w:val="28"/>
          <w:szCs w:val="28"/>
        </w:rPr>
      </w:pPr>
    </w:p>
    <w:p w:rsidR="00FC41F4" w:rsidRPr="00577593" w:rsidRDefault="008925FA" w:rsidP="007F602F">
      <w:pPr>
        <w:spacing w:after="0" w:line="240" w:lineRule="auto"/>
        <w:ind w:firstLine="709"/>
        <w:jc w:val="both"/>
        <w:rPr>
          <w:rFonts w:ascii="Times New Roman" w:hAnsi="Times New Roman"/>
          <w:sz w:val="28"/>
          <w:szCs w:val="28"/>
        </w:rPr>
      </w:pPr>
      <w:r w:rsidRPr="00577593">
        <w:rPr>
          <w:rFonts w:ascii="Times New Roman" w:hAnsi="Times New Roman"/>
          <w:sz w:val="28"/>
          <w:szCs w:val="28"/>
        </w:rPr>
        <w:t>Ключевые проблемы развития туризма:</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конкуренция с Республикой Алтай;</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неравномерное развитие туристических направлений. Акцент на культурно-познавательном туризме, нереализованные планы по развитию делового, оздоровительного направлений;</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недостаточно развитая инфраструктура для природного туризма;</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низкий уровень зарплат в отрасли;</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rPr>
        <w:t>дефицит квалифицированных кадров</w:t>
      </w:r>
      <w:r w:rsidRPr="00577593">
        <w:rPr>
          <w:rFonts w:ascii="Times New Roman" w:eastAsia="Times New Roman" w:hAnsi="Times New Roman"/>
          <w:sz w:val="28"/>
          <w:szCs w:val="28"/>
          <w:lang w:eastAsia="ru-RU"/>
        </w:rPr>
        <w:t>;</w:t>
      </w:r>
    </w:p>
    <w:p w:rsidR="00FC41F4"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высокая зависимость от федераль</w:t>
      </w:r>
      <w:r w:rsidR="00C00493" w:rsidRPr="00577593">
        <w:rPr>
          <w:rFonts w:ascii="Times New Roman" w:eastAsia="Times New Roman" w:hAnsi="Times New Roman"/>
          <w:sz w:val="28"/>
          <w:szCs w:val="28"/>
          <w:lang w:eastAsia="ru-RU"/>
        </w:rPr>
        <w:t>ных программ и разовых проектов.</w:t>
      </w:r>
    </w:p>
    <w:p w:rsidR="005B68BD" w:rsidRPr="00577593" w:rsidRDefault="005B68BD" w:rsidP="005B68BD">
      <w:pPr>
        <w:pStyle w:val="af5"/>
        <w:tabs>
          <w:tab w:val="left" w:pos="993"/>
        </w:tabs>
        <w:spacing w:after="0" w:line="240" w:lineRule="auto"/>
        <w:ind w:left="709"/>
        <w:jc w:val="both"/>
        <w:rPr>
          <w:rFonts w:ascii="Times New Roman" w:eastAsia="Times New Roman" w:hAnsi="Times New Roman"/>
          <w:sz w:val="28"/>
          <w:szCs w:val="28"/>
          <w:lang w:eastAsia="ru-RU"/>
        </w:rPr>
      </w:pPr>
    </w:p>
    <w:p w:rsidR="00FC41F4" w:rsidRPr="00577593" w:rsidRDefault="008925FA" w:rsidP="002000D4">
      <w:pPr>
        <w:pStyle w:val="3"/>
        <w:spacing w:before="0" w:line="240" w:lineRule="auto"/>
        <w:ind w:firstLine="709"/>
        <w:rPr>
          <w:rFonts w:ascii="Times New Roman" w:hAnsi="Times New Roman"/>
          <w:b/>
          <w:color w:val="auto"/>
          <w:sz w:val="28"/>
          <w:szCs w:val="28"/>
        </w:rPr>
      </w:pPr>
      <w:bookmarkStart w:id="119" w:name="_Toc2103591809"/>
      <w:bookmarkStart w:id="120" w:name="_Toc212804275"/>
      <w:r w:rsidRPr="00577593">
        <w:rPr>
          <w:rFonts w:ascii="Times New Roman" w:hAnsi="Times New Roman"/>
          <w:b/>
          <w:color w:val="auto"/>
          <w:sz w:val="28"/>
          <w:szCs w:val="28"/>
        </w:rPr>
        <w:t>2.6</w:t>
      </w:r>
      <w:r w:rsidR="00BD2F0A">
        <w:rPr>
          <w:rFonts w:ascii="Times New Roman" w:hAnsi="Times New Roman"/>
          <w:b/>
          <w:color w:val="auto"/>
          <w:sz w:val="28"/>
          <w:szCs w:val="28"/>
        </w:rPr>
        <w:t>.</w:t>
      </w:r>
      <w:r w:rsidRPr="00577593">
        <w:rPr>
          <w:rFonts w:ascii="Times New Roman" w:hAnsi="Times New Roman"/>
          <w:b/>
          <w:color w:val="auto"/>
          <w:sz w:val="28"/>
          <w:szCs w:val="28"/>
        </w:rPr>
        <w:t xml:space="preserve"> Научно-инновационная инфраструктура</w:t>
      </w:r>
      <w:bookmarkEnd w:id="119"/>
      <w:bookmarkEnd w:id="120"/>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Уровень инновационной активности организаций Алтайского края составил в 2023 году 14,9% (в среднем по России </w:t>
      </w:r>
      <w:r w:rsidR="00A518B7" w:rsidRPr="00577593">
        <w:rPr>
          <w:rFonts w:ascii="Times New Roman" w:hAnsi="Times New Roman"/>
          <w:sz w:val="28"/>
          <w:szCs w:val="28"/>
        </w:rPr>
        <w:t>–</w:t>
      </w:r>
      <w:r w:rsidRPr="00577593">
        <w:rPr>
          <w:rFonts w:ascii="Times New Roman" w:hAnsi="Times New Roman"/>
          <w:sz w:val="28"/>
          <w:szCs w:val="28"/>
        </w:rPr>
        <w:t xml:space="preserve"> 11,3%). Главным драйвером роста доли компаний, разрабатывающих и внедряющих инновации, стала инновационная активность в обрабатывающих отраслях: </w:t>
      </w:r>
      <w:r w:rsidRPr="00577593">
        <w:rPr>
          <w:rFonts w:ascii="Times New Roman" w:hAnsi="Times New Roman"/>
          <w:sz w:val="28"/>
          <w:szCs w:val="28"/>
        </w:rPr>
        <w:lastRenderedPageBreak/>
        <w:t xml:space="preserve">71,6% всей инновационной продукции пришлось на промышленные предприятия. При этом удельный вес инновационных товаров, работ, услуг в общем объеме отгруженных товаров, выполненных работ, услуг </w:t>
      </w:r>
      <w:r w:rsidR="00BD2F0A">
        <w:rPr>
          <w:rFonts w:ascii="Times New Roman" w:hAnsi="Times New Roman"/>
          <w:sz w:val="28"/>
          <w:szCs w:val="28"/>
        </w:rPr>
        <w:br/>
      </w:r>
      <w:r w:rsidRPr="00577593">
        <w:rPr>
          <w:rFonts w:ascii="Times New Roman" w:hAnsi="Times New Roman"/>
          <w:sz w:val="28"/>
          <w:szCs w:val="28"/>
        </w:rPr>
        <w:t xml:space="preserve">в Алтайском крае составил в 2023 году 1,8% (в среднем по России </w:t>
      </w:r>
      <w:r w:rsidR="00A518B7" w:rsidRPr="00577593">
        <w:rPr>
          <w:rFonts w:ascii="Times New Roman" w:hAnsi="Times New Roman"/>
          <w:sz w:val="28"/>
          <w:szCs w:val="28"/>
        </w:rPr>
        <w:t>–</w:t>
      </w:r>
      <w:r w:rsidRPr="00577593">
        <w:rPr>
          <w:rFonts w:ascii="Times New Roman" w:hAnsi="Times New Roman"/>
          <w:sz w:val="28"/>
          <w:szCs w:val="28"/>
        </w:rPr>
        <w:t xml:space="preserve"> 6%). Удельный вес организаций, осуществлявших технологические инновации, </w:t>
      </w:r>
      <w:r w:rsidR="00BD2F0A">
        <w:rPr>
          <w:rFonts w:ascii="Times New Roman" w:hAnsi="Times New Roman"/>
          <w:sz w:val="28"/>
          <w:szCs w:val="28"/>
        </w:rPr>
        <w:br/>
      </w:r>
      <w:r w:rsidRPr="00577593">
        <w:rPr>
          <w:rFonts w:ascii="Times New Roman" w:hAnsi="Times New Roman"/>
          <w:sz w:val="28"/>
          <w:szCs w:val="28"/>
        </w:rPr>
        <w:t xml:space="preserve">в общем числе обследованных организаций в Алтайском крае составил </w:t>
      </w:r>
      <w:r w:rsidR="00BD2F0A">
        <w:rPr>
          <w:rFonts w:ascii="Times New Roman" w:hAnsi="Times New Roman"/>
          <w:sz w:val="28"/>
          <w:szCs w:val="28"/>
        </w:rPr>
        <w:br/>
      </w:r>
      <w:r w:rsidRPr="00577593">
        <w:rPr>
          <w:rFonts w:ascii="Times New Roman" w:hAnsi="Times New Roman"/>
          <w:sz w:val="28"/>
          <w:szCs w:val="28"/>
        </w:rPr>
        <w:t xml:space="preserve">в 2023 году 19,9% (в среднем по России </w:t>
      </w:r>
      <w:r w:rsidR="00A518B7" w:rsidRPr="00577593">
        <w:rPr>
          <w:rFonts w:ascii="Times New Roman" w:hAnsi="Times New Roman"/>
          <w:sz w:val="28"/>
          <w:szCs w:val="28"/>
        </w:rPr>
        <w:t>–</w:t>
      </w:r>
      <w:r w:rsidRPr="00577593">
        <w:rPr>
          <w:rFonts w:ascii="Times New Roman" w:hAnsi="Times New Roman"/>
          <w:sz w:val="28"/>
          <w:szCs w:val="28"/>
        </w:rPr>
        <w:t xml:space="preserve"> 22,7%). В Рейтинге инновационного развития субъектов РФ ИСИЭЗ ВШЭ 2024 года Алтайский край занял 53</w:t>
      </w:r>
      <w:r w:rsidRPr="00577593">
        <w:rPr>
          <w:rFonts w:ascii="Times New Roman" w:hAnsi="Times New Roman"/>
          <w:sz w:val="28"/>
          <w:szCs w:val="28"/>
        </w:rPr>
        <w:noBreakHyphen/>
        <w:t>е место, значительно уступая Новосибирской области (5-е место), Томской области (7-е место), Омской области (17-е место).</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Научно-инновационная инфраструктура </w:t>
      </w:r>
      <w:r w:rsidR="00C7041A">
        <w:rPr>
          <w:rFonts w:ascii="Times New Roman" w:hAnsi="Times New Roman"/>
          <w:sz w:val="28"/>
          <w:szCs w:val="28"/>
        </w:rPr>
        <w:t xml:space="preserve">города </w:t>
      </w:r>
      <w:r w:rsidRPr="00577593">
        <w:rPr>
          <w:rFonts w:ascii="Times New Roman" w:hAnsi="Times New Roman"/>
          <w:sz w:val="28"/>
          <w:szCs w:val="28"/>
        </w:rPr>
        <w:t>Барнаула включает объекты федерального и краевого значения:</w:t>
      </w:r>
    </w:p>
    <w:p w:rsidR="00FC41F4" w:rsidRPr="00577593" w:rsidRDefault="008925FA" w:rsidP="002000D4">
      <w:pPr>
        <w:pStyle w:val="af5"/>
        <w:numPr>
          <w:ilvl w:val="1"/>
          <w:numId w:val="4"/>
        </w:numPr>
        <w:tabs>
          <w:tab w:val="left" w:pos="993"/>
        </w:tabs>
        <w:spacing w:after="0" w:line="240" w:lineRule="auto"/>
        <w:ind w:left="0" w:firstLine="709"/>
        <w:jc w:val="both"/>
        <w:rPr>
          <w:rFonts w:ascii="Times New Roman" w:hAnsi="Times New Roman"/>
          <w:sz w:val="28"/>
          <w:szCs w:val="28"/>
        </w:rPr>
      </w:pPr>
      <w:r w:rsidRPr="00577593">
        <w:rPr>
          <w:rFonts w:ascii="Times New Roman" w:hAnsi="Times New Roman"/>
          <w:sz w:val="28"/>
          <w:szCs w:val="28"/>
        </w:rPr>
        <w:t>ФГБНУ «Федеральный Алтайский научный центр агробиотехнологий». Центр выполняет фундаментальные научные исследования по направлениям: Земледелие; Растениеводство; Защита растений; Зоотехния; Ветеринарная медицина; Механизация, электрификация и автоматизация; Хранение и переработка сельскохозяйственной продукции.</w:t>
      </w:r>
    </w:p>
    <w:p w:rsidR="00FC41F4" w:rsidRPr="00577593" w:rsidRDefault="008925FA" w:rsidP="002000D4">
      <w:pPr>
        <w:pStyle w:val="af5"/>
        <w:numPr>
          <w:ilvl w:val="1"/>
          <w:numId w:val="4"/>
        </w:numPr>
        <w:tabs>
          <w:tab w:val="left" w:pos="993"/>
        </w:tabs>
        <w:spacing w:after="0" w:line="240" w:lineRule="auto"/>
        <w:ind w:left="0" w:firstLine="709"/>
        <w:jc w:val="both"/>
        <w:rPr>
          <w:rFonts w:ascii="Times New Roman" w:hAnsi="Times New Roman"/>
          <w:sz w:val="28"/>
          <w:szCs w:val="28"/>
        </w:rPr>
      </w:pPr>
      <w:r w:rsidRPr="00577593">
        <w:rPr>
          <w:rFonts w:ascii="Times New Roman" w:hAnsi="Times New Roman"/>
          <w:sz w:val="28"/>
          <w:szCs w:val="28"/>
        </w:rPr>
        <w:t>Ряд центров и лабораторий на базе образовательных организаций высшего образования:</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 xml:space="preserve">Инжиниринговый центр «ХимБиоМаш» АлтГТУ </w:t>
      </w:r>
      <w:r w:rsidR="0020784E" w:rsidRPr="00577593">
        <w:rPr>
          <w:rFonts w:ascii="Times New Roman" w:eastAsia="Times New Roman" w:hAnsi="Times New Roman"/>
          <w:sz w:val="28"/>
          <w:szCs w:val="28"/>
          <w:lang w:eastAsia="ru-RU"/>
        </w:rPr>
        <w:br/>
      </w:r>
      <w:r w:rsidRPr="00577593">
        <w:rPr>
          <w:rFonts w:ascii="Times New Roman" w:eastAsia="Times New Roman" w:hAnsi="Times New Roman"/>
          <w:sz w:val="28"/>
          <w:szCs w:val="28"/>
          <w:lang w:eastAsia="ru-RU"/>
        </w:rPr>
        <w:t>им. И.И. Ползунова;</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 xml:space="preserve">Научно-производственная калибровочная лаборатория измерительных систем и приборов «АлтайПриборСервис» АлтГТУ </w:t>
      </w:r>
      <w:r w:rsidR="0020784E" w:rsidRPr="00577593">
        <w:rPr>
          <w:rFonts w:ascii="Times New Roman" w:eastAsia="Times New Roman" w:hAnsi="Times New Roman"/>
          <w:sz w:val="28"/>
          <w:szCs w:val="28"/>
          <w:lang w:eastAsia="ru-RU"/>
        </w:rPr>
        <w:br/>
      </w:r>
      <w:r w:rsidRPr="00577593">
        <w:rPr>
          <w:rFonts w:ascii="Times New Roman" w:eastAsia="Times New Roman" w:hAnsi="Times New Roman"/>
          <w:sz w:val="28"/>
          <w:szCs w:val="28"/>
          <w:lang w:eastAsia="ru-RU"/>
        </w:rPr>
        <w:t>им. И.И. Ползунова;</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 xml:space="preserve">Центр коллективного пользования лабораторно-исследовательским оборудованием Факультета специальных технологий АлтГТУ </w:t>
      </w:r>
      <w:r w:rsidR="0020784E" w:rsidRPr="00577593">
        <w:rPr>
          <w:rFonts w:ascii="Times New Roman" w:eastAsia="Times New Roman" w:hAnsi="Times New Roman"/>
          <w:sz w:val="28"/>
          <w:szCs w:val="28"/>
          <w:lang w:eastAsia="ru-RU"/>
        </w:rPr>
        <w:br/>
      </w:r>
      <w:r w:rsidRPr="00577593">
        <w:rPr>
          <w:rFonts w:ascii="Times New Roman" w:eastAsia="Times New Roman" w:hAnsi="Times New Roman"/>
          <w:sz w:val="28"/>
          <w:szCs w:val="28"/>
          <w:lang w:eastAsia="ru-RU"/>
        </w:rPr>
        <w:t>им. И.И. Ползунова;</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Лаборатория по оценке свойств дорожно-строительных материалов на базе АлтГТУ им. И.И. Ползунова;</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Центры коллективного пользования на базе АлтГУ: «Биологическая медицина и биотехнология», «Материаловедение», «Геоэкологический мониторинг», «Информационные технологии и высокопроизводительные вычисления»;</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Центр медико-биологических исследований АГМУ.</w:t>
      </w:r>
    </w:p>
    <w:p w:rsidR="00FC41F4" w:rsidRPr="00577593" w:rsidRDefault="008925FA" w:rsidP="002000D4">
      <w:pPr>
        <w:pStyle w:val="af5"/>
        <w:numPr>
          <w:ilvl w:val="1"/>
          <w:numId w:val="4"/>
        </w:numPr>
        <w:tabs>
          <w:tab w:val="left" w:pos="993"/>
        </w:tabs>
        <w:spacing w:after="0" w:line="240" w:lineRule="auto"/>
        <w:ind w:left="0" w:firstLine="709"/>
        <w:jc w:val="both"/>
        <w:rPr>
          <w:rFonts w:ascii="Times New Roman" w:hAnsi="Times New Roman"/>
          <w:sz w:val="28"/>
          <w:szCs w:val="28"/>
        </w:rPr>
      </w:pPr>
      <w:r w:rsidRPr="00577593">
        <w:rPr>
          <w:rFonts w:ascii="Times New Roman" w:hAnsi="Times New Roman"/>
          <w:sz w:val="28"/>
          <w:szCs w:val="28"/>
        </w:rPr>
        <w:t>Центр коллективного пользования распределенного типа «Металлоцентр».</w:t>
      </w:r>
    </w:p>
    <w:p w:rsidR="00FC41F4" w:rsidRPr="00577593" w:rsidRDefault="008925FA" w:rsidP="002000D4">
      <w:pPr>
        <w:pStyle w:val="af5"/>
        <w:numPr>
          <w:ilvl w:val="1"/>
          <w:numId w:val="4"/>
        </w:numPr>
        <w:tabs>
          <w:tab w:val="left" w:pos="993"/>
        </w:tabs>
        <w:spacing w:after="0" w:line="240" w:lineRule="auto"/>
        <w:ind w:left="0" w:firstLine="709"/>
        <w:jc w:val="both"/>
        <w:rPr>
          <w:rFonts w:ascii="Times New Roman" w:hAnsi="Times New Roman"/>
          <w:sz w:val="28"/>
          <w:szCs w:val="28"/>
        </w:rPr>
      </w:pPr>
      <w:r w:rsidRPr="00577593">
        <w:rPr>
          <w:rFonts w:ascii="Times New Roman" w:hAnsi="Times New Roman"/>
          <w:sz w:val="28"/>
          <w:szCs w:val="28"/>
        </w:rPr>
        <w:t>Центр поддержки технологий и инноваций (при Алтайской краевой универсальной научной библиотеке им. В.Я. Шишкова).</w:t>
      </w:r>
    </w:p>
    <w:p w:rsidR="00FC41F4" w:rsidRPr="00577593" w:rsidRDefault="008925FA" w:rsidP="002000D4">
      <w:pPr>
        <w:pStyle w:val="af5"/>
        <w:numPr>
          <w:ilvl w:val="1"/>
          <w:numId w:val="4"/>
        </w:numPr>
        <w:tabs>
          <w:tab w:val="left" w:pos="993"/>
        </w:tabs>
        <w:spacing w:after="0" w:line="240" w:lineRule="auto"/>
        <w:ind w:left="0" w:firstLine="709"/>
        <w:jc w:val="both"/>
        <w:rPr>
          <w:rFonts w:ascii="Times New Roman" w:hAnsi="Times New Roman"/>
          <w:sz w:val="28"/>
          <w:szCs w:val="28"/>
        </w:rPr>
      </w:pPr>
      <w:r w:rsidRPr="00577593">
        <w:rPr>
          <w:rFonts w:ascii="Times New Roman" w:hAnsi="Times New Roman"/>
          <w:sz w:val="28"/>
          <w:szCs w:val="28"/>
        </w:rPr>
        <w:t>Представительство ФГБУ «Фонд содействия развитию малых форм предприятий в научно-технической сфере» в Алтайском крае на базе АлтГТУ им И.И. Ползунова.</w:t>
      </w:r>
    </w:p>
    <w:p w:rsidR="00FC41F4" w:rsidRPr="00577593" w:rsidRDefault="008925FA" w:rsidP="002000D4">
      <w:pPr>
        <w:pStyle w:val="af5"/>
        <w:numPr>
          <w:ilvl w:val="1"/>
          <w:numId w:val="4"/>
        </w:numPr>
        <w:tabs>
          <w:tab w:val="left" w:pos="993"/>
        </w:tabs>
        <w:spacing w:after="0" w:line="240" w:lineRule="auto"/>
        <w:ind w:left="0" w:firstLine="709"/>
        <w:jc w:val="both"/>
        <w:rPr>
          <w:rFonts w:ascii="Times New Roman" w:hAnsi="Times New Roman"/>
          <w:sz w:val="28"/>
          <w:szCs w:val="28"/>
        </w:rPr>
      </w:pPr>
      <w:r w:rsidRPr="00577593">
        <w:rPr>
          <w:rFonts w:ascii="Times New Roman" w:hAnsi="Times New Roman"/>
          <w:sz w:val="28"/>
          <w:szCs w:val="28"/>
        </w:rPr>
        <w:t xml:space="preserve"> Региональный центр инжиниринга (РЦИ) на базе Алтайского центра кластерного развития.</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lastRenderedPageBreak/>
        <w:t>Субъектами инновационной деятельности востребованы услуги Алтайского фонда МСП («Мой бизнес»), Алтайского центра кластерного развития, Алтайского центра инвестиций и развития. Руководитель Алтайского ЦКР является региональным представителем Фонда Сколково.</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В 2025 году начал работу технопарк «Компонент», созданный в рамках реализации национального проекта «Малое и среднее предпринимательство и поддержка индивидуальной предпринимательской инициативы» при поддержке </w:t>
      </w:r>
      <w:r w:rsidR="00D14871" w:rsidRPr="00577593">
        <w:rPr>
          <w:rFonts w:ascii="Times New Roman" w:hAnsi="Times New Roman"/>
          <w:sz w:val="28"/>
          <w:szCs w:val="28"/>
        </w:rPr>
        <w:t>Министерства экономического развития</w:t>
      </w:r>
      <w:r w:rsidRPr="00577593">
        <w:rPr>
          <w:rFonts w:ascii="Times New Roman" w:hAnsi="Times New Roman"/>
          <w:sz w:val="28"/>
          <w:szCs w:val="28"/>
        </w:rPr>
        <w:t xml:space="preserve"> </w:t>
      </w:r>
      <w:r w:rsidR="00BD2F0A">
        <w:rPr>
          <w:rFonts w:ascii="Times New Roman" w:hAnsi="Times New Roman"/>
          <w:sz w:val="28"/>
          <w:szCs w:val="28"/>
        </w:rPr>
        <w:t xml:space="preserve">Российской Федерации </w:t>
      </w:r>
      <w:r w:rsidRPr="00577593">
        <w:rPr>
          <w:rFonts w:ascii="Times New Roman" w:hAnsi="Times New Roman"/>
          <w:sz w:val="28"/>
          <w:szCs w:val="28"/>
        </w:rPr>
        <w:t xml:space="preserve">и Правительства Алтайского края. Технопарк ориентирован на предоставление производственных площадей и услуг для малых и средних предприятий. Отраслевая специализация </w:t>
      </w:r>
      <w:r w:rsidR="00A518B7" w:rsidRPr="00577593">
        <w:rPr>
          <w:rFonts w:ascii="Times New Roman" w:hAnsi="Times New Roman"/>
          <w:sz w:val="28"/>
          <w:szCs w:val="28"/>
        </w:rPr>
        <w:t>–</w:t>
      </w:r>
      <w:r w:rsidRPr="00577593">
        <w:rPr>
          <w:rFonts w:ascii="Times New Roman" w:hAnsi="Times New Roman"/>
          <w:sz w:val="28"/>
          <w:szCs w:val="28"/>
        </w:rPr>
        <w:t xml:space="preserve"> металлообработка, машиностроение. Площадь помещений </w:t>
      </w:r>
      <w:r w:rsidR="00A518B7" w:rsidRPr="00577593">
        <w:rPr>
          <w:rFonts w:ascii="Times New Roman" w:hAnsi="Times New Roman"/>
          <w:sz w:val="28"/>
          <w:szCs w:val="28"/>
        </w:rPr>
        <w:t>–</w:t>
      </w:r>
      <w:r w:rsidRPr="00577593">
        <w:rPr>
          <w:rFonts w:ascii="Times New Roman" w:hAnsi="Times New Roman"/>
          <w:sz w:val="28"/>
          <w:szCs w:val="28"/>
        </w:rPr>
        <w:t xml:space="preserve"> 6,4 тыс. </w:t>
      </w:r>
      <w:r w:rsidR="000F76C4">
        <w:rPr>
          <w:rFonts w:ascii="Times New Roman" w:hAnsi="Times New Roman"/>
          <w:sz w:val="28"/>
          <w:szCs w:val="28"/>
        </w:rPr>
        <w:t>кв. м</w:t>
      </w:r>
      <w:r w:rsidRPr="00577593">
        <w:rPr>
          <w:rFonts w:ascii="Times New Roman" w:hAnsi="Times New Roman"/>
          <w:sz w:val="28"/>
          <w:szCs w:val="28"/>
        </w:rPr>
        <w:t xml:space="preserve">, в том числе 4,7 тыс. </w:t>
      </w:r>
      <w:r w:rsidR="000F76C4">
        <w:rPr>
          <w:rFonts w:ascii="Times New Roman" w:hAnsi="Times New Roman"/>
          <w:sz w:val="28"/>
          <w:szCs w:val="28"/>
        </w:rPr>
        <w:t>кв. м</w:t>
      </w:r>
      <w:r w:rsidRPr="00577593">
        <w:rPr>
          <w:rFonts w:ascii="Times New Roman" w:hAnsi="Times New Roman"/>
          <w:sz w:val="28"/>
          <w:szCs w:val="28"/>
        </w:rPr>
        <w:t xml:space="preserve"> производственных помещений, предлагаемых в аренду.</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Особенностью инновационного развития </w:t>
      </w:r>
      <w:r w:rsidR="00BD2F0A">
        <w:rPr>
          <w:rFonts w:ascii="Times New Roman" w:hAnsi="Times New Roman"/>
          <w:sz w:val="28"/>
          <w:szCs w:val="28"/>
        </w:rPr>
        <w:t>города</w:t>
      </w:r>
      <w:r w:rsidRPr="00577593">
        <w:rPr>
          <w:rFonts w:ascii="Times New Roman" w:hAnsi="Times New Roman"/>
          <w:sz w:val="28"/>
          <w:szCs w:val="28"/>
        </w:rPr>
        <w:t xml:space="preserve"> является ключевое значение собственных НИОКР-подразделений крупных и средних предприятий. Несмотря на наличие в городе большого числа вузов, инновационные подразделения образовательных организаций имеют ограниченное влияние, сотрудничество с бизнесом не развито в больших масштабах. Препятствиями для инновационного развития </w:t>
      </w:r>
      <w:r w:rsidR="00BD2F0A">
        <w:rPr>
          <w:rFonts w:ascii="Times New Roman" w:hAnsi="Times New Roman"/>
          <w:sz w:val="28"/>
          <w:szCs w:val="28"/>
        </w:rPr>
        <w:t xml:space="preserve">города </w:t>
      </w:r>
      <w:r w:rsidRPr="00577593">
        <w:rPr>
          <w:rFonts w:ascii="Times New Roman" w:hAnsi="Times New Roman"/>
          <w:sz w:val="28"/>
          <w:szCs w:val="28"/>
        </w:rPr>
        <w:t>Барнаула являются отток квалифицированных кадров в другие регионы и ограниченность круга действующих инструментов финансовой поддержки инновационных проектов, акселерационных программ.</w:t>
      </w:r>
    </w:p>
    <w:p w:rsidR="00FC41F4" w:rsidRPr="00577593" w:rsidRDefault="008925FA" w:rsidP="002000D4">
      <w:pPr>
        <w:spacing w:after="0" w:line="240" w:lineRule="auto"/>
        <w:ind w:firstLine="709"/>
        <w:jc w:val="both"/>
        <w:rPr>
          <w:rFonts w:ascii="Times New Roman" w:eastAsia="Times New Roman" w:hAnsi="Times New Roman"/>
          <w:sz w:val="28"/>
          <w:szCs w:val="28"/>
          <w:lang w:eastAsia="ru-RU"/>
        </w:rPr>
      </w:pPr>
      <w:r w:rsidRPr="00577593">
        <w:rPr>
          <w:rFonts w:ascii="Times New Roman" w:hAnsi="Times New Roman"/>
          <w:sz w:val="28"/>
          <w:szCs w:val="28"/>
        </w:rPr>
        <w:t xml:space="preserve">Проблемой развития инновационной инфраструктуры </w:t>
      </w:r>
      <w:r w:rsidR="00BD2F0A">
        <w:rPr>
          <w:rFonts w:ascii="Times New Roman" w:hAnsi="Times New Roman"/>
          <w:sz w:val="28"/>
          <w:szCs w:val="28"/>
        </w:rPr>
        <w:t xml:space="preserve">города </w:t>
      </w:r>
      <w:r w:rsidRPr="00577593">
        <w:rPr>
          <w:rFonts w:ascii="Times New Roman" w:hAnsi="Times New Roman"/>
          <w:sz w:val="28"/>
          <w:szCs w:val="28"/>
        </w:rPr>
        <w:t xml:space="preserve">Барнаула можно назвать преобладание внутрикорпоративных инноваций, что обусловливает </w:t>
      </w:r>
      <w:r w:rsidRPr="00577593">
        <w:rPr>
          <w:rFonts w:ascii="Times New Roman" w:eastAsia="Times New Roman" w:hAnsi="Times New Roman"/>
          <w:sz w:val="28"/>
          <w:szCs w:val="28"/>
          <w:lang w:eastAsia="ru-RU"/>
        </w:rPr>
        <w:t>незначительный уровень развития научно-инновационной инфраструктуры общегородского значения.</w:t>
      </w:r>
      <w:bookmarkStart w:id="121" w:name="_Toc1258269671"/>
    </w:p>
    <w:p w:rsidR="0020784E" w:rsidRPr="00577593" w:rsidRDefault="0020784E" w:rsidP="002000D4">
      <w:pPr>
        <w:spacing w:after="0" w:line="240" w:lineRule="auto"/>
        <w:ind w:firstLine="709"/>
        <w:jc w:val="both"/>
        <w:rPr>
          <w:rFonts w:ascii="Times New Roman" w:eastAsia="Times New Roman" w:hAnsi="Times New Roman"/>
          <w:sz w:val="28"/>
          <w:szCs w:val="28"/>
          <w:lang w:eastAsia="ru-RU"/>
        </w:rPr>
      </w:pPr>
    </w:p>
    <w:p w:rsidR="00FC41F4" w:rsidRPr="00577593" w:rsidRDefault="008925FA" w:rsidP="00BD2F0A">
      <w:pPr>
        <w:pStyle w:val="3"/>
        <w:spacing w:before="0" w:line="240" w:lineRule="auto"/>
        <w:ind w:firstLine="709"/>
        <w:rPr>
          <w:rFonts w:ascii="Times New Roman" w:hAnsi="Times New Roman"/>
          <w:b/>
          <w:color w:val="auto"/>
          <w:sz w:val="28"/>
          <w:szCs w:val="28"/>
        </w:rPr>
      </w:pPr>
      <w:bookmarkStart w:id="122" w:name="_Toc212804276"/>
      <w:r w:rsidRPr="00577593">
        <w:rPr>
          <w:rFonts w:ascii="Times New Roman" w:hAnsi="Times New Roman"/>
          <w:b/>
          <w:color w:val="auto"/>
          <w:sz w:val="28"/>
          <w:szCs w:val="28"/>
        </w:rPr>
        <w:t>2.7</w:t>
      </w:r>
      <w:r w:rsidR="009E363A">
        <w:rPr>
          <w:rFonts w:ascii="Times New Roman" w:hAnsi="Times New Roman"/>
          <w:b/>
          <w:color w:val="auto"/>
          <w:sz w:val="28"/>
          <w:szCs w:val="28"/>
        </w:rPr>
        <w:t>.</w:t>
      </w:r>
      <w:r w:rsidRPr="00577593">
        <w:rPr>
          <w:rFonts w:ascii="Times New Roman" w:hAnsi="Times New Roman"/>
          <w:b/>
          <w:color w:val="auto"/>
          <w:sz w:val="28"/>
          <w:szCs w:val="28"/>
        </w:rPr>
        <w:t xml:space="preserve"> Градостроительство и инфраструктура (коммунальная, транспортная)</w:t>
      </w:r>
      <w:bookmarkEnd w:id="121"/>
      <w:bookmarkEnd w:id="122"/>
    </w:p>
    <w:p w:rsidR="00FC41F4" w:rsidRPr="00577593" w:rsidRDefault="008925FA" w:rsidP="00BD2F0A">
      <w:pPr>
        <w:pStyle w:val="3"/>
        <w:spacing w:before="0" w:line="240" w:lineRule="auto"/>
        <w:ind w:firstLine="709"/>
        <w:rPr>
          <w:rFonts w:ascii="Times New Roman" w:hAnsi="Times New Roman"/>
          <w:b/>
          <w:color w:val="auto"/>
          <w:sz w:val="28"/>
          <w:szCs w:val="28"/>
        </w:rPr>
      </w:pPr>
      <w:bookmarkStart w:id="123" w:name="_Toc331606434"/>
      <w:bookmarkStart w:id="124" w:name="_Toc204923008"/>
      <w:bookmarkStart w:id="125" w:name="_Toc204933342"/>
      <w:bookmarkStart w:id="126" w:name="_Toc208496646"/>
      <w:bookmarkStart w:id="127" w:name="_Toc208668928"/>
      <w:bookmarkStart w:id="128" w:name="_Toc212804277"/>
      <w:r w:rsidRPr="00577593">
        <w:rPr>
          <w:rFonts w:ascii="Times New Roman" w:hAnsi="Times New Roman"/>
          <w:b/>
          <w:color w:val="auto"/>
          <w:sz w:val="28"/>
          <w:szCs w:val="28"/>
        </w:rPr>
        <w:t>2.7.1</w:t>
      </w:r>
      <w:r w:rsidR="00C44D3B">
        <w:rPr>
          <w:rFonts w:ascii="Times New Roman" w:hAnsi="Times New Roman"/>
          <w:b/>
          <w:color w:val="auto"/>
          <w:sz w:val="28"/>
          <w:szCs w:val="28"/>
        </w:rPr>
        <w:t>.</w:t>
      </w:r>
      <w:r w:rsidRPr="00577593">
        <w:rPr>
          <w:rFonts w:ascii="Times New Roman" w:hAnsi="Times New Roman"/>
          <w:b/>
          <w:color w:val="auto"/>
          <w:sz w:val="28"/>
          <w:szCs w:val="28"/>
        </w:rPr>
        <w:t xml:space="preserve"> Строительство, благоустройство, городская среда</w:t>
      </w:r>
      <w:bookmarkEnd w:id="123"/>
      <w:bookmarkEnd w:id="124"/>
      <w:bookmarkEnd w:id="125"/>
      <w:bookmarkEnd w:id="126"/>
      <w:bookmarkEnd w:id="127"/>
      <w:bookmarkEnd w:id="128"/>
    </w:p>
    <w:p w:rsidR="00FC41F4" w:rsidRPr="00577593" w:rsidRDefault="008925FA" w:rsidP="00BD2F0A">
      <w:pPr>
        <w:spacing w:after="0" w:line="240" w:lineRule="auto"/>
        <w:ind w:firstLine="709"/>
        <w:jc w:val="both"/>
        <w:rPr>
          <w:rFonts w:ascii="Times New Roman" w:hAnsi="Times New Roman"/>
          <w:b/>
          <w:sz w:val="28"/>
          <w:szCs w:val="28"/>
        </w:rPr>
      </w:pPr>
      <w:r w:rsidRPr="00577593">
        <w:rPr>
          <w:rFonts w:ascii="Times New Roman" w:hAnsi="Times New Roman"/>
          <w:b/>
          <w:sz w:val="28"/>
          <w:szCs w:val="28"/>
        </w:rPr>
        <w:t>Новое строительство</w:t>
      </w:r>
    </w:p>
    <w:p w:rsidR="00FC41F4" w:rsidRPr="00C939CD" w:rsidRDefault="008925FA" w:rsidP="00C939CD">
      <w:pPr>
        <w:spacing w:after="0" w:line="240" w:lineRule="auto"/>
        <w:ind w:firstLine="709"/>
        <w:jc w:val="both"/>
        <w:rPr>
          <w:rFonts w:ascii="Times New Roman" w:hAnsi="Times New Roman"/>
          <w:noProof/>
          <w:sz w:val="28"/>
          <w:szCs w:val="28"/>
        </w:rPr>
      </w:pPr>
      <w:r w:rsidRPr="00577593">
        <w:rPr>
          <w:rFonts w:ascii="Times New Roman" w:hAnsi="Times New Roman"/>
          <w:sz w:val="28"/>
          <w:szCs w:val="28"/>
        </w:rPr>
        <w:t>В сфере строительства в 201</w:t>
      </w:r>
      <w:r w:rsidR="002262F6" w:rsidRPr="00577593">
        <w:rPr>
          <w:rFonts w:ascii="Times New Roman" w:hAnsi="Times New Roman"/>
          <w:sz w:val="28"/>
          <w:szCs w:val="28"/>
        </w:rPr>
        <w:t>3</w:t>
      </w:r>
      <w:r w:rsidR="00A518B7" w:rsidRPr="00577593">
        <w:rPr>
          <w:rFonts w:ascii="Times New Roman" w:hAnsi="Times New Roman"/>
          <w:sz w:val="28"/>
          <w:szCs w:val="28"/>
        </w:rPr>
        <w:t>-</w:t>
      </w:r>
      <w:r w:rsidR="000A15D0" w:rsidRPr="00577593">
        <w:rPr>
          <w:rFonts w:ascii="Times New Roman" w:hAnsi="Times New Roman"/>
          <w:sz w:val="28"/>
          <w:szCs w:val="28"/>
        </w:rPr>
        <w:t>2023 годы</w:t>
      </w:r>
      <w:r w:rsidRPr="00577593">
        <w:rPr>
          <w:rFonts w:ascii="Times New Roman" w:hAnsi="Times New Roman"/>
          <w:sz w:val="28"/>
          <w:szCs w:val="28"/>
        </w:rPr>
        <w:t xml:space="preserve"> наблюдались разнонаправленные тенденции. Объем работ в строительстве уменьшился </w:t>
      </w:r>
      <w:r w:rsidR="0020784E" w:rsidRPr="00577593">
        <w:rPr>
          <w:rFonts w:ascii="Times New Roman" w:hAnsi="Times New Roman"/>
          <w:sz w:val="28"/>
          <w:szCs w:val="28"/>
        </w:rPr>
        <w:br/>
      </w:r>
      <w:r w:rsidRPr="00577593">
        <w:rPr>
          <w:rFonts w:ascii="Times New Roman" w:hAnsi="Times New Roman"/>
          <w:sz w:val="28"/>
          <w:szCs w:val="28"/>
        </w:rPr>
        <w:t>с пиковых 8,5 млрд рублей в 2015 году до 5,5 млрд в 2023 году. В 2017 году и в 2022 году отмечены минимальные значения за 12 лет (</w:t>
      </w:r>
      <w:r w:rsidR="00D558A5">
        <w:fldChar w:fldCharType="begin"/>
      </w:r>
      <w:r w:rsidR="00D558A5">
        <w:instrText xml:space="preserve"> REF _Ref199450776 \h  \* MERGEFORMAT </w:instrText>
      </w:r>
      <w:r w:rsidR="00D558A5">
        <w:fldChar w:fldCharType="separate"/>
      </w:r>
      <w:r w:rsidR="00071499" w:rsidRPr="00071499">
        <w:rPr>
          <w:rFonts w:ascii="Times New Roman" w:hAnsi="Times New Roman"/>
          <w:sz w:val="28"/>
          <w:szCs w:val="28"/>
        </w:rPr>
        <w:t>Рисунок</w:t>
      </w:r>
      <w:r w:rsidR="00071499" w:rsidRPr="00577593">
        <w:rPr>
          <w:sz w:val="28"/>
          <w:szCs w:val="28"/>
        </w:rPr>
        <w:t xml:space="preserve"> </w:t>
      </w:r>
      <w:r w:rsidR="00D558A5">
        <w:fldChar w:fldCharType="end"/>
      </w:r>
      <w:r w:rsidR="009E363A">
        <w:rPr>
          <w:rFonts w:ascii="Times New Roman" w:hAnsi="Times New Roman"/>
          <w:sz w:val="28"/>
          <w:szCs w:val="28"/>
        </w:rPr>
        <w:t xml:space="preserve"> 39</w:t>
      </w:r>
      <w:r w:rsidRPr="00577593">
        <w:rPr>
          <w:rFonts w:ascii="Times New Roman" w:hAnsi="Times New Roman"/>
          <w:sz w:val="28"/>
          <w:szCs w:val="28"/>
        </w:rPr>
        <w:t>). Средняя площадь построенных новых квартир также у</w:t>
      </w:r>
      <w:r w:rsidR="000A15D0" w:rsidRPr="00577593">
        <w:rPr>
          <w:rFonts w:ascii="Times New Roman" w:hAnsi="Times New Roman"/>
          <w:sz w:val="28"/>
          <w:szCs w:val="28"/>
        </w:rPr>
        <w:t xml:space="preserve">меньшилась, </w:t>
      </w:r>
      <w:r w:rsidR="009E363A">
        <w:rPr>
          <w:rFonts w:ascii="Times New Roman" w:hAnsi="Times New Roman"/>
          <w:sz w:val="28"/>
          <w:szCs w:val="28"/>
        </w:rPr>
        <w:t xml:space="preserve">        </w:t>
      </w:r>
      <w:r w:rsidR="000A15D0" w:rsidRPr="00577593">
        <w:rPr>
          <w:rFonts w:ascii="Times New Roman" w:hAnsi="Times New Roman"/>
          <w:sz w:val="28"/>
          <w:szCs w:val="28"/>
        </w:rPr>
        <w:t>хотя в 2022</w:t>
      </w:r>
      <w:r w:rsidR="000A15D0" w:rsidRPr="00577593">
        <w:rPr>
          <w:rFonts w:ascii="Times New Roman" w:hAnsi="Times New Roman"/>
          <w:sz w:val="28"/>
          <w:szCs w:val="28"/>
        </w:rPr>
        <w:noBreakHyphen/>
        <w:t>2023 годы</w:t>
      </w:r>
      <w:r w:rsidRPr="00577593">
        <w:rPr>
          <w:rFonts w:ascii="Times New Roman" w:hAnsi="Times New Roman"/>
          <w:sz w:val="28"/>
          <w:szCs w:val="28"/>
        </w:rPr>
        <w:t xml:space="preserve"> произошел отскок на уровень выше 2013 года</w:t>
      </w:r>
      <w:r w:rsidR="00C939CD">
        <w:rPr>
          <w:rFonts w:ascii="Times New Roman" w:hAnsi="Times New Roman"/>
          <w:sz w:val="28"/>
          <w:szCs w:val="28"/>
        </w:rPr>
        <w:t xml:space="preserve"> </w:t>
      </w:r>
      <w:r w:rsidR="009E363A">
        <w:rPr>
          <w:rFonts w:ascii="Times New Roman" w:hAnsi="Times New Roman"/>
          <w:sz w:val="28"/>
          <w:szCs w:val="28"/>
        </w:rPr>
        <w:t xml:space="preserve">        </w:t>
      </w:r>
      <w:r w:rsidR="00C939CD">
        <w:rPr>
          <w:rFonts w:ascii="Times New Roman" w:hAnsi="Times New Roman"/>
          <w:sz w:val="28"/>
          <w:szCs w:val="28"/>
        </w:rPr>
        <w:t xml:space="preserve">(Рисунок </w:t>
      </w:r>
      <w:r w:rsidR="00CE13E1">
        <w:rPr>
          <w:rFonts w:ascii="Times New Roman" w:hAnsi="Times New Roman"/>
          <w:sz w:val="28"/>
          <w:szCs w:val="28"/>
        </w:rPr>
        <w:t>40</w:t>
      </w:r>
      <w:r w:rsidRPr="00C939CD">
        <w:rPr>
          <w:rFonts w:ascii="Times New Roman" w:hAnsi="Times New Roman"/>
          <w:sz w:val="28"/>
          <w:szCs w:val="28"/>
        </w:rPr>
        <w:t>).</w:t>
      </w:r>
    </w:p>
    <w:p w:rsidR="00FC41F4" w:rsidRPr="00577593" w:rsidRDefault="000D3F7A" w:rsidP="002000D4">
      <w:pPr>
        <w:spacing w:after="0" w:line="240" w:lineRule="auto"/>
        <w:ind w:firstLine="142"/>
        <w:jc w:val="both"/>
        <w:rPr>
          <w:rFonts w:ascii="Times New Roman" w:hAnsi="Times New Roman"/>
          <w:sz w:val="28"/>
          <w:szCs w:val="28"/>
        </w:rPr>
      </w:pPr>
      <w:r w:rsidRPr="00577593">
        <w:rPr>
          <w:rFonts w:ascii="Times New Roman" w:hAnsi="Times New Roman"/>
          <w:noProof/>
          <w:sz w:val="24"/>
          <w:szCs w:val="24"/>
          <w:lang w:eastAsia="ru-RU"/>
        </w:rPr>
        <w:lastRenderedPageBreak/>
        <w:drawing>
          <wp:inline distT="0" distB="0" distL="0" distR="0">
            <wp:extent cx="5943600" cy="2338070"/>
            <wp:effectExtent l="0" t="0" r="0" b="0"/>
            <wp:docPr id="39" name="Объект 3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FC41F4" w:rsidRDefault="008925FA" w:rsidP="00B47E22">
      <w:pPr>
        <w:pStyle w:val="paragraph"/>
        <w:spacing w:before="0" w:beforeAutospacing="0" w:after="0" w:afterAutospacing="0"/>
        <w:jc w:val="center"/>
        <w:rPr>
          <w:sz w:val="28"/>
          <w:szCs w:val="28"/>
        </w:rPr>
      </w:pPr>
      <w:bookmarkStart w:id="129" w:name="_Ref199450776"/>
      <w:r w:rsidRPr="00577593">
        <w:rPr>
          <w:sz w:val="28"/>
          <w:szCs w:val="28"/>
        </w:rPr>
        <w:t xml:space="preserve">Рисунок </w:t>
      </w:r>
      <w:bookmarkEnd w:id="129"/>
      <w:r w:rsidR="00CE13E1">
        <w:rPr>
          <w:sz w:val="28"/>
          <w:szCs w:val="28"/>
        </w:rPr>
        <w:t>39</w:t>
      </w:r>
      <w:r w:rsidRPr="00577593">
        <w:rPr>
          <w:sz w:val="28"/>
          <w:szCs w:val="28"/>
        </w:rPr>
        <w:t xml:space="preserve"> </w:t>
      </w:r>
      <w:r w:rsidR="00A518B7" w:rsidRPr="00577593">
        <w:rPr>
          <w:sz w:val="28"/>
          <w:szCs w:val="28"/>
        </w:rPr>
        <w:t>–</w:t>
      </w:r>
      <w:r w:rsidRPr="00577593">
        <w:rPr>
          <w:sz w:val="28"/>
          <w:szCs w:val="28"/>
        </w:rPr>
        <w:t xml:space="preserve"> Объем работ, выполненных по виду экономической деятельности «Строительство», </w:t>
      </w:r>
      <w:r w:rsidR="00FB4A9C" w:rsidRPr="00577593">
        <w:rPr>
          <w:sz w:val="28"/>
          <w:szCs w:val="28"/>
        </w:rPr>
        <w:t xml:space="preserve">за январь-декабрь </w:t>
      </w:r>
      <w:r w:rsidRPr="00577593">
        <w:rPr>
          <w:sz w:val="28"/>
          <w:szCs w:val="28"/>
        </w:rPr>
        <w:t>201</w:t>
      </w:r>
      <w:r w:rsidR="002262F6" w:rsidRPr="00577593">
        <w:rPr>
          <w:sz w:val="28"/>
          <w:szCs w:val="28"/>
        </w:rPr>
        <w:t>3</w:t>
      </w:r>
      <w:r w:rsidR="00A518B7" w:rsidRPr="00577593">
        <w:rPr>
          <w:sz w:val="28"/>
          <w:szCs w:val="28"/>
        </w:rPr>
        <w:t>-</w:t>
      </w:r>
      <w:r w:rsidR="000A15D0" w:rsidRPr="00577593">
        <w:rPr>
          <w:sz w:val="28"/>
          <w:szCs w:val="28"/>
        </w:rPr>
        <w:t>2023 г</w:t>
      </w:r>
      <w:r w:rsidR="00FB4A9C" w:rsidRPr="00577593">
        <w:rPr>
          <w:sz w:val="28"/>
          <w:szCs w:val="28"/>
        </w:rPr>
        <w:t>одов</w:t>
      </w:r>
      <w:r w:rsidR="004C1B4A" w:rsidRPr="00577593">
        <w:rPr>
          <w:sz w:val="28"/>
          <w:szCs w:val="28"/>
        </w:rPr>
        <w:t xml:space="preserve"> в текущих ценах, млрд</w:t>
      </w:r>
      <w:r w:rsidRPr="00577593">
        <w:rPr>
          <w:sz w:val="28"/>
          <w:szCs w:val="28"/>
        </w:rPr>
        <w:t xml:space="preserve"> рублей</w:t>
      </w:r>
    </w:p>
    <w:p w:rsidR="00B47E22" w:rsidRPr="00577593" w:rsidRDefault="00B47E22" w:rsidP="00B47E22">
      <w:pPr>
        <w:spacing w:after="0" w:line="240" w:lineRule="auto"/>
        <w:ind w:firstLine="142"/>
        <w:jc w:val="both"/>
        <w:rPr>
          <w:rFonts w:ascii="Times New Roman" w:hAnsi="Times New Roman"/>
          <w:sz w:val="28"/>
          <w:szCs w:val="28"/>
        </w:rPr>
      </w:pPr>
      <w:r w:rsidRPr="00577593">
        <w:rPr>
          <w:rFonts w:ascii="Times New Roman" w:hAnsi="Times New Roman"/>
          <w:sz w:val="28"/>
          <w:szCs w:val="28"/>
        </w:rPr>
        <w:t xml:space="preserve">Примечание – Источник: данные Росстата, с 2024 года данные </w:t>
      </w:r>
      <w:r>
        <w:rPr>
          <w:rFonts w:ascii="Times New Roman" w:hAnsi="Times New Roman"/>
          <w:sz w:val="28"/>
          <w:szCs w:val="28"/>
        </w:rPr>
        <w:br/>
      </w:r>
      <w:r w:rsidRPr="00577593">
        <w:rPr>
          <w:rFonts w:ascii="Times New Roman" w:hAnsi="Times New Roman"/>
          <w:sz w:val="28"/>
          <w:szCs w:val="28"/>
        </w:rPr>
        <w:t xml:space="preserve">не </w:t>
      </w:r>
      <w:r>
        <w:rPr>
          <w:rFonts w:ascii="Times New Roman" w:hAnsi="Times New Roman"/>
          <w:sz w:val="28"/>
          <w:szCs w:val="28"/>
        </w:rPr>
        <w:t xml:space="preserve">формируются в разрезе </w:t>
      </w:r>
      <w:r w:rsidRPr="00577593">
        <w:rPr>
          <w:rFonts w:ascii="Times New Roman" w:hAnsi="Times New Roman"/>
          <w:sz w:val="28"/>
          <w:szCs w:val="28"/>
        </w:rPr>
        <w:t>муниципальны</w:t>
      </w:r>
      <w:r>
        <w:rPr>
          <w:rFonts w:ascii="Times New Roman" w:hAnsi="Times New Roman"/>
          <w:sz w:val="28"/>
          <w:szCs w:val="28"/>
        </w:rPr>
        <w:t>х</w:t>
      </w:r>
      <w:r w:rsidRPr="00577593">
        <w:rPr>
          <w:rFonts w:ascii="Times New Roman" w:hAnsi="Times New Roman"/>
          <w:sz w:val="28"/>
          <w:szCs w:val="28"/>
        </w:rPr>
        <w:t xml:space="preserve"> образовани</w:t>
      </w:r>
      <w:r>
        <w:rPr>
          <w:rFonts w:ascii="Times New Roman" w:hAnsi="Times New Roman"/>
          <w:sz w:val="28"/>
          <w:szCs w:val="28"/>
        </w:rPr>
        <w:t>й</w:t>
      </w:r>
    </w:p>
    <w:p w:rsidR="00B47E22" w:rsidRPr="00577593" w:rsidRDefault="00B47E22" w:rsidP="002000D4">
      <w:pPr>
        <w:pStyle w:val="paragraph"/>
        <w:spacing w:before="0" w:beforeAutospacing="0" w:after="200" w:afterAutospacing="0"/>
        <w:jc w:val="center"/>
        <w:rPr>
          <w:sz w:val="28"/>
          <w:szCs w:val="28"/>
        </w:rPr>
      </w:pPr>
    </w:p>
    <w:p w:rsidR="00016084" w:rsidRPr="00577593" w:rsidRDefault="000D3F7A" w:rsidP="00395D3A">
      <w:pPr>
        <w:pStyle w:val="paragraph"/>
        <w:spacing w:before="0" w:beforeAutospacing="0" w:after="0" w:afterAutospacing="0"/>
        <w:rPr>
          <w:sz w:val="28"/>
          <w:szCs w:val="28"/>
        </w:rPr>
      </w:pPr>
      <w:r w:rsidRPr="00577593">
        <w:rPr>
          <w:noProof/>
        </w:rPr>
        <w:drawing>
          <wp:inline distT="0" distB="0" distL="0" distR="0">
            <wp:extent cx="5943600" cy="1606550"/>
            <wp:effectExtent l="0" t="0" r="0" b="0"/>
            <wp:docPr id="40" name="Объект 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bookmarkStart w:id="130" w:name="_Ref199450803"/>
    </w:p>
    <w:p w:rsidR="00B47E22" w:rsidRPr="00B47E22" w:rsidRDefault="008925FA" w:rsidP="00B47E22">
      <w:pPr>
        <w:pStyle w:val="aff9"/>
        <w:spacing w:after="0"/>
        <w:ind w:firstLine="709"/>
        <w:rPr>
          <w:rFonts w:ascii="Times New Roman" w:hAnsi="Times New Roman"/>
          <w:i w:val="0"/>
          <w:color w:val="auto"/>
          <w:sz w:val="28"/>
          <w:szCs w:val="28"/>
        </w:rPr>
      </w:pPr>
      <w:r w:rsidRPr="00577593">
        <w:rPr>
          <w:rFonts w:ascii="Times New Roman" w:hAnsi="Times New Roman"/>
          <w:i w:val="0"/>
          <w:color w:val="auto"/>
          <w:sz w:val="28"/>
          <w:szCs w:val="28"/>
        </w:rPr>
        <w:t xml:space="preserve">Рисунок </w:t>
      </w:r>
      <w:bookmarkEnd w:id="130"/>
      <w:r w:rsidR="00CE13E1">
        <w:rPr>
          <w:rFonts w:ascii="Times New Roman" w:hAnsi="Times New Roman"/>
          <w:i w:val="0"/>
          <w:color w:val="auto"/>
          <w:sz w:val="28"/>
          <w:szCs w:val="28"/>
        </w:rPr>
        <w:t>40</w:t>
      </w:r>
      <w:r w:rsidRPr="00577593">
        <w:rPr>
          <w:rFonts w:ascii="Times New Roman" w:hAnsi="Times New Roman"/>
          <w:i w:val="0"/>
          <w:color w:val="auto"/>
          <w:sz w:val="28"/>
          <w:szCs w:val="28"/>
        </w:rPr>
        <w:t xml:space="preserve"> </w:t>
      </w:r>
      <w:r w:rsidR="00A518B7" w:rsidRPr="00577593">
        <w:rPr>
          <w:rFonts w:ascii="Times New Roman" w:hAnsi="Times New Roman"/>
          <w:i w:val="0"/>
          <w:color w:val="auto"/>
          <w:sz w:val="28"/>
          <w:szCs w:val="28"/>
        </w:rPr>
        <w:t>–</w:t>
      </w:r>
      <w:r w:rsidRPr="00577593">
        <w:rPr>
          <w:rFonts w:ascii="Times New Roman" w:hAnsi="Times New Roman"/>
          <w:i w:val="0"/>
          <w:color w:val="auto"/>
          <w:sz w:val="28"/>
          <w:szCs w:val="28"/>
        </w:rPr>
        <w:t xml:space="preserve"> Площадь средней построенной квартиры, </w:t>
      </w:r>
      <w:r w:rsidR="000F76C4">
        <w:rPr>
          <w:rFonts w:ascii="Times New Roman" w:hAnsi="Times New Roman"/>
          <w:i w:val="0"/>
          <w:color w:val="auto"/>
          <w:sz w:val="28"/>
          <w:szCs w:val="28"/>
        </w:rPr>
        <w:t>кв. м</w:t>
      </w:r>
    </w:p>
    <w:p w:rsidR="00B47E22" w:rsidRPr="00577593" w:rsidRDefault="00B47E22" w:rsidP="00B47E22">
      <w:pPr>
        <w:pStyle w:val="paragraph"/>
        <w:spacing w:before="0" w:beforeAutospacing="0" w:after="0" w:afterAutospacing="0"/>
        <w:rPr>
          <w:sz w:val="28"/>
          <w:szCs w:val="28"/>
        </w:rPr>
      </w:pPr>
      <w:r w:rsidRPr="00577593">
        <w:rPr>
          <w:sz w:val="28"/>
          <w:szCs w:val="28"/>
        </w:rPr>
        <w:t>Примечание – Источник: данные Росстата</w:t>
      </w:r>
    </w:p>
    <w:p w:rsidR="00B47E22" w:rsidRPr="00577593" w:rsidRDefault="00B47E22" w:rsidP="00C742AD">
      <w:pPr>
        <w:spacing w:after="0" w:line="240" w:lineRule="auto"/>
        <w:rPr>
          <w:rFonts w:ascii="Times New Roman" w:hAnsi="Times New Roman"/>
        </w:rPr>
      </w:pPr>
    </w:p>
    <w:p w:rsidR="00FC41F4" w:rsidRPr="00577593" w:rsidRDefault="008925FA" w:rsidP="00C742AD">
      <w:pPr>
        <w:spacing w:after="0" w:line="240" w:lineRule="auto"/>
        <w:ind w:firstLine="709"/>
        <w:jc w:val="both"/>
        <w:rPr>
          <w:rFonts w:ascii="Times New Roman" w:eastAsia="Times New Roman" w:hAnsi="Times New Roman"/>
          <w:iCs/>
          <w:noProof/>
          <w:sz w:val="28"/>
          <w:szCs w:val="28"/>
          <w:lang w:eastAsia="ru-RU"/>
        </w:rPr>
      </w:pPr>
      <w:r w:rsidRPr="00577593">
        <w:rPr>
          <w:rFonts w:ascii="Times New Roman" w:hAnsi="Times New Roman"/>
          <w:sz w:val="28"/>
          <w:szCs w:val="28"/>
        </w:rPr>
        <w:t xml:space="preserve">86% площади всех новых торгово-офисных центров было введено </w:t>
      </w:r>
      <w:r w:rsidR="0020784E" w:rsidRPr="00577593">
        <w:rPr>
          <w:rFonts w:ascii="Times New Roman" w:hAnsi="Times New Roman"/>
          <w:sz w:val="28"/>
          <w:szCs w:val="28"/>
        </w:rPr>
        <w:br/>
      </w:r>
      <w:r w:rsidRPr="00577593">
        <w:rPr>
          <w:rFonts w:ascii="Times New Roman" w:hAnsi="Times New Roman"/>
          <w:sz w:val="28"/>
          <w:szCs w:val="28"/>
        </w:rPr>
        <w:t xml:space="preserve">до 2017 года, а новых торгово-развлекательных центров после 2017 года вовсе не строилось, что говорит о снижении строительной инвестиционной активности в городе на фоне удовлетворения спроса населения на торговые площади. Это соответствует динамике объема работ, выполненных по виду экономической. деятельности «Строительство». За 12 лет было введено </w:t>
      </w:r>
      <w:r w:rsidR="0020784E" w:rsidRPr="00577593">
        <w:rPr>
          <w:rFonts w:ascii="Times New Roman" w:hAnsi="Times New Roman"/>
          <w:sz w:val="28"/>
          <w:szCs w:val="28"/>
        </w:rPr>
        <w:br/>
      </w:r>
      <w:r w:rsidRPr="00577593">
        <w:rPr>
          <w:rFonts w:ascii="Times New Roman" w:hAnsi="Times New Roman"/>
          <w:sz w:val="28"/>
          <w:szCs w:val="28"/>
        </w:rPr>
        <w:t xml:space="preserve">по 5 тысяч мест в детских садах и общеобразовательных школах, что больше, чем заложено нормативами градостроительного проектирования </w:t>
      </w:r>
      <w:r w:rsidR="00E8210F" w:rsidRPr="00577593">
        <w:rPr>
          <w:rFonts w:ascii="Times New Roman" w:hAnsi="Times New Roman"/>
          <w:sz w:val="28"/>
          <w:szCs w:val="28"/>
        </w:rPr>
        <w:br/>
      </w:r>
      <w:r w:rsidRPr="00577593">
        <w:rPr>
          <w:rFonts w:ascii="Times New Roman" w:hAnsi="Times New Roman"/>
          <w:sz w:val="28"/>
          <w:szCs w:val="28"/>
        </w:rPr>
        <w:t>(</w:t>
      </w:r>
      <w:r w:rsidR="00C939CD">
        <w:rPr>
          <w:rFonts w:ascii="Times New Roman" w:hAnsi="Times New Roman"/>
          <w:sz w:val="28"/>
          <w:szCs w:val="28"/>
        </w:rPr>
        <w:t>Таблица 6)</w:t>
      </w:r>
      <w:r w:rsidRPr="00577593">
        <w:rPr>
          <w:rStyle w:val="af9"/>
          <w:rFonts w:ascii="Times New Roman" w:hAnsi="Times New Roman"/>
          <w:sz w:val="28"/>
          <w:szCs w:val="28"/>
        </w:rPr>
        <w:footnoteReference w:id="3"/>
      </w:r>
      <w:r w:rsidRPr="00577593">
        <w:rPr>
          <w:rFonts w:ascii="Times New Roman" w:hAnsi="Times New Roman"/>
          <w:sz w:val="28"/>
          <w:szCs w:val="28"/>
        </w:rPr>
        <w:t>.</w:t>
      </w:r>
    </w:p>
    <w:p w:rsidR="00395D3A" w:rsidRPr="00577593" w:rsidRDefault="00395D3A" w:rsidP="002000D4">
      <w:pPr>
        <w:spacing w:after="0" w:line="240" w:lineRule="auto"/>
        <w:jc w:val="both"/>
        <w:rPr>
          <w:rFonts w:ascii="Times New Roman" w:eastAsia="Times New Roman" w:hAnsi="Times New Roman"/>
          <w:iCs/>
          <w:sz w:val="28"/>
          <w:szCs w:val="28"/>
          <w:lang w:eastAsia="ru-RU"/>
        </w:rPr>
      </w:pPr>
      <w:bookmarkStart w:id="131" w:name="_Ref199451377"/>
    </w:p>
    <w:p w:rsidR="003D0815" w:rsidRDefault="003D0815" w:rsidP="002000D4">
      <w:pPr>
        <w:spacing w:after="0" w:line="240" w:lineRule="auto"/>
        <w:jc w:val="both"/>
        <w:rPr>
          <w:rFonts w:ascii="Times New Roman" w:eastAsia="Times New Roman" w:hAnsi="Times New Roman"/>
          <w:iCs/>
          <w:sz w:val="28"/>
          <w:szCs w:val="28"/>
          <w:lang w:eastAsia="ru-RU"/>
        </w:rPr>
      </w:pPr>
    </w:p>
    <w:p w:rsidR="00D36D64" w:rsidRDefault="00D36D64" w:rsidP="002000D4">
      <w:pPr>
        <w:spacing w:after="0" w:line="240" w:lineRule="auto"/>
        <w:jc w:val="both"/>
        <w:rPr>
          <w:rFonts w:ascii="Times New Roman" w:eastAsia="Times New Roman" w:hAnsi="Times New Roman"/>
          <w:iCs/>
          <w:sz w:val="28"/>
          <w:szCs w:val="28"/>
          <w:lang w:eastAsia="ru-RU"/>
        </w:rPr>
      </w:pPr>
    </w:p>
    <w:p w:rsidR="00D36D64" w:rsidRPr="00577593" w:rsidRDefault="00D36D64" w:rsidP="002000D4">
      <w:pPr>
        <w:spacing w:after="0" w:line="240" w:lineRule="auto"/>
        <w:jc w:val="both"/>
        <w:rPr>
          <w:rFonts w:ascii="Times New Roman" w:eastAsia="Times New Roman" w:hAnsi="Times New Roman"/>
          <w:iCs/>
          <w:sz w:val="28"/>
          <w:szCs w:val="28"/>
          <w:lang w:eastAsia="ru-RU"/>
        </w:rPr>
      </w:pPr>
    </w:p>
    <w:p w:rsidR="00FC41F4" w:rsidRPr="00577593" w:rsidRDefault="008925FA" w:rsidP="002000D4">
      <w:pPr>
        <w:spacing w:after="0" w:line="240" w:lineRule="auto"/>
        <w:jc w:val="both"/>
        <w:rPr>
          <w:rFonts w:ascii="Times New Roman" w:eastAsia="Times New Roman" w:hAnsi="Times New Roman"/>
          <w:iCs/>
          <w:sz w:val="28"/>
          <w:szCs w:val="28"/>
          <w:lang w:eastAsia="ru-RU"/>
        </w:rPr>
      </w:pPr>
      <w:r w:rsidRPr="00577593">
        <w:rPr>
          <w:rFonts w:ascii="Times New Roman" w:eastAsia="Times New Roman" w:hAnsi="Times New Roman"/>
          <w:iCs/>
          <w:sz w:val="28"/>
          <w:szCs w:val="28"/>
          <w:lang w:eastAsia="ru-RU"/>
        </w:rPr>
        <w:lastRenderedPageBreak/>
        <w:t xml:space="preserve">Таблица </w:t>
      </w:r>
      <w:r w:rsidR="00074AE5" w:rsidRPr="00577593">
        <w:rPr>
          <w:rFonts w:ascii="Times New Roman" w:eastAsia="Times New Roman" w:hAnsi="Times New Roman"/>
          <w:iCs/>
          <w:sz w:val="28"/>
          <w:szCs w:val="28"/>
          <w:lang w:eastAsia="ru-RU"/>
        </w:rPr>
        <w:fldChar w:fldCharType="begin"/>
      </w:r>
      <w:r w:rsidRPr="00577593">
        <w:rPr>
          <w:rFonts w:ascii="Times New Roman" w:eastAsia="Times New Roman" w:hAnsi="Times New Roman"/>
          <w:iCs/>
          <w:sz w:val="28"/>
          <w:szCs w:val="28"/>
          <w:lang w:eastAsia="ru-RU"/>
        </w:rPr>
        <w:instrText xml:space="preserve"> SEQ Таблица \* ARABIC </w:instrText>
      </w:r>
      <w:r w:rsidR="00074AE5" w:rsidRPr="00577593">
        <w:rPr>
          <w:rFonts w:ascii="Times New Roman" w:eastAsia="Times New Roman" w:hAnsi="Times New Roman"/>
          <w:iCs/>
          <w:sz w:val="28"/>
          <w:szCs w:val="28"/>
          <w:lang w:eastAsia="ru-RU"/>
        </w:rPr>
        <w:fldChar w:fldCharType="separate"/>
      </w:r>
      <w:r w:rsidR="00071499">
        <w:rPr>
          <w:rFonts w:ascii="Times New Roman" w:eastAsia="Times New Roman" w:hAnsi="Times New Roman"/>
          <w:iCs/>
          <w:noProof/>
          <w:sz w:val="28"/>
          <w:szCs w:val="28"/>
          <w:lang w:eastAsia="ru-RU"/>
        </w:rPr>
        <w:t>6</w:t>
      </w:r>
      <w:r w:rsidR="00074AE5" w:rsidRPr="00577593">
        <w:rPr>
          <w:rFonts w:ascii="Times New Roman" w:eastAsia="Times New Roman" w:hAnsi="Times New Roman"/>
          <w:iCs/>
          <w:sz w:val="28"/>
          <w:szCs w:val="28"/>
          <w:lang w:eastAsia="ru-RU"/>
        </w:rPr>
        <w:fldChar w:fldCharType="end"/>
      </w:r>
      <w:bookmarkEnd w:id="131"/>
      <w:r w:rsidRPr="00577593">
        <w:rPr>
          <w:rFonts w:ascii="Times New Roman" w:eastAsia="Times New Roman" w:hAnsi="Times New Roman"/>
          <w:iCs/>
          <w:sz w:val="28"/>
          <w:szCs w:val="28"/>
          <w:lang w:eastAsia="ru-RU"/>
        </w:rPr>
        <w:t xml:space="preserve"> </w:t>
      </w:r>
      <w:r w:rsidR="00A518B7" w:rsidRPr="00577593">
        <w:rPr>
          <w:rFonts w:ascii="Times New Roman" w:eastAsia="Times New Roman" w:hAnsi="Times New Roman"/>
          <w:iCs/>
          <w:sz w:val="28"/>
          <w:szCs w:val="28"/>
          <w:lang w:eastAsia="ru-RU"/>
        </w:rPr>
        <w:t>–</w:t>
      </w:r>
      <w:r w:rsidRPr="00577593">
        <w:rPr>
          <w:rFonts w:ascii="Times New Roman" w:eastAsia="Times New Roman" w:hAnsi="Times New Roman"/>
          <w:iCs/>
          <w:sz w:val="28"/>
          <w:szCs w:val="28"/>
          <w:lang w:eastAsia="ru-RU"/>
        </w:rPr>
        <w:t xml:space="preserve"> Совокупный ввод жилья и соц</w:t>
      </w:r>
      <w:r w:rsidR="000A15D0" w:rsidRPr="00577593">
        <w:rPr>
          <w:rFonts w:ascii="Times New Roman" w:eastAsia="Times New Roman" w:hAnsi="Times New Roman"/>
          <w:iCs/>
          <w:sz w:val="28"/>
          <w:szCs w:val="28"/>
          <w:lang w:eastAsia="ru-RU"/>
        </w:rPr>
        <w:t xml:space="preserve">иальных объектов </w:t>
      </w:r>
      <w:r w:rsidR="0020784E" w:rsidRPr="00577593">
        <w:rPr>
          <w:rFonts w:ascii="Times New Roman" w:eastAsia="Times New Roman" w:hAnsi="Times New Roman"/>
          <w:iCs/>
          <w:sz w:val="28"/>
          <w:szCs w:val="28"/>
          <w:lang w:eastAsia="ru-RU"/>
        </w:rPr>
        <w:br/>
      </w:r>
      <w:r w:rsidR="000A15D0" w:rsidRPr="00577593">
        <w:rPr>
          <w:rFonts w:ascii="Times New Roman" w:eastAsia="Times New Roman" w:hAnsi="Times New Roman"/>
          <w:iCs/>
          <w:sz w:val="28"/>
          <w:szCs w:val="28"/>
          <w:lang w:eastAsia="ru-RU"/>
        </w:rPr>
        <w:t>в 2012</w:t>
      </w:r>
      <w:r w:rsidR="00A518B7" w:rsidRPr="00577593">
        <w:rPr>
          <w:rFonts w:ascii="Times New Roman" w:eastAsia="Times New Roman" w:hAnsi="Times New Roman"/>
          <w:iCs/>
          <w:sz w:val="28"/>
          <w:szCs w:val="28"/>
          <w:lang w:eastAsia="ru-RU"/>
        </w:rPr>
        <w:t>-</w:t>
      </w:r>
      <w:r w:rsidR="000A15D0" w:rsidRPr="00577593">
        <w:rPr>
          <w:rFonts w:ascii="Times New Roman" w:eastAsia="Times New Roman" w:hAnsi="Times New Roman"/>
          <w:iCs/>
          <w:sz w:val="28"/>
          <w:szCs w:val="28"/>
          <w:lang w:eastAsia="ru-RU"/>
        </w:rPr>
        <w:t>2023 годы</w:t>
      </w:r>
    </w:p>
    <w:tbl>
      <w:tblPr>
        <w:tblW w:w="9348" w:type="dxa"/>
        <w:tblBorders>
          <w:top w:val="single" w:sz="6" w:space="0" w:color="auto"/>
          <w:left w:val="single" w:sz="6" w:space="0" w:color="auto"/>
          <w:bottom w:val="single" w:sz="6" w:space="0" w:color="auto"/>
          <w:right w:val="single" w:sz="6" w:space="0" w:color="auto"/>
        </w:tblBorders>
        <w:tblCellMar>
          <w:left w:w="57" w:type="dxa"/>
          <w:right w:w="57" w:type="dxa"/>
        </w:tblCellMar>
        <w:tblLook w:val="04A0" w:firstRow="1" w:lastRow="0" w:firstColumn="1" w:lastColumn="0" w:noHBand="0" w:noVBand="1"/>
      </w:tblPr>
      <w:tblGrid>
        <w:gridCol w:w="6360"/>
        <w:gridCol w:w="2988"/>
      </w:tblGrid>
      <w:tr w:rsidR="00FC41F4" w:rsidRPr="00577593">
        <w:trPr>
          <w:trHeight w:val="300"/>
          <w:tblHeader/>
        </w:trPr>
        <w:tc>
          <w:tcPr>
            <w:tcW w:w="6360" w:type="dxa"/>
            <w:tcBorders>
              <w:top w:val="single" w:sz="6" w:space="0" w:color="auto"/>
              <w:left w:val="single" w:sz="6" w:space="0" w:color="auto"/>
              <w:bottom w:val="single" w:sz="6" w:space="0" w:color="auto"/>
              <w:right w:val="single" w:sz="6" w:space="0" w:color="auto"/>
            </w:tcBorders>
          </w:tcPr>
          <w:p w:rsidR="00FC41F4" w:rsidRPr="00577593" w:rsidRDefault="008925FA" w:rsidP="00693A36">
            <w:pPr>
              <w:spacing w:after="0" w:line="240" w:lineRule="auto"/>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Показатель (мощность построенных объектов)</w:t>
            </w:r>
          </w:p>
        </w:tc>
        <w:tc>
          <w:tcPr>
            <w:tcW w:w="2988" w:type="dxa"/>
            <w:tcBorders>
              <w:top w:val="single" w:sz="6" w:space="0" w:color="auto"/>
              <w:left w:val="single" w:sz="6" w:space="0" w:color="auto"/>
              <w:bottom w:val="single" w:sz="6" w:space="0" w:color="auto"/>
              <w:right w:val="single" w:sz="6" w:space="0" w:color="auto"/>
            </w:tcBorders>
          </w:tcPr>
          <w:p w:rsidR="00FC41F4" w:rsidRPr="00577593" w:rsidRDefault="00A518B7" w:rsidP="00693A36">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Ввод в 2012-</w:t>
            </w:r>
            <w:r w:rsidR="008925FA" w:rsidRPr="00577593">
              <w:rPr>
                <w:rFonts w:ascii="Times New Roman" w:eastAsia="Times New Roman" w:hAnsi="Times New Roman"/>
                <w:sz w:val="20"/>
                <w:szCs w:val="20"/>
                <w:lang w:eastAsia="ru-RU"/>
              </w:rPr>
              <w:t>2023 гг.</w:t>
            </w:r>
          </w:p>
        </w:tc>
      </w:tr>
      <w:tr w:rsidR="00FC41F4" w:rsidRPr="00577593">
        <w:trPr>
          <w:trHeight w:val="300"/>
        </w:trPr>
        <w:tc>
          <w:tcPr>
            <w:tcW w:w="6360" w:type="dxa"/>
            <w:tcBorders>
              <w:top w:val="single" w:sz="6" w:space="0" w:color="auto"/>
              <w:left w:val="single" w:sz="6" w:space="0" w:color="auto"/>
              <w:bottom w:val="single" w:sz="6" w:space="0" w:color="auto"/>
              <w:right w:val="single" w:sz="6" w:space="0" w:color="auto"/>
            </w:tcBorders>
          </w:tcPr>
          <w:p w:rsidR="00FC41F4" w:rsidRPr="00577593" w:rsidRDefault="008925FA" w:rsidP="002000D4">
            <w:pPr>
              <w:spacing w:after="0" w:line="240" w:lineRule="auto"/>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Число построенных квартир, шт.  </w:t>
            </w:r>
          </w:p>
        </w:tc>
        <w:tc>
          <w:tcPr>
            <w:tcW w:w="2988" w:type="dxa"/>
            <w:tcBorders>
              <w:top w:val="single" w:sz="6" w:space="0" w:color="auto"/>
              <w:left w:val="single" w:sz="6" w:space="0" w:color="auto"/>
              <w:bottom w:val="single" w:sz="6" w:space="0" w:color="auto"/>
              <w:right w:val="single" w:sz="6" w:space="0" w:color="auto"/>
            </w:tcBorders>
          </w:tcPr>
          <w:p w:rsidR="00FC41F4" w:rsidRPr="00577593" w:rsidRDefault="008925FA" w:rsidP="00693A36">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89740</w:t>
            </w:r>
          </w:p>
        </w:tc>
      </w:tr>
      <w:tr w:rsidR="00FC41F4" w:rsidRPr="00577593">
        <w:trPr>
          <w:trHeight w:val="300"/>
        </w:trPr>
        <w:tc>
          <w:tcPr>
            <w:tcW w:w="6360" w:type="dxa"/>
            <w:tcBorders>
              <w:top w:val="single" w:sz="6" w:space="0" w:color="auto"/>
              <w:left w:val="single" w:sz="6" w:space="0" w:color="auto"/>
              <w:bottom w:val="single" w:sz="6" w:space="0" w:color="auto"/>
              <w:right w:val="single" w:sz="6" w:space="0" w:color="auto"/>
            </w:tcBorders>
          </w:tcPr>
          <w:p w:rsidR="00FC41F4" w:rsidRPr="00577593" w:rsidRDefault="008925FA" w:rsidP="002000D4">
            <w:pPr>
              <w:spacing w:after="0" w:line="240" w:lineRule="auto"/>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Места в детских садах, шт. </w:t>
            </w:r>
          </w:p>
        </w:tc>
        <w:tc>
          <w:tcPr>
            <w:tcW w:w="2988" w:type="dxa"/>
            <w:tcBorders>
              <w:top w:val="single" w:sz="6" w:space="0" w:color="auto"/>
              <w:left w:val="single" w:sz="6" w:space="0" w:color="auto"/>
              <w:bottom w:val="single" w:sz="6" w:space="0" w:color="auto"/>
              <w:right w:val="single" w:sz="6" w:space="0" w:color="auto"/>
            </w:tcBorders>
          </w:tcPr>
          <w:p w:rsidR="00FC41F4" w:rsidRPr="00577593" w:rsidRDefault="008925FA" w:rsidP="00693A36">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4877</w:t>
            </w:r>
          </w:p>
        </w:tc>
      </w:tr>
      <w:tr w:rsidR="00FC41F4" w:rsidRPr="00577593">
        <w:trPr>
          <w:trHeight w:val="300"/>
        </w:trPr>
        <w:tc>
          <w:tcPr>
            <w:tcW w:w="6360" w:type="dxa"/>
            <w:tcBorders>
              <w:top w:val="single" w:sz="6" w:space="0" w:color="auto"/>
              <w:left w:val="single" w:sz="6" w:space="0" w:color="auto"/>
              <w:bottom w:val="single" w:sz="6" w:space="0" w:color="auto"/>
              <w:right w:val="single" w:sz="6" w:space="0" w:color="auto"/>
            </w:tcBorders>
          </w:tcPr>
          <w:p w:rsidR="00FC41F4" w:rsidRPr="00577593" w:rsidRDefault="008925FA" w:rsidP="002000D4">
            <w:pPr>
              <w:spacing w:after="0" w:line="240" w:lineRule="auto"/>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Места в школах, шт. </w:t>
            </w:r>
          </w:p>
        </w:tc>
        <w:tc>
          <w:tcPr>
            <w:tcW w:w="2988" w:type="dxa"/>
            <w:tcBorders>
              <w:top w:val="single" w:sz="6" w:space="0" w:color="auto"/>
              <w:left w:val="single" w:sz="6" w:space="0" w:color="auto"/>
              <w:bottom w:val="single" w:sz="6" w:space="0" w:color="auto"/>
              <w:right w:val="single" w:sz="6" w:space="0" w:color="auto"/>
            </w:tcBorders>
          </w:tcPr>
          <w:p w:rsidR="00FC41F4" w:rsidRPr="00577593" w:rsidRDefault="008925FA" w:rsidP="00693A36">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4925</w:t>
            </w:r>
          </w:p>
        </w:tc>
      </w:tr>
      <w:tr w:rsidR="00FC41F4" w:rsidRPr="00577593">
        <w:trPr>
          <w:trHeight w:val="300"/>
        </w:trPr>
        <w:tc>
          <w:tcPr>
            <w:tcW w:w="6360" w:type="dxa"/>
            <w:tcBorders>
              <w:top w:val="single" w:sz="6" w:space="0" w:color="auto"/>
              <w:left w:val="single" w:sz="6" w:space="0" w:color="auto"/>
              <w:bottom w:val="single" w:sz="6" w:space="0" w:color="auto"/>
              <w:right w:val="single" w:sz="6" w:space="0" w:color="auto"/>
            </w:tcBorders>
          </w:tcPr>
          <w:p w:rsidR="00FC41F4" w:rsidRPr="00577593" w:rsidRDefault="008925FA" w:rsidP="002000D4">
            <w:pPr>
              <w:spacing w:after="0" w:line="240" w:lineRule="auto"/>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Места (койки) в больничных организациях </w:t>
            </w:r>
          </w:p>
        </w:tc>
        <w:tc>
          <w:tcPr>
            <w:tcW w:w="2988" w:type="dxa"/>
            <w:tcBorders>
              <w:top w:val="single" w:sz="6" w:space="0" w:color="auto"/>
              <w:left w:val="single" w:sz="6" w:space="0" w:color="auto"/>
              <w:bottom w:val="single" w:sz="6" w:space="0" w:color="auto"/>
              <w:right w:val="single" w:sz="6" w:space="0" w:color="auto"/>
            </w:tcBorders>
          </w:tcPr>
          <w:p w:rsidR="00FC41F4" w:rsidRPr="00577593" w:rsidRDefault="008925FA" w:rsidP="00693A36">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765</w:t>
            </w:r>
          </w:p>
        </w:tc>
      </w:tr>
      <w:tr w:rsidR="00FC41F4" w:rsidRPr="00577593">
        <w:trPr>
          <w:trHeight w:val="300"/>
        </w:trPr>
        <w:tc>
          <w:tcPr>
            <w:tcW w:w="6360" w:type="dxa"/>
            <w:tcBorders>
              <w:top w:val="single" w:sz="6" w:space="0" w:color="auto"/>
              <w:left w:val="single" w:sz="6" w:space="0" w:color="auto"/>
              <w:bottom w:val="single" w:sz="6" w:space="0" w:color="auto"/>
              <w:right w:val="single" w:sz="6" w:space="0" w:color="auto"/>
            </w:tcBorders>
          </w:tcPr>
          <w:p w:rsidR="00FC41F4" w:rsidRPr="00577593" w:rsidRDefault="008925FA" w:rsidP="002000D4">
            <w:pPr>
              <w:spacing w:after="0" w:line="240" w:lineRule="auto"/>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Посещений амбулаторно-поликлинических организаций </w:t>
            </w:r>
          </w:p>
        </w:tc>
        <w:tc>
          <w:tcPr>
            <w:tcW w:w="2988" w:type="dxa"/>
            <w:tcBorders>
              <w:top w:val="single" w:sz="6" w:space="0" w:color="auto"/>
              <w:left w:val="single" w:sz="6" w:space="0" w:color="auto"/>
              <w:bottom w:val="single" w:sz="6" w:space="0" w:color="auto"/>
              <w:right w:val="single" w:sz="6" w:space="0" w:color="auto"/>
            </w:tcBorders>
          </w:tcPr>
          <w:p w:rsidR="00FC41F4" w:rsidRPr="00577593" w:rsidRDefault="008925FA" w:rsidP="00693A36">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2461</w:t>
            </w:r>
          </w:p>
        </w:tc>
      </w:tr>
      <w:tr w:rsidR="00FC41F4" w:rsidRPr="00577593">
        <w:trPr>
          <w:trHeight w:val="300"/>
        </w:trPr>
        <w:tc>
          <w:tcPr>
            <w:tcW w:w="6360" w:type="dxa"/>
            <w:tcBorders>
              <w:top w:val="single" w:sz="6" w:space="0" w:color="auto"/>
              <w:left w:val="single" w:sz="6" w:space="0" w:color="auto"/>
              <w:bottom w:val="single" w:sz="6" w:space="0" w:color="auto"/>
              <w:right w:val="single" w:sz="6" w:space="0" w:color="auto"/>
            </w:tcBorders>
          </w:tcPr>
          <w:p w:rsidR="00FC41F4" w:rsidRPr="00577593" w:rsidRDefault="008925FA" w:rsidP="002000D4">
            <w:pPr>
              <w:spacing w:after="0" w:line="240" w:lineRule="auto"/>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 xml:space="preserve">Площадь плоскостных спортивных сооружений, </w:t>
            </w:r>
            <w:r w:rsidR="000F76C4">
              <w:rPr>
                <w:rFonts w:ascii="Times New Roman" w:eastAsia="Times New Roman" w:hAnsi="Times New Roman"/>
                <w:sz w:val="20"/>
                <w:szCs w:val="20"/>
                <w:lang w:eastAsia="ru-RU"/>
              </w:rPr>
              <w:t>кв. м</w:t>
            </w:r>
          </w:p>
        </w:tc>
        <w:tc>
          <w:tcPr>
            <w:tcW w:w="2988" w:type="dxa"/>
            <w:tcBorders>
              <w:top w:val="single" w:sz="6" w:space="0" w:color="auto"/>
              <w:left w:val="single" w:sz="6" w:space="0" w:color="auto"/>
              <w:bottom w:val="single" w:sz="6" w:space="0" w:color="auto"/>
              <w:right w:val="single" w:sz="6" w:space="0" w:color="auto"/>
            </w:tcBorders>
          </w:tcPr>
          <w:p w:rsidR="00FC41F4" w:rsidRPr="00577593" w:rsidRDefault="008925FA" w:rsidP="00693A36">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16523</w:t>
            </w:r>
          </w:p>
        </w:tc>
      </w:tr>
      <w:tr w:rsidR="00FC41F4" w:rsidRPr="00577593">
        <w:trPr>
          <w:trHeight w:val="300"/>
        </w:trPr>
        <w:tc>
          <w:tcPr>
            <w:tcW w:w="6360" w:type="dxa"/>
            <w:tcBorders>
              <w:top w:val="single" w:sz="6" w:space="0" w:color="auto"/>
              <w:left w:val="single" w:sz="6" w:space="0" w:color="auto"/>
              <w:bottom w:val="single" w:sz="6" w:space="0" w:color="auto"/>
              <w:right w:val="single" w:sz="6" w:space="0" w:color="auto"/>
            </w:tcBorders>
          </w:tcPr>
          <w:p w:rsidR="00FC41F4" w:rsidRPr="00577593" w:rsidRDefault="008925FA" w:rsidP="002000D4">
            <w:pPr>
              <w:spacing w:after="0" w:line="240" w:lineRule="auto"/>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 xml:space="preserve">Площадь спортивных залов, </w:t>
            </w:r>
            <w:r w:rsidR="000F76C4">
              <w:rPr>
                <w:rFonts w:ascii="Times New Roman" w:eastAsia="Times New Roman" w:hAnsi="Times New Roman"/>
                <w:sz w:val="20"/>
                <w:szCs w:val="20"/>
                <w:lang w:eastAsia="ru-RU"/>
              </w:rPr>
              <w:t>кв. м</w:t>
            </w:r>
          </w:p>
        </w:tc>
        <w:tc>
          <w:tcPr>
            <w:tcW w:w="2988" w:type="dxa"/>
            <w:tcBorders>
              <w:top w:val="single" w:sz="6" w:space="0" w:color="auto"/>
              <w:left w:val="single" w:sz="6" w:space="0" w:color="auto"/>
              <w:bottom w:val="single" w:sz="6" w:space="0" w:color="auto"/>
              <w:right w:val="single" w:sz="6" w:space="0" w:color="auto"/>
            </w:tcBorders>
          </w:tcPr>
          <w:p w:rsidR="00FC41F4" w:rsidRPr="00577593" w:rsidRDefault="008925FA" w:rsidP="00693A36">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950</w:t>
            </w:r>
          </w:p>
        </w:tc>
      </w:tr>
      <w:tr w:rsidR="00FC41F4" w:rsidRPr="00577593">
        <w:trPr>
          <w:trHeight w:val="300"/>
        </w:trPr>
        <w:tc>
          <w:tcPr>
            <w:tcW w:w="6360" w:type="dxa"/>
            <w:tcBorders>
              <w:top w:val="single" w:sz="6" w:space="0" w:color="auto"/>
              <w:left w:val="single" w:sz="6" w:space="0" w:color="auto"/>
              <w:bottom w:val="single" w:sz="6" w:space="0" w:color="auto"/>
              <w:right w:val="single" w:sz="6" w:space="0" w:color="auto"/>
            </w:tcBorders>
          </w:tcPr>
          <w:p w:rsidR="00FC41F4" w:rsidRPr="00577593" w:rsidRDefault="008925FA" w:rsidP="002000D4">
            <w:pPr>
              <w:spacing w:after="0" w:line="240" w:lineRule="auto"/>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 xml:space="preserve">Площадь плавательных бассейнов, </w:t>
            </w:r>
            <w:r w:rsidR="000F76C4">
              <w:rPr>
                <w:rFonts w:ascii="Times New Roman" w:eastAsia="Times New Roman" w:hAnsi="Times New Roman"/>
                <w:sz w:val="20"/>
                <w:szCs w:val="20"/>
                <w:lang w:eastAsia="ru-RU"/>
              </w:rPr>
              <w:t>кв. м</w:t>
            </w:r>
          </w:p>
        </w:tc>
        <w:tc>
          <w:tcPr>
            <w:tcW w:w="2988" w:type="dxa"/>
            <w:tcBorders>
              <w:top w:val="single" w:sz="6" w:space="0" w:color="auto"/>
              <w:left w:val="single" w:sz="6" w:space="0" w:color="auto"/>
              <w:bottom w:val="single" w:sz="6" w:space="0" w:color="auto"/>
              <w:right w:val="single" w:sz="6" w:space="0" w:color="auto"/>
            </w:tcBorders>
          </w:tcPr>
          <w:p w:rsidR="00FC41F4" w:rsidRPr="00577593" w:rsidRDefault="008925FA" w:rsidP="00693A36">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478</w:t>
            </w:r>
          </w:p>
        </w:tc>
      </w:tr>
      <w:tr w:rsidR="00FC41F4" w:rsidRPr="00577593">
        <w:trPr>
          <w:trHeight w:val="300"/>
        </w:trPr>
        <w:tc>
          <w:tcPr>
            <w:tcW w:w="6360" w:type="dxa"/>
            <w:tcBorders>
              <w:top w:val="single" w:sz="6" w:space="0" w:color="auto"/>
              <w:left w:val="single" w:sz="6" w:space="0" w:color="auto"/>
              <w:bottom w:val="single" w:sz="6" w:space="0" w:color="auto"/>
              <w:right w:val="single" w:sz="6" w:space="0" w:color="auto"/>
            </w:tcBorders>
          </w:tcPr>
          <w:p w:rsidR="00FC41F4" w:rsidRPr="00577593" w:rsidRDefault="008925FA" w:rsidP="002000D4">
            <w:pPr>
              <w:spacing w:after="0" w:line="240" w:lineRule="auto"/>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 xml:space="preserve">Площадь торгово-офисных центров, </w:t>
            </w:r>
            <w:r w:rsidR="000F76C4">
              <w:rPr>
                <w:rFonts w:ascii="Times New Roman" w:eastAsia="Times New Roman" w:hAnsi="Times New Roman"/>
                <w:sz w:val="20"/>
                <w:szCs w:val="20"/>
                <w:lang w:eastAsia="ru-RU"/>
              </w:rPr>
              <w:t>кв. м</w:t>
            </w:r>
            <w:r w:rsidRPr="00577593">
              <w:rPr>
                <w:rFonts w:ascii="Times New Roman" w:eastAsia="Times New Roman" w:hAnsi="Times New Roman"/>
                <w:sz w:val="20"/>
                <w:szCs w:val="20"/>
                <w:lang w:eastAsia="ru-RU"/>
              </w:rPr>
              <w:t> </w:t>
            </w:r>
          </w:p>
        </w:tc>
        <w:tc>
          <w:tcPr>
            <w:tcW w:w="2988" w:type="dxa"/>
            <w:tcBorders>
              <w:top w:val="single" w:sz="6" w:space="0" w:color="auto"/>
              <w:left w:val="single" w:sz="6" w:space="0" w:color="auto"/>
              <w:bottom w:val="single" w:sz="6" w:space="0" w:color="auto"/>
              <w:right w:val="single" w:sz="6" w:space="0" w:color="auto"/>
            </w:tcBorders>
          </w:tcPr>
          <w:p w:rsidR="00FC41F4" w:rsidRPr="00577593" w:rsidRDefault="008925FA" w:rsidP="00693A36">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101869,8</w:t>
            </w:r>
          </w:p>
        </w:tc>
      </w:tr>
      <w:tr w:rsidR="00FC41F4" w:rsidRPr="00577593">
        <w:trPr>
          <w:trHeight w:val="300"/>
        </w:trPr>
        <w:tc>
          <w:tcPr>
            <w:tcW w:w="6360" w:type="dxa"/>
            <w:tcBorders>
              <w:top w:val="single" w:sz="6" w:space="0" w:color="auto"/>
              <w:left w:val="single" w:sz="6" w:space="0" w:color="auto"/>
              <w:bottom w:val="single" w:sz="6" w:space="0" w:color="auto"/>
              <w:right w:val="single" w:sz="6" w:space="0" w:color="auto"/>
            </w:tcBorders>
          </w:tcPr>
          <w:p w:rsidR="00FC41F4" w:rsidRPr="00577593" w:rsidRDefault="008925FA" w:rsidP="002000D4">
            <w:pPr>
              <w:spacing w:after="0" w:line="240" w:lineRule="auto"/>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 xml:space="preserve">Площадь высших учебных заведений, </w:t>
            </w:r>
            <w:r w:rsidR="000F76C4">
              <w:rPr>
                <w:rFonts w:ascii="Times New Roman" w:eastAsia="Times New Roman" w:hAnsi="Times New Roman"/>
                <w:sz w:val="20"/>
                <w:szCs w:val="20"/>
                <w:lang w:eastAsia="ru-RU"/>
              </w:rPr>
              <w:t>кв. м</w:t>
            </w:r>
            <w:r w:rsidRPr="00577593">
              <w:rPr>
                <w:rFonts w:ascii="Times New Roman" w:eastAsia="Times New Roman" w:hAnsi="Times New Roman"/>
                <w:sz w:val="20"/>
                <w:szCs w:val="20"/>
                <w:lang w:eastAsia="ru-RU"/>
              </w:rPr>
              <w:t> </w:t>
            </w:r>
          </w:p>
        </w:tc>
        <w:tc>
          <w:tcPr>
            <w:tcW w:w="2988" w:type="dxa"/>
            <w:tcBorders>
              <w:top w:val="single" w:sz="6" w:space="0" w:color="auto"/>
              <w:left w:val="single" w:sz="6" w:space="0" w:color="auto"/>
              <w:bottom w:val="single" w:sz="6" w:space="0" w:color="auto"/>
              <w:right w:val="single" w:sz="6" w:space="0" w:color="auto"/>
            </w:tcBorders>
          </w:tcPr>
          <w:p w:rsidR="00FC41F4" w:rsidRPr="00577593" w:rsidRDefault="008925FA" w:rsidP="00693A36">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9485</w:t>
            </w:r>
          </w:p>
        </w:tc>
      </w:tr>
      <w:tr w:rsidR="00FC41F4" w:rsidRPr="00577593">
        <w:trPr>
          <w:trHeight w:val="300"/>
        </w:trPr>
        <w:tc>
          <w:tcPr>
            <w:tcW w:w="6360" w:type="dxa"/>
            <w:tcBorders>
              <w:top w:val="single" w:sz="6" w:space="0" w:color="auto"/>
              <w:left w:val="single" w:sz="6" w:space="0" w:color="auto"/>
              <w:bottom w:val="single" w:sz="6" w:space="0" w:color="auto"/>
              <w:right w:val="single" w:sz="6" w:space="0" w:color="auto"/>
            </w:tcBorders>
          </w:tcPr>
          <w:p w:rsidR="00FC41F4" w:rsidRPr="00577593" w:rsidRDefault="008925FA" w:rsidP="002000D4">
            <w:pPr>
              <w:spacing w:after="0" w:line="240" w:lineRule="auto"/>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 xml:space="preserve">Площадь торгово-развлекательных центров, </w:t>
            </w:r>
            <w:r w:rsidR="000F76C4">
              <w:rPr>
                <w:rFonts w:ascii="Times New Roman" w:eastAsia="Times New Roman" w:hAnsi="Times New Roman"/>
                <w:sz w:val="20"/>
                <w:szCs w:val="20"/>
                <w:lang w:eastAsia="ru-RU"/>
              </w:rPr>
              <w:t>кв. м</w:t>
            </w:r>
          </w:p>
        </w:tc>
        <w:tc>
          <w:tcPr>
            <w:tcW w:w="2988" w:type="dxa"/>
            <w:tcBorders>
              <w:top w:val="single" w:sz="6" w:space="0" w:color="auto"/>
              <w:left w:val="single" w:sz="6" w:space="0" w:color="auto"/>
              <w:bottom w:val="single" w:sz="6" w:space="0" w:color="auto"/>
              <w:right w:val="single" w:sz="6" w:space="0" w:color="auto"/>
            </w:tcBorders>
          </w:tcPr>
          <w:p w:rsidR="00FC41F4" w:rsidRPr="00577593" w:rsidRDefault="008925FA" w:rsidP="00693A36">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241349</w:t>
            </w:r>
          </w:p>
        </w:tc>
      </w:tr>
    </w:tbl>
    <w:p w:rsidR="00FC41F4" w:rsidRPr="00577593" w:rsidRDefault="008925FA" w:rsidP="002000D4">
      <w:pPr>
        <w:pStyle w:val="aff9"/>
        <w:spacing w:after="0"/>
        <w:ind w:firstLine="709"/>
        <w:rPr>
          <w:rFonts w:ascii="Times New Roman" w:hAnsi="Times New Roman"/>
          <w:i w:val="0"/>
          <w:color w:val="auto"/>
          <w:sz w:val="28"/>
          <w:szCs w:val="28"/>
        </w:rPr>
      </w:pPr>
      <w:r w:rsidRPr="00577593">
        <w:rPr>
          <w:rFonts w:ascii="Times New Roman" w:hAnsi="Times New Roman"/>
          <w:i w:val="0"/>
          <w:color w:val="auto"/>
          <w:sz w:val="28"/>
          <w:szCs w:val="28"/>
        </w:rPr>
        <w:t xml:space="preserve">Примечание </w:t>
      </w:r>
      <w:r w:rsidR="00A518B7" w:rsidRPr="00577593">
        <w:rPr>
          <w:rFonts w:ascii="Times New Roman" w:hAnsi="Times New Roman"/>
          <w:i w:val="0"/>
          <w:color w:val="auto"/>
          <w:sz w:val="28"/>
          <w:szCs w:val="28"/>
        </w:rPr>
        <w:t>–</w:t>
      </w:r>
      <w:r w:rsidRPr="00577593">
        <w:rPr>
          <w:rFonts w:ascii="Times New Roman" w:hAnsi="Times New Roman"/>
          <w:i w:val="0"/>
          <w:color w:val="auto"/>
          <w:sz w:val="28"/>
          <w:szCs w:val="28"/>
        </w:rPr>
        <w:t xml:space="preserve"> Источник: данные Росстата</w:t>
      </w:r>
    </w:p>
    <w:p w:rsidR="00395D3A" w:rsidRPr="00577593" w:rsidRDefault="00395D3A" w:rsidP="002000D4">
      <w:pPr>
        <w:spacing w:after="0" w:line="240" w:lineRule="auto"/>
        <w:ind w:firstLine="709"/>
        <w:jc w:val="both"/>
        <w:rPr>
          <w:rFonts w:ascii="Times New Roman" w:hAnsi="Times New Roman"/>
          <w:b/>
          <w:bCs/>
          <w:sz w:val="28"/>
          <w:szCs w:val="28"/>
        </w:rPr>
      </w:pPr>
    </w:p>
    <w:p w:rsidR="00FC41F4" w:rsidRPr="00577593" w:rsidRDefault="008925FA" w:rsidP="002000D4">
      <w:pPr>
        <w:spacing w:after="0" w:line="240" w:lineRule="auto"/>
        <w:ind w:firstLine="709"/>
        <w:jc w:val="both"/>
        <w:rPr>
          <w:rFonts w:ascii="Times New Roman" w:hAnsi="Times New Roman"/>
          <w:b/>
          <w:sz w:val="28"/>
          <w:szCs w:val="28"/>
        </w:rPr>
      </w:pPr>
      <w:r w:rsidRPr="00577593">
        <w:rPr>
          <w:rFonts w:ascii="Times New Roman" w:hAnsi="Times New Roman"/>
          <w:b/>
          <w:bCs/>
          <w:sz w:val="28"/>
          <w:szCs w:val="28"/>
        </w:rPr>
        <w:t>Расселение аварийного и ветхого жилья</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В 2013 году ветхий и аварийный жилищный фонд города Барнаула составил 103,5 тыс. </w:t>
      </w:r>
      <w:r w:rsidR="000F76C4">
        <w:rPr>
          <w:rFonts w:ascii="Times New Roman" w:hAnsi="Times New Roman"/>
          <w:sz w:val="28"/>
          <w:szCs w:val="28"/>
        </w:rPr>
        <w:t>кв. м</w:t>
      </w:r>
      <w:r w:rsidRPr="00577593">
        <w:rPr>
          <w:rFonts w:ascii="Times New Roman" w:hAnsi="Times New Roman"/>
          <w:sz w:val="28"/>
          <w:szCs w:val="28"/>
        </w:rPr>
        <w:t xml:space="preserve">, или 0,7% всего жилищного фонда города. </w:t>
      </w:r>
      <w:r w:rsidR="0020784E" w:rsidRPr="00577593">
        <w:rPr>
          <w:rFonts w:ascii="Times New Roman" w:hAnsi="Times New Roman"/>
          <w:sz w:val="28"/>
          <w:szCs w:val="28"/>
        </w:rPr>
        <w:br/>
      </w:r>
      <w:r w:rsidRPr="00577593">
        <w:rPr>
          <w:rFonts w:ascii="Times New Roman" w:hAnsi="Times New Roman"/>
          <w:sz w:val="28"/>
          <w:szCs w:val="28"/>
        </w:rPr>
        <w:t xml:space="preserve">По данным Фонда развития территорий, в </w:t>
      </w:r>
      <w:r w:rsidR="000A15D0" w:rsidRPr="00577593">
        <w:rPr>
          <w:rFonts w:ascii="Times New Roman" w:hAnsi="Times New Roman"/>
          <w:sz w:val="28"/>
          <w:szCs w:val="28"/>
        </w:rPr>
        <w:t>2013</w:t>
      </w:r>
      <w:r w:rsidR="00A518B7" w:rsidRPr="00577593">
        <w:rPr>
          <w:rFonts w:ascii="Times New Roman" w:hAnsi="Times New Roman"/>
          <w:sz w:val="28"/>
          <w:szCs w:val="28"/>
        </w:rPr>
        <w:t>-</w:t>
      </w:r>
      <w:r w:rsidR="000A15D0" w:rsidRPr="00577593">
        <w:rPr>
          <w:rFonts w:ascii="Times New Roman" w:hAnsi="Times New Roman"/>
          <w:sz w:val="28"/>
          <w:szCs w:val="28"/>
        </w:rPr>
        <w:t>2018 годы</w:t>
      </w:r>
      <w:r w:rsidRPr="00577593">
        <w:rPr>
          <w:rFonts w:ascii="Times New Roman" w:hAnsi="Times New Roman"/>
          <w:sz w:val="28"/>
          <w:szCs w:val="28"/>
        </w:rPr>
        <w:t xml:space="preserve"> расселено </w:t>
      </w:r>
      <w:r w:rsidR="0020784E" w:rsidRPr="00577593">
        <w:rPr>
          <w:rFonts w:ascii="Times New Roman" w:hAnsi="Times New Roman"/>
          <w:sz w:val="28"/>
          <w:szCs w:val="28"/>
        </w:rPr>
        <w:br/>
      </w:r>
      <w:r w:rsidRPr="00577593">
        <w:rPr>
          <w:rFonts w:ascii="Times New Roman" w:hAnsi="Times New Roman"/>
          <w:sz w:val="28"/>
          <w:szCs w:val="28"/>
        </w:rPr>
        <w:t xml:space="preserve">70 аварийных домов площадью 27,27 тыс. </w:t>
      </w:r>
      <w:r w:rsidR="000F76C4">
        <w:rPr>
          <w:rFonts w:ascii="Times New Roman" w:hAnsi="Times New Roman"/>
          <w:sz w:val="28"/>
          <w:szCs w:val="28"/>
        </w:rPr>
        <w:t>кв. м</w:t>
      </w:r>
      <w:r w:rsidRPr="00577593">
        <w:rPr>
          <w:rFonts w:ascii="Times New Roman" w:hAnsi="Times New Roman"/>
          <w:sz w:val="28"/>
          <w:szCs w:val="28"/>
        </w:rPr>
        <w:t xml:space="preserve">, в рамках программы </w:t>
      </w:r>
      <w:r w:rsidR="000A15D0" w:rsidRPr="00577593">
        <w:rPr>
          <w:rFonts w:ascii="Times New Roman" w:hAnsi="Times New Roman"/>
          <w:sz w:val="28"/>
          <w:szCs w:val="28"/>
        </w:rPr>
        <w:t xml:space="preserve">в </w:t>
      </w:r>
      <w:r w:rsidRPr="00577593">
        <w:rPr>
          <w:rFonts w:ascii="Times New Roman" w:hAnsi="Times New Roman"/>
          <w:sz w:val="28"/>
          <w:szCs w:val="28"/>
        </w:rPr>
        <w:t>2019</w:t>
      </w:r>
      <w:r w:rsidR="00A518B7" w:rsidRPr="00577593">
        <w:rPr>
          <w:rFonts w:ascii="Times New Roman" w:hAnsi="Times New Roman"/>
          <w:sz w:val="28"/>
          <w:szCs w:val="28"/>
        </w:rPr>
        <w:t>-</w:t>
      </w:r>
      <w:r w:rsidRPr="00577593">
        <w:rPr>
          <w:rFonts w:ascii="Times New Roman" w:hAnsi="Times New Roman"/>
          <w:sz w:val="28"/>
          <w:szCs w:val="28"/>
        </w:rPr>
        <w:t>2025 г</w:t>
      </w:r>
      <w:r w:rsidR="000A15D0" w:rsidRPr="00577593">
        <w:rPr>
          <w:rFonts w:ascii="Times New Roman" w:hAnsi="Times New Roman"/>
          <w:sz w:val="28"/>
          <w:szCs w:val="28"/>
        </w:rPr>
        <w:t>од</w:t>
      </w:r>
      <w:r w:rsidR="007F602F">
        <w:rPr>
          <w:rFonts w:ascii="Times New Roman" w:hAnsi="Times New Roman"/>
          <w:sz w:val="28"/>
          <w:szCs w:val="28"/>
        </w:rPr>
        <w:t>ах</w:t>
      </w:r>
      <w:r w:rsidRPr="00577593">
        <w:rPr>
          <w:rFonts w:ascii="Times New Roman" w:hAnsi="Times New Roman"/>
          <w:sz w:val="28"/>
          <w:szCs w:val="28"/>
        </w:rPr>
        <w:t xml:space="preserve"> расселено 156 домов площадью 62,87 тыс. </w:t>
      </w:r>
      <w:r w:rsidR="000F76C4">
        <w:rPr>
          <w:rFonts w:ascii="Times New Roman" w:hAnsi="Times New Roman"/>
          <w:sz w:val="28"/>
          <w:szCs w:val="28"/>
        </w:rPr>
        <w:t>кв. м</w:t>
      </w:r>
      <w:r w:rsidRPr="00577593">
        <w:rPr>
          <w:rFonts w:ascii="Times New Roman" w:hAnsi="Times New Roman"/>
          <w:sz w:val="28"/>
          <w:szCs w:val="28"/>
        </w:rPr>
        <w:t>, переселено 4080 чел</w:t>
      </w:r>
      <w:r w:rsidR="000A15D0" w:rsidRPr="00577593">
        <w:rPr>
          <w:rFonts w:ascii="Times New Roman" w:hAnsi="Times New Roman"/>
          <w:sz w:val="28"/>
          <w:szCs w:val="28"/>
        </w:rPr>
        <w:t>овек. В целом с 2013 по 2024 годы</w:t>
      </w:r>
      <w:r w:rsidRPr="00577593">
        <w:rPr>
          <w:rFonts w:ascii="Times New Roman" w:hAnsi="Times New Roman"/>
          <w:sz w:val="28"/>
          <w:szCs w:val="28"/>
        </w:rPr>
        <w:t xml:space="preserve"> было расселено 226 домов площадью 90,14 тыс. </w:t>
      </w:r>
      <w:r w:rsidR="000F76C4">
        <w:rPr>
          <w:rFonts w:ascii="Times New Roman" w:hAnsi="Times New Roman"/>
          <w:sz w:val="28"/>
          <w:szCs w:val="28"/>
        </w:rPr>
        <w:t>кв. м</w:t>
      </w:r>
      <w:r w:rsidRPr="00577593">
        <w:rPr>
          <w:rFonts w:ascii="Times New Roman" w:hAnsi="Times New Roman"/>
          <w:sz w:val="28"/>
          <w:szCs w:val="28"/>
        </w:rPr>
        <w:t xml:space="preserve">. На начало 2025 года расселены все дома, признанные аварийными до </w:t>
      </w:r>
      <w:r w:rsidR="000A15D0" w:rsidRPr="00577593">
        <w:rPr>
          <w:rFonts w:ascii="Times New Roman" w:hAnsi="Times New Roman"/>
          <w:sz w:val="28"/>
          <w:szCs w:val="28"/>
        </w:rPr>
        <w:t>01.01.2017</w:t>
      </w:r>
      <w:r w:rsidRPr="00577593">
        <w:rPr>
          <w:rFonts w:ascii="Times New Roman" w:hAnsi="Times New Roman"/>
          <w:sz w:val="28"/>
          <w:szCs w:val="28"/>
        </w:rPr>
        <w:t>.</w:t>
      </w:r>
    </w:p>
    <w:p w:rsidR="00FC41F4" w:rsidRPr="00577593" w:rsidRDefault="008925FA" w:rsidP="002000D4">
      <w:pPr>
        <w:spacing w:after="0" w:line="240" w:lineRule="auto"/>
        <w:ind w:firstLine="709"/>
        <w:jc w:val="both"/>
        <w:rPr>
          <w:rFonts w:ascii="Times New Roman" w:hAnsi="Times New Roman"/>
          <w:b/>
          <w:sz w:val="28"/>
          <w:szCs w:val="28"/>
        </w:rPr>
      </w:pPr>
      <w:r w:rsidRPr="00577593">
        <w:rPr>
          <w:rFonts w:ascii="Times New Roman" w:hAnsi="Times New Roman"/>
          <w:b/>
          <w:sz w:val="28"/>
          <w:szCs w:val="28"/>
        </w:rPr>
        <w:t>Комплексное развитие территории (КРТ)</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В правилах землепользования и застройки установлены территории,</w:t>
      </w:r>
      <w:r w:rsidR="002F2E3D">
        <w:rPr>
          <w:rFonts w:ascii="Times New Roman" w:hAnsi="Times New Roman"/>
          <w:sz w:val="28"/>
          <w:szCs w:val="28"/>
        </w:rPr>
        <w:t xml:space="preserve"> </w:t>
      </w:r>
      <w:r w:rsidR="00121E8D">
        <w:rPr>
          <w:rFonts w:ascii="Times New Roman" w:hAnsi="Times New Roman"/>
          <w:sz w:val="28"/>
          <w:szCs w:val="28"/>
        </w:rPr>
        <w:br/>
      </w:r>
      <w:r w:rsidRPr="00577593">
        <w:rPr>
          <w:rFonts w:ascii="Times New Roman" w:hAnsi="Times New Roman"/>
          <w:sz w:val="28"/>
          <w:szCs w:val="28"/>
        </w:rPr>
        <w:t>в границах которых предусматривается осуществление комплексного развития те</w:t>
      </w:r>
      <w:r w:rsidR="00121E8D">
        <w:rPr>
          <w:rFonts w:ascii="Times New Roman" w:hAnsi="Times New Roman"/>
          <w:sz w:val="28"/>
          <w:szCs w:val="28"/>
        </w:rPr>
        <w:t xml:space="preserve">рритории. Первым проектом </w:t>
      </w:r>
      <w:r w:rsidRPr="00577593">
        <w:rPr>
          <w:rFonts w:ascii="Times New Roman" w:hAnsi="Times New Roman"/>
          <w:sz w:val="28"/>
          <w:szCs w:val="28"/>
        </w:rPr>
        <w:t xml:space="preserve">должен стать КРТ «Поток», решение о котором принято </w:t>
      </w:r>
      <w:r w:rsidR="007F602F">
        <w:rPr>
          <w:rFonts w:ascii="Times New Roman" w:hAnsi="Times New Roman"/>
          <w:sz w:val="28"/>
          <w:szCs w:val="28"/>
        </w:rPr>
        <w:t>п</w:t>
      </w:r>
      <w:r w:rsidRPr="00577593">
        <w:rPr>
          <w:rFonts w:ascii="Times New Roman" w:hAnsi="Times New Roman"/>
          <w:sz w:val="28"/>
          <w:szCs w:val="28"/>
        </w:rPr>
        <w:t>остановлением администрации гор</w:t>
      </w:r>
      <w:r w:rsidR="00CE2637" w:rsidRPr="00577593">
        <w:rPr>
          <w:rFonts w:ascii="Times New Roman" w:hAnsi="Times New Roman"/>
          <w:sz w:val="28"/>
          <w:szCs w:val="28"/>
        </w:rPr>
        <w:t>ода Барнаула от 11.03.2025 № 334</w:t>
      </w:r>
      <w:r w:rsidRPr="00577593">
        <w:rPr>
          <w:rFonts w:ascii="Times New Roman" w:hAnsi="Times New Roman"/>
          <w:sz w:val="28"/>
          <w:szCs w:val="28"/>
        </w:rPr>
        <w:t>. Территория находится</w:t>
      </w:r>
      <w:r w:rsidR="00C939CD">
        <w:rPr>
          <w:rFonts w:ascii="Times New Roman" w:hAnsi="Times New Roman"/>
          <w:sz w:val="28"/>
          <w:szCs w:val="28"/>
        </w:rPr>
        <w:t xml:space="preserve"> в</w:t>
      </w:r>
      <w:r w:rsidRPr="00577593">
        <w:rPr>
          <w:rFonts w:ascii="Times New Roman" w:hAnsi="Times New Roman"/>
          <w:sz w:val="28"/>
          <w:szCs w:val="28"/>
        </w:rPr>
        <w:t xml:space="preserve"> границах улицы Эмилии Алексеевой, проспекта Ленина, улицы Горно-Алтайской, улицы Западной 1-й, улицы Чеглецова, улицы 80 Гвардейской Дивизии, улицы Петра Сухова, улицы Смирнова, улицы Чудненко, улицы Западной 5-й, улицы Чеглецова, улицы Малахова. Внутри проекта площадью 30,3 га расположено 3</w:t>
      </w:r>
      <w:r w:rsidR="00936FFD" w:rsidRPr="00577593">
        <w:rPr>
          <w:rFonts w:ascii="Times New Roman" w:hAnsi="Times New Roman"/>
          <w:sz w:val="28"/>
          <w:szCs w:val="28"/>
        </w:rPr>
        <w:t>0</w:t>
      </w:r>
      <w:r w:rsidRPr="00577593">
        <w:rPr>
          <w:rFonts w:ascii="Times New Roman" w:hAnsi="Times New Roman"/>
          <w:sz w:val="28"/>
          <w:szCs w:val="28"/>
        </w:rPr>
        <w:t xml:space="preserve"> аварийных </w:t>
      </w:r>
      <w:r w:rsidR="007F602F">
        <w:rPr>
          <w:rFonts w:ascii="Times New Roman" w:hAnsi="Times New Roman"/>
          <w:sz w:val="28"/>
          <w:szCs w:val="28"/>
        </w:rPr>
        <w:t>и 16 «ветхих» многоквартирных домов</w:t>
      </w:r>
      <w:r w:rsidRPr="00577593">
        <w:rPr>
          <w:rFonts w:ascii="Times New Roman" w:hAnsi="Times New Roman"/>
          <w:sz w:val="28"/>
          <w:szCs w:val="28"/>
        </w:rPr>
        <w:t xml:space="preserve"> </w:t>
      </w:r>
      <w:r w:rsidR="00A518B7" w:rsidRPr="00577593">
        <w:rPr>
          <w:rFonts w:ascii="Times New Roman" w:hAnsi="Times New Roman"/>
          <w:sz w:val="28"/>
          <w:szCs w:val="28"/>
        </w:rPr>
        <w:t>–</w:t>
      </w:r>
      <w:r w:rsidRPr="00577593">
        <w:rPr>
          <w:rFonts w:ascii="Times New Roman" w:hAnsi="Times New Roman"/>
          <w:sz w:val="28"/>
          <w:szCs w:val="28"/>
        </w:rPr>
        <w:t xml:space="preserve"> общей площадью </w:t>
      </w:r>
      <w:r w:rsidR="00936FFD" w:rsidRPr="00577593">
        <w:rPr>
          <w:rFonts w:ascii="Times New Roman" w:hAnsi="Times New Roman"/>
          <w:sz w:val="28"/>
          <w:szCs w:val="28"/>
        </w:rPr>
        <w:t>28028,4</w:t>
      </w:r>
      <w:r w:rsidRPr="00577593">
        <w:rPr>
          <w:rFonts w:ascii="Times New Roman" w:hAnsi="Times New Roman"/>
          <w:sz w:val="28"/>
          <w:szCs w:val="28"/>
        </w:rPr>
        <w:t xml:space="preserve"> </w:t>
      </w:r>
      <w:r w:rsidR="000F76C4">
        <w:rPr>
          <w:rFonts w:ascii="Times New Roman" w:hAnsi="Times New Roman"/>
          <w:sz w:val="28"/>
          <w:szCs w:val="28"/>
        </w:rPr>
        <w:t>кв. м</w:t>
      </w:r>
      <w:r w:rsidRPr="00577593">
        <w:rPr>
          <w:rFonts w:ascii="Times New Roman" w:hAnsi="Times New Roman"/>
          <w:sz w:val="28"/>
          <w:szCs w:val="28"/>
        </w:rPr>
        <w:t xml:space="preserve">. Запланировано строительство 40 многоквартирных жилых домов общей площадь около 381 тыс. </w:t>
      </w:r>
      <w:r w:rsidR="000F76C4">
        <w:rPr>
          <w:rFonts w:ascii="Times New Roman" w:hAnsi="Times New Roman"/>
          <w:sz w:val="28"/>
          <w:szCs w:val="28"/>
        </w:rPr>
        <w:t>кв. м</w:t>
      </w:r>
      <w:r w:rsidRPr="00577593">
        <w:rPr>
          <w:rFonts w:ascii="Times New Roman" w:hAnsi="Times New Roman"/>
          <w:sz w:val="28"/>
          <w:szCs w:val="28"/>
        </w:rPr>
        <w:t xml:space="preserve">, детского сада и школы, а также других объектов инфраструктуры. Срок реализации проекта </w:t>
      </w:r>
      <w:r w:rsidR="00A518B7" w:rsidRPr="00577593">
        <w:rPr>
          <w:rFonts w:ascii="Times New Roman" w:hAnsi="Times New Roman"/>
          <w:sz w:val="28"/>
          <w:szCs w:val="28"/>
        </w:rPr>
        <w:t>–</w:t>
      </w:r>
      <w:r w:rsidRPr="00577593">
        <w:rPr>
          <w:rFonts w:ascii="Times New Roman" w:hAnsi="Times New Roman"/>
          <w:sz w:val="28"/>
          <w:szCs w:val="28"/>
        </w:rPr>
        <w:t xml:space="preserve"> до 2040 года, а планируемые объемы ввода нового жилья сопоставимы с годовым вводом нового жилья в городе.</w:t>
      </w:r>
    </w:p>
    <w:p w:rsidR="00FC41F4" w:rsidRPr="00577593" w:rsidRDefault="008925FA" w:rsidP="002000D4">
      <w:pPr>
        <w:spacing w:after="0" w:line="240" w:lineRule="auto"/>
        <w:ind w:firstLine="709"/>
        <w:jc w:val="both"/>
        <w:rPr>
          <w:rFonts w:ascii="Times New Roman" w:hAnsi="Times New Roman"/>
          <w:b/>
          <w:sz w:val="28"/>
          <w:szCs w:val="28"/>
        </w:rPr>
      </w:pPr>
      <w:r w:rsidRPr="00577593">
        <w:rPr>
          <w:rFonts w:ascii="Times New Roman" w:hAnsi="Times New Roman"/>
          <w:b/>
          <w:sz w:val="28"/>
          <w:szCs w:val="28"/>
        </w:rPr>
        <w:t>Жилищный фонд и жил</w:t>
      </w:r>
      <w:r w:rsidR="007F602F">
        <w:rPr>
          <w:rFonts w:ascii="Times New Roman" w:hAnsi="Times New Roman"/>
          <w:b/>
          <w:sz w:val="28"/>
          <w:szCs w:val="28"/>
        </w:rPr>
        <w:t>ищная</w:t>
      </w:r>
      <w:r w:rsidRPr="00577593">
        <w:rPr>
          <w:rFonts w:ascii="Times New Roman" w:hAnsi="Times New Roman"/>
          <w:b/>
          <w:sz w:val="28"/>
          <w:szCs w:val="28"/>
        </w:rPr>
        <w:t xml:space="preserve"> политика</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Доля площади жилищного фонда, обеспеченного всеми видами благоустройства, составляет 81,12%. В городе Барнауле </w:t>
      </w:r>
      <w:r w:rsidR="0020784E" w:rsidRPr="00577593">
        <w:rPr>
          <w:rFonts w:ascii="Times New Roman" w:hAnsi="Times New Roman"/>
          <w:sz w:val="28"/>
          <w:szCs w:val="28"/>
        </w:rPr>
        <w:br/>
      </w:r>
      <w:r w:rsidRPr="00577593">
        <w:rPr>
          <w:rFonts w:ascii="Times New Roman" w:hAnsi="Times New Roman"/>
          <w:sz w:val="28"/>
          <w:szCs w:val="28"/>
        </w:rPr>
        <w:t xml:space="preserve">3195 многоквартирных домов. Общая площадь жилищного фонда в </w:t>
      </w:r>
      <w:r w:rsidRPr="00577593">
        <w:rPr>
          <w:rFonts w:ascii="Times New Roman" w:hAnsi="Times New Roman"/>
          <w:sz w:val="28"/>
          <w:szCs w:val="28"/>
        </w:rPr>
        <w:lastRenderedPageBreak/>
        <w:t xml:space="preserve">муниципальной собственности по итогам 2024 года – 355,22 тыс. </w:t>
      </w:r>
      <w:r w:rsidR="000F76C4">
        <w:rPr>
          <w:rFonts w:ascii="Times New Roman" w:hAnsi="Times New Roman"/>
          <w:sz w:val="28"/>
          <w:szCs w:val="28"/>
        </w:rPr>
        <w:t>кв. м</w:t>
      </w:r>
      <w:r w:rsidRPr="00577593">
        <w:rPr>
          <w:rFonts w:ascii="Times New Roman" w:hAnsi="Times New Roman"/>
          <w:sz w:val="28"/>
          <w:szCs w:val="28"/>
        </w:rPr>
        <w:t xml:space="preserve">. Если общая площадь </w:t>
      </w:r>
      <w:r w:rsidR="000A15D0" w:rsidRPr="00577593">
        <w:rPr>
          <w:rFonts w:ascii="Times New Roman" w:hAnsi="Times New Roman"/>
          <w:sz w:val="28"/>
          <w:szCs w:val="28"/>
        </w:rPr>
        <w:t>жилищного фонда на конец 2012 года</w:t>
      </w:r>
      <w:r w:rsidRPr="00577593">
        <w:rPr>
          <w:rFonts w:ascii="Times New Roman" w:hAnsi="Times New Roman"/>
          <w:sz w:val="28"/>
          <w:szCs w:val="28"/>
        </w:rPr>
        <w:t xml:space="preserve"> составила </w:t>
      </w:r>
      <w:r w:rsidR="000A33A9" w:rsidRPr="00577593">
        <w:rPr>
          <w:rFonts w:ascii="Times New Roman" w:hAnsi="Times New Roman"/>
          <w:sz w:val="28"/>
          <w:szCs w:val="28"/>
        </w:rPr>
        <w:br/>
      </w:r>
      <w:r w:rsidRPr="00577593">
        <w:rPr>
          <w:rFonts w:ascii="Times New Roman" w:hAnsi="Times New Roman"/>
          <w:sz w:val="28"/>
          <w:szCs w:val="28"/>
        </w:rPr>
        <w:t xml:space="preserve">13,7 млн </w:t>
      </w:r>
      <w:r w:rsidR="000F76C4">
        <w:rPr>
          <w:rFonts w:ascii="Times New Roman" w:hAnsi="Times New Roman"/>
          <w:sz w:val="28"/>
          <w:szCs w:val="28"/>
        </w:rPr>
        <w:t>кв. м</w:t>
      </w:r>
      <w:r w:rsidRPr="00577593">
        <w:rPr>
          <w:rFonts w:ascii="Times New Roman" w:hAnsi="Times New Roman"/>
          <w:sz w:val="28"/>
          <w:szCs w:val="28"/>
        </w:rPr>
        <w:t>, то на 01.01.2025 она</w:t>
      </w:r>
      <w:r w:rsidR="0070583D" w:rsidRPr="00577593">
        <w:rPr>
          <w:rFonts w:ascii="Times New Roman" w:hAnsi="Times New Roman"/>
          <w:sz w:val="28"/>
          <w:szCs w:val="28"/>
        </w:rPr>
        <w:t xml:space="preserve"> выросла на 42% до 19,5 млн </w:t>
      </w:r>
      <w:r w:rsidR="000F76C4">
        <w:rPr>
          <w:rFonts w:ascii="Times New Roman" w:hAnsi="Times New Roman"/>
          <w:sz w:val="28"/>
          <w:szCs w:val="28"/>
        </w:rPr>
        <w:t>кв. м</w:t>
      </w:r>
      <w:r w:rsidRPr="00577593">
        <w:rPr>
          <w:rFonts w:ascii="Times New Roman" w:hAnsi="Times New Roman"/>
          <w:sz w:val="28"/>
          <w:szCs w:val="28"/>
        </w:rPr>
        <w:t xml:space="preserve">.  Площадь общественно-деловой застройки на </w:t>
      </w:r>
      <w:r w:rsidR="000E3BB2" w:rsidRPr="00577593">
        <w:rPr>
          <w:rFonts w:ascii="Times New Roman" w:hAnsi="Times New Roman"/>
          <w:sz w:val="28"/>
          <w:szCs w:val="28"/>
        </w:rPr>
        <w:t>01.01.2024</w:t>
      </w:r>
      <w:r w:rsidRPr="00577593">
        <w:rPr>
          <w:rFonts w:ascii="Times New Roman" w:hAnsi="Times New Roman"/>
          <w:sz w:val="28"/>
          <w:szCs w:val="28"/>
        </w:rPr>
        <w:t xml:space="preserve"> составила около </w:t>
      </w:r>
      <w:r w:rsidR="000A33A9" w:rsidRPr="00577593">
        <w:rPr>
          <w:rFonts w:ascii="Times New Roman" w:hAnsi="Times New Roman"/>
          <w:sz w:val="28"/>
          <w:szCs w:val="28"/>
        </w:rPr>
        <w:br/>
      </w:r>
      <w:r w:rsidR="0070583D" w:rsidRPr="00577593">
        <w:rPr>
          <w:rFonts w:ascii="Times New Roman" w:hAnsi="Times New Roman"/>
          <w:sz w:val="28"/>
          <w:szCs w:val="28"/>
        </w:rPr>
        <w:t xml:space="preserve">6,8 млн </w:t>
      </w:r>
      <w:r w:rsidR="000F76C4">
        <w:rPr>
          <w:rFonts w:ascii="Times New Roman" w:hAnsi="Times New Roman"/>
          <w:sz w:val="28"/>
          <w:szCs w:val="28"/>
        </w:rPr>
        <w:t>кв. м</w:t>
      </w:r>
      <w:r w:rsidRPr="00577593">
        <w:rPr>
          <w:rFonts w:ascii="Times New Roman" w:hAnsi="Times New Roman"/>
          <w:sz w:val="28"/>
          <w:szCs w:val="28"/>
        </w:rPr>
        <w:t xml:space="preserve">. </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Тренд вв</w:t>
      </w:r>
      <w:r w:rsidR="000A15D0" w:rsidRPr="00577593">
        <w:rPr>
          <w:rFonts w:ascii="Times New Roman" w:hAnsi="Times New Roman"/>
          <w:sz w:val="28"/>
          <w:szCs w:val="28"/>
        </w:rPr>
        <w:t>ода нового жилья в 2012-2024 годы</w:t>
      </w:r>
      <w:r w:rsidRPr="00577593">
        <w:rPr>
          <w:rFonts w:ascii="Times New Roman" w:hAnsi="Times New Roman"/>
          <w:sz w:val="28"/>
          <w:szCs w:val="28"/>
        </w:rPr>
        <w:t xml:space="preserve"> в </w:t>
      </w:r>
      <w:r w:rsidR="004B1E0B">
        <w:rPr>
          <w:rFonts w:ascii="Times New Roman" w:hAnsi="Times New Roman"/>
          <w:sz w:val="28"/>
          <w:szCs w:val="28"/>
        </w:rPr>
        <w:t xml:space="preserve">городе </w:t>
      </w:r>
      <w:r w:rsidRPr="00577593">
        <w:rPr>
          <w:rFonts w:ascii="Times New Roman" w:hAnsi="Times New Roman"/>
          <w:sz w:val="28"/>
          <w:szCs w:val="28"/>
        </w:rPr>
        <w:t xml:space="preserve">в среднем </w:t>
      </w:r>
      <w:r w:rsidR="007F602F">
        <w:rPr>
          <w:rFonts w:ascii="Times New Roman" w:hAnsi="Times New Roman"/>
          <w:sz w:val="28"/>
          <w:szCs w:val="28"/>
        </w:rPr>
        <w:t xml:space="preserve">является </w:t>
      </w:r>
      <w:r w:rsidRPr="00577593">
        <w:rPr>
          <w:rFonts w:ascii="Times New Roman" w:hAnsi="Times New Roman"/>
          <w:sz w:val="28"/>
          <w:szCs w:val="28"/>
        </w:rPr>
        <w:t xml:space="preserve">положительным. Динамика ввода </w:t>
      </w:r>
      <w:r w:rsidR="007F602F">
        <w:rPr>
          <w:rFonts w:ascii="Times New Roman" w:hAnsi="Times New Roman"/>
          <w:sz w:val="28"/>
          <w:szCs w:val="28"/>
        </w:rPr>
        <w:t>многоквартирных домов</w:t>
      </w:r>
      <w:r w:rsidRPr="00577593">
        <w:rPr>
          <w:rFonts w:ascii="Times New Roman" w:hAnsi="Times New Roman"/>
          <w:sz w:val="28"/>
          <w:szCs w:val="28"/>
        </w:rPr>
        <w:t xml:space="preserve"> в большей степени показывает связь с общероссийскими экономическими событиями: пик ввода нового жилья в 2015 году связан с экономическим</w:t>
      </w:r>
      <w:r w:rsidR="000A15D0" w:rsidRPr="00577593">
        <w:rPr>
          <w:rFonts w:ascii="Times New Roman" w:hAnsi="Times New Roman"/>
          <w:sz w:val="28"/>
          <w:szCs w:val="28"/>
        </w:rPr>
        <w:t xml:space="preserve"> ростом в стране в 2010-2013 годы</w:t>
      </w:r>
      <w:r w:rsidRPr="00577593">
        <w:rPr>
          <w:rFonts w:ascii="Times New Roman" w:hAnsi="Times New Roman"/>
          <w:sz w:val="28"/>
          <w:szCs w:val="28"/>
        </w:rPr>
        <w:t>, спа</w:t>
      </w:r>
      <w:r w:rsidR="000A15D0" w:rsidRPr="00577593">
        <w:rPr>
          <w:rFonts w:ascii="Times New Roman" w:hAnsi="Times New Roman"/>
          <w:sz w:val="28"/>
          <w:szCs w:val="28"/>
        </w:rPr>
        <w:t>д случился после кризиса 2014 года</w:t>
      </w:r>
      <w:r w:rsidRPr="00577593">
        <w:rPr>
          <w:rFonts w:ascii="Times New Roman" w:hAnsi="Times New Roman"/>
          <w:sz w:val="28"/>
          <w:szCs w:val="28"/>
        </w:rPr>
        <w:t>, н</w:t>
      </w:r>
      <w:r w:rsidR="000A15D0" w:rsidRPr="00577593">
        <w:rPr>
          <w:rFonts w:ascii="Times New Roman" w:hAnsi="Times New Roman"/>
          <w:sz w:val="28"/>
          <w:szCs w:val="28"/>
        </w:rPr>
        <w:t>овый пик был достигнут в 2021 году</w:t>
      </w:r>
      <w:r w:rsidRPr="00577593">
        <w:rPr>
          <w:rFonts w:ascii="Times New Roman" w:hAnsi="Times New Roman"/>
          <w:sz w:val="28"/>
          <w:szCs w:val="28"/>
        </w:rPr>
        <w:t xml:space="preserve"> на фоне восстано</w:t>
      </w:r>
      <w:r w:rsidR="000A15D0" w:rsidRPr="00577593">
        <w:rPr>
          <w:rFonts w:ascii="Times New Roman" w:hAnsi="Times New Roman"/>
          <w:sz w:val="28"/>
          <w:szCs w:val="28"/>
        </w:rPr>
        <w:t>вления экономики в 2017-2021 годы</w:t>
      </w:r>
      <w:r w:rsidRPr="00577593">
        <w:rPr>
          <w:rFonts w:ascii="Times New Roman" w:hAnsi="Times New Roman"/>
          <w:sz w:val="28"/>
          <w:szCs w:val="28"/>
        </w:rPr>
        <w:t xml:space="preserve"> и мер поддержки строительной отрасли, новый спад п</w:t>
      </w:r>
      <w:r w:rsidR="000A15D0" w:rsidRPr="00577593">
        <w:rPr>
          <w:rFonts w:ascii="Times New Roman" w:hAnsi="Times New Roman"/>
          <w:sz w:val="28"/>
          <w:szCs w:val="28"/>
        </w:rPr>
        <w:t>роизошел в 2022-2024 годы</w:t>
      </w:r>
      <w:r w:rsidRPr="00577593">
        <w:rPr>
          <w:rFonts w:ascii="Times New Roman" w:hAnsi="Times New Roman"/>
          <w:sz w:val="28"/>
          <w:szCs w:val="28"/>
        </w:rPr>
        <w:t xml:space="preserve"> в связи с пандемией </w:t>
      </w:r>
      <w:r w:rsidRPr="00577593">
        <w:rPr>
          <w:rFonts w:ascii="Times New Roman" w:hAnsi="Times New Roman"/>
          <w:sz w:val="28"/>
          <w:szCs w:val="28"/>
          <w:lang w:val="en-US"/>
        </w:rPr>
        <w:t>COVID</w:t>
      </w:r>
      <w:r w:rsidRPr="00577593">
        <w:rPr>
          <w:rFonts w:ascii="Times New Roman" w:hAnsi="Times New Roman"/>
          <w:sz w:val="28"/>
          <w:szCs w:val="28"/>
        </w:rPr>
        <w:noBreakHyphen/>
        <w:t>19 и внешнеполитическим шоком 2022</w:t>
      </w:r>
      <w:r w:rsidRPr="00577593">
        <w:rPr>
          <w:rFonts w:ascii="Times New Roman" w:hAnsi="Times New Roman"/>
          <w:sz w:val="28"/>
          <w:szCs w:val="28"/>
          <w:lang w:val="en-US"/>
        </w:rPr>
        <w:t> </w:t>
      </w:r>
      <w:r w:rsidRPr="00577593">
        <w:rPr>
          <w:rFonts w:ascii="Times New Roman" w:hAnsi="Times New Roman"/>
          <w:sz w:val="28"/>
          <w:szCs w:val="28"/>
        </w:rPr>
        <w:t>г</w:t>
      </w:r>
      <w:r w:rsidR="000A15D0" w:rsidRPr="00577593">
        <w:rPr>
          <w:rFonts w:ascii="Times New Roman" w:hAnsi="Times New Roman"/>
          <w:sz w:val="28"/>
          <w:szCs w:val="28"/>
        </w:rPr>
        <w:t>ода</w:t>
      </w:r>
      <w:r w:rsidRPr="00577593">
        <w:rPr>
          <w:rFonts w:ascii="Times New Roman" w:hAnsi="Times New Roman"/>
          <w:sz w:val="28"/>
          <w:szCs w:val="28"/>
        </w:rPr>
        <w:t>. В то же время ввод индивидуальных домов оказался бол</w:t>
      </w:r>
      <w:r w:rsidR="000A15D0" w:rsidRPr="00577593">
        <w:rPr>
          <w:rFonts w:ascii="Times New Roman" w:hAnsi="Times New Roman"/>
          <w:sz w:val="28"/>
          <w:szCs w:val="28"/>
        </w:rPr>
        <w:t xml:space="preserve">ее устойчивым </w:t>
      </w:r>
      <w:r w:rsidR="00A518B7" w:rsidRPr="00577593">
        <w:rPr>
          <w:rFonts w:ascii="Times New Roman" w:hAnsi="Times New Roman"/>
          <w:sz w:val="28"/>
          <w:szCs w:val="28"/>
        </w:rPr>
        <w:t>–</w:t>
      </w:r>
      <w:r w:rsidR="000A15D0" w:rsidRPr="00577593">
        <w:rPr>
          <w:rFonts w:ascii="Times New Roman" w:hAnsi="Times New Roman"/>
          <w:sz w:val="28"/>
          <w:szCs w:val="28"/>
        </w:rPr>
        <w:t xml:space="preserve"> после спада из-</w:t>
      </w:r>
      <w:r w:rsidRPr="00577593">
        <w:rPr>
          <w:rFonts w:ascii="Times New Roman" w:hAnsi="Times New Roman"/>
          <w:sz w:val="28"/>
          <w:szCs w:val="28"/>
        </w:rPr>
        <w:t>з</w:t>
      </w:r>
      <w:r w:rsidR="000A15D0" w:rsidRPr="00577593">
        <w:rPr>
          <w:rFonts w:ascii="Times New Roman" w:hAnsi="Times New Roman"/>
          <w:sz w:val="28"/>
          <w:szCs w:val="28"/>
        </w:rPr>
        <w:t>а экономического кризиса 2014 года</w:t>
      </w:r>
      <w:r w:rsidRPr="00577593">
        <w:rPr>
          <w:rFonts w:ascii="Times New Roman" w:hAnsi="Times New Roman"/>
          <w:sz w:val="28"/>
          <w:szCs w:val="28"/>
        </w:rPr>
        <w:t xml:space="preserve"> наблюдается </w:t>
      </w:r>
      <w:r w:rsidR="000A15D0" w:rsidRPr="00577593">
        <w:rPr>
          <w:rFonts w:ascii="Times New Roman" w:hAnsi="Times New Roman"/>
          <w:sz w:val="28"/>
          <w:szCs w:val="28"/>
        </w:rPr>
        <w:t>положительная динамика с 2016 года</w:t>
      </w:r>
      <w:r w:rsidRPr="00577593">
        <w:rPr>
          <w:rFonts w:ascii="Times New Roman" w:hAnsi="Times New Roman"/>
          <w:sz w:val="28"/>
          <w:szCs w:val="28"/>
        </w:rPr>
        <w:t xml:space="preserve"> и</w:t>
      </w:r>
      <w:r w:rsidRPr="00577593">
        <w:rPr>
          <w:rFonts w:ascii="Times New Roman" w:hAnsi="Times New Roman"/>
          <w:sz w:val="28"/>
          <w:szCs w:val="28"/>
          <w:lang w:val="en-US"/>
        </w:rPr>
        <w:t> </w:t>
      </w:r>
      <w:r w:rsidRPr="00577593">
        <w:rPr>
          <w:rFonts w:ascii="Times New Roman" w:hAnsi="Times New Roman"/>
          <w:sz w:val="28"/>
          <w:szCs w:val="28"/>
        </w:rPr>
        <w:t>рост показателей в 3 раза. Всего в 2012</w:t>
      </w:r>
      <w:r w:rsidR="000A15D0" w:rsidRPr="00577593">
        <w:rPr>
          <w:rFonts w:ascii="Times New Roman" w:hAnsi="Times New Roman"/>
          <w:sz w:val="28"/>
          <w:szCs w:val="28"/>
        </w:rPr>
        <w:t>-2024 годы</w:t>
      </w:r>
      <w:r w:rsidRPr="00577593">
        <w:rPr>
          <w:rFonts w:ascii="Times New Roman" w:hAnsi="Times New Roman"/>
          <w:sz w:val="28"/>
          <w:szCs w:val="28"/>
        </w:rPr>
        <w:t xml:space="preserve"> на ИЖС пришлось 26,4% нового жилья, а на МКД </w:t>
      </w:r>
      <w:r w:rsidR="000A15D0" w:rsidRPr="00577593">
        <w:rPr>
          <w:rFonts w:ascii="Times New Roman" w:hAnsi="Times New Roman"/>
          <w:sz w:val="28"/>
          <w:szCs w:val="28"/>
        </w:rPr>
        <w:t>–</w:t>
      </w:r>
      <w:r w:rsidRPr="00577593">
        <w:rPr>
          <w:rFonts w:ascii="Times New Roman" w:hAnsi="Times New Roman"/>
          <w:sz w:val="28"/>
          <w:szCs w:val="28"/>
        </w:rPr>
        <w:t xml:space="preserve"> 73,6%. В 2012</w:t>
      </w:r>
      <w:r w:rsidR="000A15D0" w:rsidRPr="00577593">
        <w:rPr>
          <w:rFonts w:ascii="Times New Roman" w:hAnsi="Times New Roman"/>
          <w:sz w:val="28"/>
          <w:szCs w:val="28"/>
        </w:rPr>
        <w:t>-2013 годы</w:t>
      </w:r>
      <w:r w:rsidRPr="00577593">
        <w:rPr>
          <w:rFonts w:ascii="Times New Roman" w:hAnsi="Times New Roman"/>
          <w:sz w:val="28"/>
          <w:szCs w:val="28"/>
        </w:rPr>
        <w:t xml:space="preserve"> на ИЖС пришлось 39% нового строительства, а</w:t>
      </w:r>
      <w:r w:rsidRPr="00577593">
        <w:rPr>
          <w:rFonts w:ascii="Times New Roman" w:hAnsi="Times New Roman"/>
          <w:sz w:val="28"/>
          <w:szCs w:val="28"/>
          <w:lang w:val="en-US"/>
        </w:rPr>
        <w:t> </w:t>
      </w:r>
      <w:r w:rsidRPr="00577593">
        <w:rPr>
          <w:rFonts w:ascii="Times New Roman" w:hAnsi="Times New Roman"/>
          <w:sz w:val="28"/>
          <w:szCs w:val="28"/>
        </w:rPr>
        <w:t>в</w:t>
      </w:r>
      <w:r w:rsidRPr="00577593">
        <w:rPr>
          <w:rFonts w:ascii="Times New Roman" w:hAnsi="Times New Roman"/>
          <w:sz w:val="28"/>
          <w:szCs w:val="28"/>
          <w:lang w:val="en-US"/>
        </w:rPr>
        <w:t> </w:t>
      </w:r>
      <w:r w:rsidR="000A15D0" w:rsidRPr="00577593">
        <w:rPr>
          <w:rFonts w:ascii="Times New Roman" w:hAnsi="Times New Roman"/>
          <w:sz w:val="28"/>
          <w:szCs w:val="28"/>
        </w:rPr>
        <w:t>2023-2024 годы</w:t>
      </w:r>
      <w:r w:rsidRPr="00577593">
        <w:rPr>
          <w:rFonts w:ascii="Times New Roman" w:hAnsi="Times New Roman"/>
          <w:sz w:val="28"/>
          <w:szCs w:val="28"/>
        </w:rPr>
        <w:t xml:space="preserve"> </w:t>
      </w:r>
      <w:r w:rsidR="000A15D0" w:rsidRPr="00577593">
        <w:rPr>
          <w:rFonts w:ascii="Times New Roman" w:hAnsi="Times New Roman"/>
          <w:sz w:val="28"/>
          <w:szCs w:val="28"/>
        </w:rPr>
        <w:t>–</w:t>
      </w:r>
      <w:r w:rsidRPr="00577593">
        <w:rPr>
          <w:rFonts w:ascii="Times New Roman" w:hAnsi="Times New Roman"/>
          <w:sz w:val="28"/>
          <w:szCs w:val="28"/>
        </w:rPr>
        <w:t xml:space="preserve"> более 4</w:t>
      </w:r>
      <w:r w:rsidR="000E3BB2" w:rsidRPr="00577593">
        <w:rPr>
          <w:rFonts w:ascii="Times New Roman" w:hAnsi="Times New Roman"/>
          <w:sz w:val="28"/>
          <w:szCs w:val="28"/>
        </w:rPr>
        <w:t>2</w:t>
      </w:r>
      <w:r w:rsidRPr="00577593">
        <w:rPr>
          <w:rFonts w:ascii="Times New Roman" w:hAnsi="Times New Roman"/>
          <w:sz w:val="28"/>
          <w:szCs w:val="28"/>
        </w:rPr>
        <w:t>% (</w:t>
      </w:r>
      <w:r w:rsidR="00D558A5">
        <w:fldChar w:fldCharType="begin"/>
      </w:r>
      <w:r w:rsidR="00D558A5">
        <w:instrText xml:space="preserve"> REF _Ref199451447 \h  \* MERGEFORMAT </w:instrText>
      </w:r>
      <w:r w:rsidR="00D558A5">
        <w:fldChar w:fldCharType="separate"/>
      </w:r>
      <w:r w:rsidR="00071499" w:rsidRPr="00071499">
        <w:rPr>
          <w:rFonts w:ascii="Times New Roman" w:hAnsi="Times New Roman"/>
          <w:sz w:val="28"/>
          <w:szCs w:val="28"/>
        </w:rPr>
        <w:t xml:space="preserve">Рисунок </w:t>
      </w:r>
      <w:r w:rsidR="00D558A5">
        <w:fldChar w:fldCharType="end"/>
      </w:r>
      <w:r w:rsidR="00CE13E1">
        <w:rPr>
          <w:rFonts w:ascii="Times New Roman" w:hAnsi="Times New Roman"/>
          <w:sz w:val="28"/>
          <w:szCs w:val="28"/>
        </w:rPr>
        <w:t>41</w:t>
      </w:r>
      <w:r w:rsidRPr="00577593">
        <w:rPr>
          <w:rFonts w:ascii="Times New Roman" w:hAnsi="Times New Roman"/>
          <w:sz w:val="28"/>
          <w:szCs w:val="28"/>
        </w:rPr>
        <w:t>).</w:t>
      </w:r>
    </w:p>
    <w:p w:rsidR="00FC41F4" w:rsidRPr="00577593" w:rsidRDefault="000D3F7A" w:rsidP="002000D4">
      <w:pPr>
        <w:spacing w:after="0" w:line="240" w:lineRule="auto"/>
        <w:ind w:firstLine="142"/>
        <w:rPr>
          <w:rFonts w:ascii="Times New Roman" w:hAnsi="Times New Roman"/>
          <w:sz w:val="28"/>
          <w:szCs w:val="28"/>
        </w:rPr>
      </w:pPr>
      <w:r w:rsidRPr="00577593">
        <w:rPr>
          <w:rFonts w:ascii="Times New Roman" w:hAnsi="Times New Roman"/>
          <w:noProof/>
          <w:sz w:val="24"/>
          <w:szCs w:val="24"/>
          <w:lang w:eastAsia="ru-RU"/>
        </w:rPr>
        <w:drawing>
          <wp:inline distT="0" distB="0" distL="0" distR="0">
            <wp:extent cx="5943600" cy="2939415"/>
            <wp:effectExtent l="0" t="0" r="0" b="0"/>
            <wp:docPr id="41" name="Объект 4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FC41F4" w:rsidRDefault="008925FA" w:rsidP="00B47E22">
      <w:pPr>
        <w:pStyle w:val="paragraph"/>
        <w:spacing w:before="0" w:beforeAutospacing="0" w:after="0" w:afterAutospacing="0"/>
        <w:jc w:val="center"/>
        <w:rPr>
          <w:sz w:val="28"/>
          <w:szCs w:val="28"/>
        </w:rPr>
      </w:pPr>
      <w:bookmarkStart w:id="132" w:name="_Ref199451447"/>
      <w:r w:rsidRPr="00577593">
        <w:rPr>
          <w:sz w:val="28"/>
          <w:szCs w:val="28"/>
        </w:rPr>
        <w:t xml:space="preserve">Рисунок </w:t>
      </w:r>
      <w:bookmarkEnd w:id="132"/>
      <w:r w:rsidR="00CE13E1">
        <w:rPr>
          <w:sz w:val="28"/>
          <w:szCs w:val="28"/>
        </w:rPr>
        <w:t>41</w:t>
      </w:r>
      <w:r w:rsidRPr="00577593">
        <w:rPr>
          <w:sz w:val="28"/>
          <w:szCs w:val="28"/>
        </w:rPr>
        <w:t xml:space="preserve"> </w:t>
      </w:r>
      <w:r w:rsidR="00A518B7" w:rsidRPr="00577593">
        <w:rPr>
          <w:sz w:val="28"/>
          <w:szCs w:val="28"/>
        </w:rPr>
        <w:t>–</w:t>
      </w:r>
      <w:r w:rsidRPr="00577593">
        <w:rPr>
          <w:sz w:val="28"/>
          <w:szCs w:val="28"/>
        </w:rPr>
        <w:t xml:space="preserve"> В</w:t>
      </w:r>
      <w:r w:rsidR="00045158" w:rsidRPr="00577593">
        <w:rPr>
          <w:sz w:val="28"/>
          <w:szCs w:val="28"/>
        </w:rPr>
        <w:t xml:space="preserve">вод нового жилья </w:t>
      </w:r>
      <w:r w:rsidR="00C650C4" w:rsidRPr="00577593">
        <w:rPr>
          <w:sz w:val="28"/>
          <w:szCs w:val="28"/>
        </w:rPr>
        <w:t>за январь-декабрь 2012-2024 годов</w:t>
      </w:r>
      <w:r w:rsidRPr="00577593">
        <w:rPr>
          <w:sz w:val="28"/>
          <w:szCs w:val="28"/>
        </w:rPr>
        <w:t xml:space="preserve">, </w:t>
      </w:r>
      <w:r w:rsidR="000F76C4">
        <w:rPr>
          <w:sz w:val="28"/>
          <w:szCs w:val="28"/>
        </w:rPr>
        <w:t>кв. м</w:t>
      </w:r>
    </w:p>
    <w:p w:rsidR="00B47E22" w:rsidRPr="00577593" w:rsidRDefault="00B47E22" w:rsidP="00B47E22">
      <w:pPr>
        <w:spacing w:after="0" w:line="240" w:lineRule="auto"/>
        <w:ind w:firstLine="142"/>
        <w:rPr>
          <w:rFonts w:ascii="Times New Roman" w:hAnsi="Times New Roman"/>
          <w:sz w:val="28"/>
          <w:szCs w:val="28"/>
        </w:rPr>
      </w:pPr>
      <w:r w:rsidRPr="00577593">
        <w:rPr>
          <w:rFonts w:ascii="Times New Roman" w:hAnsi="Times New Roman"/>
          <w:sz w:val="28"/>
          <w:szCs w:val="28"/>
        </w:rPr>
        <w:t>Примечание – Источник: данные Росстата</w:t>
      </w:r>
    </w:p>
    <w:p w:rsidR="00B47E22" w:rsidRPr="00577593" w:rsidRDefault="00B47E22" w:rsidP="002000D4">
      <w:pPr>
        <w:pStyle w:val="paragraph"/>
        <w:spacing w:before="0" w:beforeAutospacing="0" w:after="200" w:afterAutospacing="0"/>
        <w:jc w:val="center"/>
        <w:rPr>
          <w:sz w:val="28"/>
          <w:szCs w:val="28"/>
        </w:rPr>
      </w:pP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Невзирая на волатильность динамики ввода нового жилья, на которую влияла макроэкономическая ситуация в стране, обеспеченность жильем выросла на 7 </w:t>
      </w:r>
      <w:r w:rsidR="000F76C4">
        <w:rPr>
          <w:rFonts w:ascii="Times New Roman" w:hAnsi="Times New Roman"/>
          <w:sz w:val="28"/>
          <w:szCs w:val="28"/>
        </w:rPr>
        <w:t>кв. м</w:t>
      </w:r>
      <w:r w:rsidRPr="00577593">
        <w:rPr>
          <w:rFonts w:ascii="Times New Roman" w:hAnsi="Times New Roman"/>
          <w:sz w:val="28"/>
          <w:szCs w:val="28"/>
        </w:rPr>
        <w:t xml:space="preserve"> и достигла 28,32 </w:t>
      </w:r>
      <w:r w:rsidR="000F76C4">
        <w:rPr>
          <w:rFonts w:ascii="Times New Roman" w:hAnsi="Times New Roman"/>
          <w:sz w:val="28"/>
          <w:szCs w:val="28"/>
        </w:rPr>
        <w:t>кв. м</w:t>
      </w:r>
      <w:r w:rsidRPr="00577593">
        <w:rPr>
          <w:rFonts w:ascii="Times New Roman" w:hAnsi="Times New Roman"/>
          <w:sz w:val="28"/>
          <w:szCs w:val="28"/>
        </w:rPr>
        <w:t xml:space="preserve"> на </w:t>
      </w:r>
      <w:r w:rsidR="000E3BB2" w:rsidRPr="00577593">
        <w:rPr>
          <w:rFonts w:ascii="Times New Roman" w:hAnsi="Times New Roman"/>
          <w:sz w:val="28"/>
          <w:szCs w:val="28"/>
        </w:rPr>
        <w:t>одного</w:t>
      </w:r>
      <w:r w:rsidRPr="00577593">
        <w:rPr>
          <w:rFonts w:ascii="Times New Roman" w:hAnsi="Times New Roman"/>
          <w:sz w:val="28"/>
          <w:szCs w:val="28"/>
        </w:rPr>
        <w:t xml:space="preserve"> человека, что меньше среднероссийского значения 29,5 </w:t>
      </w:r>
      <w:r w:rsidR="000F76C4">
        <w:rPr>
          <w:rFonts w:ascii="Times New Roman" w:hAnsi="Times New Roman"/>
          <w:sz w:val="28"/>
          <w:szCs w:val="28"/>
        </w:rPr>
        <w:t>кв. м</w:t>
      </w:r>
      <w:r w:rsidRPr="00577593">
        <w:rPr>
          <w:rFonts w:ascii="Times New Roman" w:hAnsi="Times New Roman"/>
          <w:sz w:val="28"/>
          <w:szCs w:val="28"/>
        </w:rPr>
        <w:t> в 2024 году (</w:t>
      </w:r>
      <w:r w:rsidR="001F5B23" w:rsidRPr="001F5B23">
        <w:rPr>
          <w:rFonts w:ascii="Times New Roman" w:hAnsi="Times New Roman"/>
          <w:sz w:val="28"/>
          <w:szCs w:val="28"/>
        </w:rPr>
        <w:t>Рисунок 42</w:t>
      </w:r>
      <w:r w:rsidRPr="00577593">
        <w:rPr>
          <w:rFonts w:ascii="Times New Roman" w:hAnsi="Times New Roman"/>
          <w:sz w:val="28"/>
          <w:szCs w:val="28"/>
        </w:rPr>
        <w:t>).</w:t>
      </w:r>
    </w:p>
    <w:p w:rsidR="00D45E45" w:rsidRPr="00577593" w:rsidRDefault="00D45E45" w:rsidP="002000D4">
      <w:pPr>
        <w:spacing w:after="0" w:line="240" w:lineRule="auto"/>
        <w:ind w:firstLine="709"/>
        <w:jc w:val="both"/>
        <w:rPr>
          <w:rFonts w:ascii="Times New Roman" w:hAnsi="Times New Roman"/>
          <w:sz w:val="28"/>
          <w:szCs w:val="28"/>
        </w:rPr>
      </w:pPr>
    </w:p>
    <w:p w:rsidR="00D45E45" w:rsidRPr="00577593" w:rsidRDefault="00D45E45" w:rsidP="002000D4">
      <w:pPr>
        <w:spacing w:after="0" w:line="240" w:lineRule="auto"/>
        <w:ind w:firstLine="709"/>
        <w:jc w:val="both"/>
        <w:rPr>
          <w:rFonts w:ascii="Times New Roman" w:hAnsi="Times New Roman"/>
          <w:sz w:val="28"/>
          <w:szCs w:val="28"/>
        </w:rPr>
      </w:pPr>
    </w:p>
    <w:p w:rsidR="00772D61" w:rsidRPr="00577593" w:rsidRDefault="000D3F7A" w:rsidP="002000D4">
      <w:pPr>
        <w:spacing w:after="0" w:line="240" w:lineRule="auto"/>
        <w:ind w:firstLine="142"/>
        <w:jc w:val="center"/>
        <w:rPr>
          <w:rFonts w:ascii="Times New Roman" w:hAnsi="Times New Roman"/>
          <w:sz w:val="24"/>
          <w:szCs w:val="24"/>
        </w:rPr>
      </w:pPr>
      <w:r w:rsidRPr="00577593">
        <w:rPr>
          <w:rFonts w:ascii="Times New Roman" w:hAnsi="Times New Roman"/>
          <w:noProof/>
          <w:sz w:val="24"/>
          <w:szCs w:val="24"/>
          <w:lang w:eastAsia="ru-RU"/>
        </w:rPr>
        <w:lastRenderedPageBreak/>
        <w:drawing>
          <wp:inline distT="0" distB="0" distL="0" distR="0">
            <wp:extent cx="5329555" cy="3305175"/>
            <wp:effectExtent l="0" t="0" r="0" b="0"/>
            <wp:docPr id="42" name="Объект 4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FC41F4" w:rsidRPr="00577593" w:rsidRDefault="00FC41F4" w:rsidP="002000D4">
      <w:pPr>
        <w:spacing w:after="0" w:line="240" w:lineRule="auto"/>
        <w:jc w:val="center"/>
        <w:rPr>
          <w:rFonts w:ascii="Times New Roman" w:hAnsi="Times New Roman"/>
          <w:sz w:val="24"/>
          <w:szCs w:val="24"/>
        </w:rPr>
      </w:pPr>
    </w:p>
    <w:p w:rsidR="00FC41F4" w:rsidRDefault="008925FA" w:rsidP="00B47E22">
      <w:pPr>
        <w:pStyle w:val="paragraph"/>
        <w:spacing w:before="0" w:beforeAutospacing="0" w:after="0" w:afterAutospacing="0"/>
        <w:jc w:val="center"/>
        <w:rPr>
          <w:sz w:val="28"/>
          <w:szCs w:val="28"/>
        </w:rPr>
      </w:pPr>
      <w:bookmarkStart w:id="133" w:name="_Ref199451473"/>
      <w:r w:rsidRPr="00577593">
        <w:rPr>
          <w:sz w:val="28"/>
          <w:szCs w:val="28"/>
        </w:rPr>
        <w:t xml:space="preserve">Рисунок </w:t>
      </w:r>
      <w:bookmarkEnd w:id="133"/>
      <w:r w:rsidR="00CE13E1">
        <w:rPr>
          <w:sz w:val="28"/>
          <w:szCs w:val="28"/>
        </w:rPr>
        <w:t>42</w:t>
      </w:r>
      <w:r w:rsidRPr="00577593">
        <w:rPr>
          <w:sz w:val="28"/>
          <w:szCs w:val="28"/>
        </w:rPr>
        <w:t xml:space="preserve"> </w:t>
      </w:r>
      <w:r w:rsidR="00A518B7" w:rsidRPr="00577593">
        <w:rPr>
          <w:sz w:val="28"/>
          <w:szCs w:val="28"/>
        </w:rPr>
        <w:t>–</w:t>
      </w:r>
      <w:r w:rsidRPr="00577593">
        <w:rPr>
          <w:sz w:val="28"/>
          <w:szCs w:val="28"/>
        </w:rPr>
        <w:t xml:space="preserve"> Площадь помещений, приходящаяся и введенная в действие </w:t>
      </w:r>
      <w:r w:rsidR="00C742AD" w:rsidRPr="00577593">
        <w:rPr>
          <w:sz w:val="28"/>
          <w:szCs w:val="28"/>
        </w:rPr>
        <w:br/>
      </w:r>
      <w:r w:rsidRPr="00577593">
        <w:rPr>
          <w:sz w:val="28"/>
          <w:szCs w:val="28"/>
        </w:rPr>
        <w:t xml:space="preserve">за год </w:t>
      </w:r>
      <w:r w:rsidR="00E76384" w:rsidRPr="00577593">
        <w:rPr>
          <w:sz w:val="28"/>
          <w:szCs w:val="28"/>
        </w:rPr>
        <w:t>(январь-декабрь)</w:t>
      </w:r>
      <w:r w:rsidR="00C939CD">
        <w:rPr>
          <w:sz w:val="28"/>
          <w:szCs w:val="28"/>
        </w:rPr>
        <w:t xml:space="preserve"> </w:t>
      </w:r>
      <w:r w:rsidRPr="00577593">
        <w:rPr>
          <w:sz w:val="28"/>
          <w:szCs w:val="28"/>
        </w:rPr>
        <w:t xml:space="preserve">на </w:t>
      </w:r>
      <w:r w:rsidR="000E3BB2" w:rsidRPr="00577593">
        <w:rPr>
          <w:sz w:val="28"/>
          <w:szCs w:val="28"/>
        </w:rPr>
        <w:t>одного</w:t>
      </w:r>
      <w:r w:rsidR="00E76384" w:rsidRPr="00577593">
        <w:rPr>
          <w:sz w:val="28"/>
          <w:szCs w:val="28"/>
        </w:rPr>
        <w:t xml:space="preserve"> жителя за</w:t>
      </w:r>
      <w:r w:rsidRPr="00577593">
        <w:rPr>
          <w:sz w:val="28"/>
          <w:szCs w:val="28"/>
        </w:rPr>
        <w:t xml:space="preserve"> 2012</w:t>
      </w:r>
      <w:r w:rsidR="00045158" w:rsidRPr="00577593">
        <w:rPr>
          <w:sz w:val="28"/>
          <w:szCs w:val="28"/>
        </w:rPr>
        <w:t>-</w:t>
      </w:r>
      <w:r w:rsidRPr="00577593">
        <w:rPr>
          <w:sz w:val="28"/>
          <w:szCs w:val="28"/>
        </w:rPr>
        <w:t>2024</w:t>
      </w:r>
      <w:r w:rsidR="00045158" w:rsidRPr="00577593">
        <w:rPr>
          <w:sz w:val="28"/>
          <w:szCs w:val="28"/>
        </w:rPr>
        <w:t xml:space="preserve"> годы</w:t>
      </w:r>
      <w:r w:rsidRPr="00577593">
        <w:rPr>
          <w:sz w:val="28"/>
          <w:szCs w:val="28"/>
        </w:rPr>
        <w:t xml:space="preserve">, </w:t>
      </w:r>
      <w:r w:rsidR="000F76C4">
        <w:rPr>
          <w:sz w:val="28"/>
          <w:szCs w:val="28"/>
        </w:rPr>
        <w:t>кв. м</w:t>
      </w:r>
    </w:p>
    <w:p w:rsidR="00B47E22" w:rsidRPr="00577593" w:rsidRDefault="00B47E22" w:rsidP="00B47E22">
      <w:pPr>
        <w:pStyle w:val="aff9"/>
        <w:spacing w:after="0"/>
        <w:rPr>
          <w:rFonts w:ascii="Times New Roman" w:hAnsi="Times New Roman"/>
          <w:i w:val="0"/>
          <w:color w:val="auto"/>
          <w:sz w:val="28"/>
          <w:szCs w:val="28"/>
        </w:rPr>
      </w:pPr>
      <w:r w:rsidRPr="00577593">
        <w:rPr>
          <w:rFonts w:ascii="Times New Roman" w:hAnsi="Times New Roman"/>
          <w:i w:val="0"/>
          <w:color w:val="auto"/>
          <w:sz w:val="28"/>
          <w:szCs w:val="28"/>
        </w:rPr>
        <w:t>Примечание – Источник: данные Росстата</w:t>
      </w:r>
    </w:p>
    <w:p w:rsidR="00B47E22" w:rsidRPr="00577593" w:rsidRDefault="00B47E22" w:rsidP="00B47E22">
      <w:pPr>
        <w:pStyle w:val="paragraph"/>
        <w:spacing w:before="0" w:beforeAutospacing="0" w:after="0" w:afterAutospacing="0"/>
        <w:jc w:val="center"/>
        <w:rPr>
          <w:sz w:val="28"/>
          <w:szCs w:val="28"/>
        </w:rPr>
      </w:pP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Число семей, получающих субсидии на оплату </w:t>
      </w:r>
      <w:r w:rsidR="007F602F">
        <w:rPr>
          <w:rFonts w:ascii="Times New Roman" w:hAnsi="Times New Roman"/>
          <w:sz w:val="28"/>
          <w:szCs w:val="28"/>
        </w:rPr>
        <w:t>жилищных</w:t>
      </w:r>
      <w:r w:rsidRPr="00577593">
        <w:rPr>
          <w:rFonts w:ascii="Times New Roman" w:hAnsi="Times New Roman"/>
          <w:sz w:val="28"/>
          <w:szCs w:val="28"/>
        </w:rPr>
        <w:t xml:space="preserve"> и коммунальных услуг, выросло почт</w:t>
      </w:r>
      <w:r w:rsidR="00110080" w:rsidRPr="00577593">
        <w:rPr>
          <w:rFonts w:ascii="Times New Roman" w:hAnsi="Times New Roman"/>
          <w:sz w:val="28"/>
          <w:szCs w:val="28"/>
        </w:rPr>
        <w:t>и в 1,8 раза с 10,3 до 18,3 тысячи</w:t>
      </w:r>
      <w:r w:rsidRPr="00577593">
        <w:rPr>
          <w:rFonts w:ascii="Times New Roman" w:hAnsi="Times New Roman"/>
          <w:sz w:val="28"/>
          <w:szCs w:val="28"/>
        </w:rPr>
        <w:t xml:space="preserve"> семей. Число граждан, пользующихся </w:t>
      </w:r>
      <w:r w:rsidR="007F602F">
        <w:rPr>
          <w:rFonts w:ascii="Times New Roman" w:hAnsi="Times New Roman"/>
          <w:sz w:val="28"/>
          <w:szCs w:val="28"/>
        </w:rPr>
        <w:t xml:space="preserve">мерами </w:t>
      </w:r>
      <w:r w:rsidRPr="00577593">
        <w:rPr>
          <w:rFonts w:ascii="Times New Roman" w:hAnsi="Times New Roman"/>
          <w:sz w:val="28"/>
          <w:szCs w:val="28"/>
        </w:rPr>
        <w:t>социальной поддержк</w:t>
      </w:r>
      <w:r w:rsidR="007F602F">
        <w:rPr>
          <w:rFonts w:ascii="Times New Roman" w:hAnsi="Times New Roman"/>
          <w:sz w:val="28"/>
          <w:szCs w:val="28"/>
        </w:rPr>
        <w:t>и</w:t>
      </w:r>
      <w:r w:rsidRPr="00577593">
        <w:rPr>
          <w:rFonts w:ascii="Times New Roman" w:hAnsi="Times New Roman"/>
          <w:sz w:val="28"/>
          <w:szCs w:val="28"/>
        </w:rPr>
        <w:t xml:space="preserve"> (льготами) по оплате </w:t>
      </w:r>
      <w:r w:rsidR="007F602F">
        <w:rPr>
          <w:rFonts w:ascii="Times New Roman" w:hAnsi="Times New Roman"/>
          <w:sz w:val="28"/>
          <w:szCs w:val="28"/>
        </w:rPr>
        <w:t xml:space="preserve">жилищных </w:t>
      </w:r>
      <w:r w:rsidRPr="00577593">
        <w:rPr>
          <w:rFonts w:ascii="Times New Roman" w:hAnsi="Times New Roman"/>
          <w:sz w:val="28"/>
          <w:szCs w:val="28"/>
        </w:rPr>
        <w:t>и</w:t>
      </w:r>
      <w:r w:rsidR="007F602F">
        <w:rPr>
          <w:rFonts w:ascii="Times New Roman" w:hAnsi="Times New Roman"/>
          <w:sz w:val="28"/>
          <w:szCs w:val="28"/>
        </w:rPr>
        <w:t xml:space="preserve"> </w:t>
      </w:r>
      <w:r w:rsidRPr="00577593">
        <w:rPr>
          <w:rFonts w:ascii="Times New Roman" w:hAnsi="Times New Roman"/>
          <w:sz w:val="28"/>
          <w:szCs w:val="28"/>
        </w:rPr>
        <w:t>коммунальны</w:t>
      </w:r>
      <w:r w:rsidR="00110080" w:rsidRPr="00577593">
        <w:rPr>
          <w:rFonts w:ascii="Times New Roman" w:hAnsi="Times New Roman"/>
          <w:sz w:val="28"/>
          <w:szCs w:val="28"/>
        </w:rPr>
        <w:t>х услуг, уменьшилась до 138 тысяч</w:t>
      </w:r>
      <w:r w:rsidRPr="00577593">
        <w:rPr>
          <w:rFonts w:ascii="Times New Roman" w:hAnsi="Times New Roman"/>
          <w:sz w:val="28"/>
          <w:szCs w:val="28"/>
        </w:rPr>
        <w:t xml:space="preserve"> человек, или 20% населения города (</w:t>
      </w:r>
      <w:r w:rsidR="00D558A5">
        <w:fldChar w:fldCharType="begin"/>
      </w:r>
      <w:r w:rsidR="00D558A5">
        <w:instrText xml:space="preserve"> REF _Ref199451581 \h  \* MERGEFORMAT </w:instrText>
      </w:r>
      <w:r w:rsidR="00D558A5">
        <w:fldChar w:fldCharType="separate"/>
      </w:r>
      <w:r w:rsidR="00071499" w:rsidRPr="00071499">
        <w:rPr>
          <w:rFonts w:ascii="Times New Roman" w:hAnsi="Times New Roman"/>
          <w:sz w:val="28"/>
          <w:szCs w:val="28"/>
        </w:rPr>
        <w:t xml:space="preserve">Рисунок </w:t>
      </w:r>
      <w:r w:rsidR="00D558A5">
        <w:fldChar w:fldCharType="end"/>
      </w:r>
      <w:r w:rsidR="00CE13E1">
        <w:rPr>
          <w:rFonts w:ascii="Times New Roman" w:hAnsi="Times New Roman"/>
          <w:sz w:val="28"/>
          <w:szCs w:val="28"/>
        </w:rPr>
        <w:t>43</w:t>
      </w:r>
      <w:r w:rsidRPr="00577593">
        <w:rPr>
          <w:rFonts w:ascii="Times New Roman" w:hAnsi="Times New Roman"/>
          <w:sz w:val="28"/>
          <w:szCs w:val="28"/>
        </w:rPr>
        <w:t>).</w:t>
      </w:r>
    </w:p>
    <w:p w:rsidR="00FC41F4" w:rsidRPr="00577593" w:rsidRDefault="000D3F7A" w:rsidP="002000D4">
      <w:pPr>
        <w:spacing w:after="0" w:line="240" w:lineRule="auto"/>
        <w:ind w:firstLine="142"/>
        <w:jc w:val="both"/>
        <w:rPr>
          <w:rFonts w:ascii="Times New Roman" w:hAnsi="Times New Roman"/>
          <w:sz w:val="28"/>
          <w:szCs w:val="28"/>
        </w:rPr>
      </w:pPr>
      <w:r w:rsidRPr="00577593">
        <w:rPr>
          <w:rFonts w:ascii="Times New Roman" w:hAnsi="Times New Roman"/>
          <w:noProof/>
          <w:sz w:val="24"/>
          <w:szCs w:val="24"/>
          <w:lang w:eastAsia="ru-RU"/>
        </w:rPr>
        <w:drawing>
          <wp:inline distT="0" distB="0" distL="0" distR="0">
            <wp:extent cx="5943600" cy="3017520"/>
            <wp:effectExtent l="0" t="0" r="0" b="0"/>
            <wp:docPr id="43" name="Объект 4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FC41F4" w:rsidRDefault="008925FA" w:rsidP="00B47E22">
      <w:pPr>
        <w:pStyle w:val="paragraph"/>
        <w:spacing w:before="0" w:beforeAutospacing="0" w:after="0" w:afterAutospacing="0"/>
        <w:jc w:val="center"/>
        <w:rPr>
          <w:sz w:val="28"/>
          <w:szCs w:val="28"/>
        </w:rPr>
      </w:pPr>
      <w:bookmarkStart w:id="134" w:name="_Ref199451581"/>
      <w:r w:rsidRPr="00577593">
        <w:rPr>
          <w:sz w:val="28"/>
          <w:szCs w:val="28"/>
        </w:rPr>
        <w:t xml:space="preserve">Рисунок </w:t>
      </w:r>
      <w:bookmarkEnd w:id="134"/>
      <w:r w:rsidR="00CE13E1">
        <w:rPr>
          <w:sz w:val="28"/>
          <w:szCs w:val="28"/>
        </w:rPr>
        <w:t>43</w:t>
      </w:r>
      <w:r w:rsidRPr="00577593">
        <w:rPr>
          <w:sz w:val="28"/>
          <w:szCs w:val="28"/>
        </w:rPr>
        <w:t xml:space="preserve"> </w:t>
      </w:r>
      <w:r w:rsidR="00A518B7" w:rsidRPr="00577593">
        <w:rPr>
          <w:sz w:val="28"/>
          <w:szCs w:val="28"/>
        </w:rPr>
        <w:t>–</w:t>
      </w:r>
      <w:r w:rsidRPr="00577593">
        <w:rPr>
          <w:sz w:val="28"/>
          <w:szCs w:val="28"/>
        </w:rPr>
        <w:t xml:space="preserve"> Динамика социальной под</w:t>
      </w:r>
      <w:r w:rsidR="00045158" w:rsidRPr="00577593">
        <w:rPr>
          <w:sz w:val="28"/>
          <w:szCs w:val="28"/>
        </w:rPr>
        <w:t>держки населения в 2012</w:t>
      </w:r>
      <w:r w:rsidR="00A518B7" w:rsidRPr="00577593">
        <w:rPr>
          <w:sz w:val="28"/>
          <w:szCs w:val="28"/>
        </w:rPr>
        <w:t>-</w:t>
      </w:r>
      <w:r w:rsidR="00045158" w:rsidRPr="00577593">
        <w:rPr>
          <w:sz w:val="28"/>
          <w:szCs w:val="28"/>
        </w:rPr>
        <w:t>2024 годы</w:t>
      </w:r>
    </w:p>
    <w:p w:rsidR="00B47E22" w:rsidRPr="00577593" w:rsidRDefault="00B47E22" w:rsidP="00B47E22">
      <w:pPr>
        <w:spacing w:after="0" w:line="240" w:lineRule="auto"/>
        <w:rPr>
          <w:rFonts w:ascii="Times New Roman" w:hAnsi="Times New Roman"/>
          <w:sz w:val="28"/>
          <w:szCs w:val="28"/>
        </w:rPr>
      </w:pPr>
      <w:r w:rsidRPr="00577593">
        <w:rPr>
          <w:rFonts w:ascii="Times New Roman" w:hAnsi="Times New Roman"/>
          <w:sz w:val="28"/>
          <w:szCs w:val="28"/>
        </w:rPr>
        <w:t>Примечание – Источник: данные Росстата</w:t>
      </w:r>
    </w:p>
    <w:p w:rsidR="00B47E22" w:rsidRPr="00577593" w:rsidRDefault="00B47E22" w:rsidP="002000D4">
      <w:pPr>
        <w:pStyle w:val="paragraph"/>
        <w:spacing w:before="0" w:beforeAutospacing="0" w:after="200" w:afterAutospacing="0"/>
        <w:jc w:val="center"/>
        <w:rPr>
          <w:sz w:val="28"/>
          <w:szCs w:val="28"/>
        </w:rPr>
      </w:pPr>
    </w:p>
    <w:p w:rsidR="00C939CD" w:rsidRDefault="008925FA" w:rsidP="007F602F">
      <w:pPr>
        <w:spacing w:after="0" w:line="330" w:lineRule="exact"/>
        <w:ind w:firstLine="709"/>
        <w:jc w:val="both"/>
        <w:rPr>
          <w:rFonts w:ascii="Times New Roman" w:hAnsi="Times New Roman"/>
          <w:sz w:val="28"/>
          <w:szCs w:val="28"/>
        </w:rPr>
      </w:pPr>
      <w:r w:rsidRPr="00577593">
        <w:rPr>
          <w:rFonts w:ascii="Times New Roman" w:hAnsi="Times New Roman"/>
          <w:sz w:val="28"/>
          <w:szCs w:val="28"/>
        </w:rPr>
        <w:lastRenderedPageBreak/>
        <w:t>Число семей, состоящих на учете в качестве нуждающихся в жилых помещениях, сократилось к 2023 году на 12 тысяч (</w:t>
      </w:r>
      <w:r w:rsidR="00C939CD">
        <w:rPr>
          <w:rFonts w:ascii="Times New Roman" w:hAnsi="Times New Roman"/>
          <w:sz w:val="28"/>
          <w:szCs w:val="28"/>
        </w:rPr>
        <w:t>Таблица 7).</w:t>
      </w:r>
    </w:p>
    <w:p w:rsidR="00FC41F4" w:rsidRPr="00D36446" w:rsidRDefault="00D175B8" w:rsidP="007F602F">
      <w:pPr>
        <w:spacing w:after="0" w:line="330" w:lineRule="exact"/>
        <w:ind w:firstLine="709"/>
        <w:jc w:val="both"/>
        <w:rPr>
          <w:rFonts w:ascii="Times New Roman" w:hAnsi="Times New Roman"/>
          <w:sz w:val="28"/>
          <w:szCs w:val="28"/>
        </w:rPr>
      </w:pPr>
      <w:r w:rsidRPr="00577593">
        <w:rPr>
          <w:rFonts w:ascii="Times New Roman" w:hAnsi="Times New Roman"/>
          <w:sz w:val="28"/>
          <w:szCs w:val="28"/>
        </w:rPr>
        <w:t>По состоянию на 2025 год в очереди на</w:t>
      </w:r>
      <w:r w:rsidR="00F64132" w:rsidRPr="00577593">
        <w:rPr>
          <w:rFonts w:ascii="Times New Roman" w:hAnsi="Times New Roman"/>
          <w:sz w:val="28"/>
          <w:szCs w:val="28"/>
        </w:rPr>
        <w:t> </w:t>
      </w:r>
      <w:r w:rsidRPr="00577593">
        <w:rPr>
          <w:rFonts w:ascii="Times New Roman" w:hAnsi="Times New Roman"/>
          <w:sz w:val="28"/>
          <w:szCs w:val="28"/>
        </w:rPr>
        <w:t xml:space="preserve">улучшение жилищных </w:t>
      </w:r>
      <w:r w:rsidR="00110080" w:rsidRPr="00577593">
        <w:rPr>
          <w:rFonts w:ascii="Times New Roman" w:hAnsi="Times New Roman"/>
          <w:sz w:val="28"/>
          <w:szCs w:val="28"/>
        </w:rPr>
        <w:t>условий находятся свыше</w:t>
      </w:r>
      <w:r w:rsidR="00D36446">
        <w:rPr>
          <w:rFonts w:ascii="Times New Roman" w:hAnsi="Times New Roman"/>
          <w:sz w:val="28"/>
          <w:szCs w:val="28"/>
        </w:rPr>
        <w:t xml:space="preserve"> </w:t>
      </w:r>
      <w:r w:rsidR="00110080" w:rsidRPr="00577593">
        <w:rPr>
          <w:rFonts w:ascii="Times New Roman" w:hAnsi="Times New Roman"/>
          <w:sz w:val="28"/>
          <w:szCs w:val="28"/>
        </w:rPr>
        <w:t>7,5 тысяч</w:t>
      </w:r>
      <w:r w:rsidRPr="00577593">
        <w:rPr>
          <w:rFonts w:ascii="Times New Roman" w:hAnsi="Times New Roman"/>
          <w:sz w:val="28"/>
          <w:szCs w:val="28"/>
        </w:rPr>
        <w:t xml:space="preserve"> семей.</w:t>
      </w:r>
      <w:r w:rsidR="008925FA" w:rsidRPr="00577593">
        <w:rPr>
          <w:rFonts w:ascii="Times New Roman" w:hAnsi="Times New Roman"/>
          <w:sz w:val="28"/>
          <w:szCs w:val="28"/>
        </w:rPr>
        <w:t xml:space="preserve"> Снижение связано с</w:t>
      </w:r>
      <w:r w:rsidR="00F64132" w:rsidRPr="00577593">
        <w:rPr>
          <w:rFonts w:ascii="Times New Roman" w:hAnsi="Times New Roman"/>
          <w:sz w:val="28"/>
          <w:szCs w:val="28"/>
        </w:rPr>
        <w:t> </w:t>
      </w:r>
      <w:r w:rsidR="008925FA" w:rsidRPr="00577593">
        <w:rPr>
          <w:rFonts w:ascii="Times New Roman" w:hAnsi="Times New Roman"/>
          <w:sz w:val="28"/>
          <w:szCs w:val="28"/>
        </w:rPr>
        <w:t xml:space="preserve">соответствием семей формальным критериям отнесения к нуждающимся. </w:t>
      </w:r>
      <w:r w:rsidR="007F602F">
        <w:rPr>
          <w:rFonts w:ascii="Times New Roman" w:hAnsi="Times New Roman"/>
          <w:sz w:val="28"/>
          <w:szCs w:val="28"/>
        </w:rPr>
        <w:t>При этом</w:t>
      </w:r>
      <w:r w:rsidR="008925FA" w:rsidRPr="00577593">
        <w:rPr>
          <w:rFonts w:ascii="Times New Roman" w:hAnsi="Times New Roman"/>
          <w:sz w:val="28"/>
          <w:szCs w:val="28"/>
        </w:rPr>
        <w:t>, в среднем в один год только</w:t>
      </w:r>
      <w:r w:rsidR="00D36446">
        <w:rPr>
          <w:rFonts w:ascii="Times New Roman" w:hAnsi="Times New Roman"/>
          <w:sz w:val="28"/>
          <w:szCs w:val="28"/>
        </w:rPr>
        <w:t xml:space="preserve"> </w:t>
      </w:r>
      <w:r w:rsidR="008925FA" w:rsidRPr="00577593">
        <w:rPr>
          <w:rFonts w:ascii="Times New Roman" w:hAnsi="Times New Roman"/>
          <w:sz w:val="28"/>
          <w:szCs w:val="28"/>
        </w:rPr>
        <w:t>185 молодых семей улучшали свои жилищные условия, то есть около 2%</w:t>
      </w:r>
      <w:r w:rsidR="00D36446">
        <w:rPr>
          <w:rFonts w:ascii="Times New Roman" w:hAnsi="Times New Roman"/>
          <w:sz w:val="28"/>
          <w:szCs w:val="28"/>
        </w:rPr>
        <w:t xml:space="preserve"> </w:t>
      </w:r>
      <w:r w:rsidR="008925FA" w:rsidRPr="00577593">
        <w:rPr>
          <w:rFonts w:ascii="Times New Roman" w:hAnsi="Times New Roman"/>
          <w:sz w:val="28"/>
          <w:szCs w:val="28"/>
        </w:rPr>
        <w:t>из 8,5 тысяч нуждающихся молодых семей (</w:t>
      </w:r>
      <w:r w:rsidR="00C939CD">
        <w:rPr>
          <w:rFonts w:ascii="Times New Roman" w:hAnsi="Times New Roman"/>
          <w:sz w:val="28"/>
          <w:szCs w:val="28"/>
        </w:rPr>
        <w:t>Таблица 8</w:t>
      </w:r>
      <w:r w:rsidR="008925FA" w:rsidRPr="00577593">
        <w:rPr>
          <w:rFonts w:ascii="Times New Roman" w:hAnsi="Times New Roman"/>
          <w:sz w:val="28"/>
          <w:szCs w:val="28"/>
        </w:rPr>
        <w:t>).</w:t>
      </w:r>
    </w:p>
    <w:p w:rsidR="00A1570C" w:rsidRPr="00577593" w:rsidRDefault="00A1570C" w:rsidP="002000D4">
      <w:pPr>
        <w:spacing w:after="0" w:line="240" w:lineRule="auto"/>
        <w:jc w:val="both"/>
        <w:rPr>
          <w:rFonts w:ascii="Times New Roman" w:eastAsia="Times New Roman" w:hAnsi="Times New Roman"/>
          <w:sz w:val="28"/>
          <w:szCs w:val="28"/>
          <w:lang w:eastAsia="ru-RU"/>
        </w:rPr>
      </w:pPr>
      <w:bookmarkStart w:id="135" w:name="_Ref199454561"/>
    </w:p>
    <w:p w:rsidR="00FC41F4" w:rsidRPr="00577593" w:rsidRDefault="008925FA" w:rsidP="002000D4">
      <w:pPr>
        <w:spacing w:after="0" w:line="240" w:lineRule="auto"/>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 xml:space="preserve">Таблица </w:t>
      </w:r>
      <w:r w:rsidR="00074AE5" w:rsidRPr="00577593">
        <w:rPr>
          <w:rFonts w:ascii="Times New Roman" w:eastAsia="Times New Roman" w:hAnsi="Times New Roman"/>
          <w:sz w:val="28"/>
          <w:szCs w:val="28"/>
          <w:lang w:eastAsia="ru-RU"/>
        </w:rPr>
        <w:fldChar w:fldCharType="begin"/>
      </w:r>
      <w:r w:rsidRPr="00577593">
        <w:rPr>
          <w:rFonts w:ascii="Times New Roman" w:eastAsia="Times New Roman" w:hAnsi="Times New Roman"/>
          <w:sz w:val="28"/>
          <w:szCs w:val="28"/>
          <w:lang w:eastAsia="ru-RU"/>
        </w:rPr>
        <w:instrText xml:space="preserve"> SEQ Таблица \* ARABIC </w:instrText>
      </w:r>
      <w:r w:rsidR="00074AE5" w:rsidRPr="00577593">
        <w:rPr>
          <w:rFonts w:ascii="Times New Roman" w:eastAsia="Times New Roman" w:hAnsi="Times New Roman"/>
          <w:sz w:val="28"/>
          <w:szCs w:val="28"/>
          <w:lang w:eastAsia="ru-RU"/>
        </w:rPr>
        <w:fldChar w:fldCharType="separate"/>
      </w:r>
      <w:r w:rsidR="00071499">
        <w:rPr>
          <w:rFonts w:ascii="Times New Roman" w:eastAsia="Times New Roman" w:hAnsi="Times New Roman"/>
          <w:noProof/>
          <w:sz w:val="28"/>
          <w:szCs w:val="28"/>
          <w:lang w:eastAsia="ru-RU"/>
        </w:rPr>
        <w:t>7</w:t>
      </w:r>
      <w:r w:rsidR="00074AE5" w:rsidRPr="00577593">
        <w:rPr>
          <w:rFonts w:ascii="Times New Roman" w:eastAsia="Times New Roman" w:hAnsi="Times New Roman"/>
          <w:sz w:val="28"/>
          <w:szCs w:val="28"/>
          <w:lang w:eastAsia="ru-RU"/>
        </w:rPr>
        <w:fldChar w:fldCharType="end"/>
      </w:r>
      <w:bookmarkEnd w:id="135"/>
      <w:r w:rsidRPr="00577593">
        <w:rPr>
          <w:rFonts w:ascii="Times New Roman" w:eastAsia="Times New Roman" w:hAnsi="Times New Roman"/>
          <w:sz w:val="28"/>
          <w:szCs w:val="28"/>
          <w:lang w:eastAsia="ru-RU"/>
        </w:rPr>
        <w:t xml:space="preserve"> </w:t>
      </w:r>
      <w:r w:rsidR="00A518B7" w:rsidRPr="00577593">
        <w:rPr>
          <w:rFonts w:ascii="Times New Roman" w:eastAsia="Times New Roman" w:hAnsi="Times New Roman"/>
          <w:sz w:val="28"/>
          <w:szCs w:val="28"/>
          <w:lang w:eastAsia="ru-RU"/>
        </w:rPr>
        <w:t>–</w:t>
      </w:r>
      <w:r w:rsidRPr="00577593">
        <w:rPr>
          <w:rFonts w:ascii="Times New Roman" w:eastAsia="Times New Roman" w:hAnsi="Times New Roman"/>
          <w:sz w:val="28"/>
          <w:szCs w:val="28"/>
          <w:lang w:eastAsia="ru-RU"/>
        </w:rPr>
        <w:t xml:space="preserve"> Число семей, состоящих на учете в качестве нуждающихся </w:t>
      </w:r>
      <w:r w:rsidR="00D45E45" w:rsidRPr="00577593">
        <w:rPr>
          <w:rFonts w:ascii="Times New Roman" w:eastAsia="Times New Roman" w:hAnsi="Times New Roman"/>
          <w:sz w:val="28"/>
          <w:szCs w:val="28"/>
          <w:lang w:eastAsia="ru-RU"/>
        </w:rPr>
        <w:br/>
      </w:r>
      <w:r w:rsidRPr="00577593">
        <w:rPr>
          <w:rFonts w:ascii="Times New Roman" w:eastAsia="Times New Roman" w:hAnsi="Times New Roman"/>
          <w:sz w:val="28"/>
          <w:szCs w:val="28"/>
          <w:lang w:eastAsia="ru-RU"/>
        </w:rPr>
        <w:t>в ж</w:t>
      </w:r>
      <w:r w:rsidR="00045158" w:rsidRPr="00577593">
        <w:rPr>
          <w:rFonts w:ascii="Times New Roman" w:eastAsia="Times New Roman" w:hAnsi="Times New Roman"/>
          <w:sz w:val="28"/>
          <w:szCs w:val="28"/>
          <w:lang w:eastAsia="ru-RU"/>
        </w:rPr>
        <w:t>илых помещениях в 2016</w:t>
      </w:r>
      <w:r w:rsidR="00A518B7" w:rsidRPr="00577593">
        <w:rPr>
          <w:rFonts w:ascii="Times New Roman" w:eastAsia="Times New Roman" w:hAnsi="Times New Roman"/>
          <w:sz w:val="28"/>
          <w:szCs w:val="28"/>
          <w:lang w:eastAsia="ru-RU"/>
        </w:rPr>
        <w:t>-</w:t>
      </w:r>
      <w:r w:rsidR="00045158" w:rsidRPr="00577593">
        <w:rPr>
          <w:rFonts w:ascii="Times New Roman" w:eastAsia="Times New Roman" w:hAnsi="Times New Roman"/>
          <w:sz w:val="28"/>
          <w:szCs w:val="28"/>
          <w:lang w:eastAsia="ru-RU"/>
        </w:rPr>
        <w:t>2023 год</w:t>
      </w:r>
      <w:r w:rsidR="007F602F">
        <w:rPr>
          <w:rFonts w:ascii="Times New Roman" w:eastAsia="Times New Roman" w:hAnsi="Times New Roman"/>
          <w:sz w:val="28"/>
          <w:szCs w:val="28"/>
          <w:lang w:eastAsia="ru-RU"/>
        </w:rPr>
        <w:t>ах</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85" w:type="dxa"/>
          <w:bottom w:w="28" w:type="dxa"/>
          <w:right w:w="85" w:type="dxa"/>
        </w:tblCellMar>
        <w:tblLook w:val="04A0" w:firstRow="1" w:lastRow="0" w:firstColumn="1" w:lastColumn="0" w:noHBand="0" w:noVBand="1"/>
      </w:tblPr>
      <w:tblGrid>
        <w:gridCol w:w="2263"/>
        <w:gridCol w:w="886"/>
        <w:gridCol w:w="886"/>
        <w:gridCol w:w="886"/>
        <w:gridCol w:w="886"/>
        <w:gridCol w:w="886"/>
        <w:gridCol w:w="886"/>
        <w:gridCol w:w="886"/>
        <w:gridCol w:w="886"/>
      </w:tblGrid>
      <w:tr w:rsidR="005E07D8" w:rsidRPr="00577593" w:rsidTr="005E07D8">
        <w:trPr>
          <w:trHeight w:val="300"/>
        </w:trPr>
        <w:tc>
          <w:tcPr>
            <w:tcW w:w="2263" w:type="dxa"/>
          </w:tcPr>
          <w:p w:rsidR="005E07D8" w:rsidRPr="00577593" w:rsidRDefault="005E07D8" w:rsidP="002000D4">
            <w:pPr>
              <w:spacing w:after="0" w:line="240" w:lineRule="auto"/>
              <w:contextualSpacing/>
              <w:rPr>
                <w:rFonts w:ascii="Times New Roman" w:hAnsi="Times New Roman"/>
                <w:bCs/>
                <w:sz w:val="20"/>
                <w:szCs w:val="20"/>
              </w:rPr>
            </w:pPr>
          </w:p>
        </w:tc>
        <w:tc>
          <w:tcPr>
            <w:tcW w:w="886" w:type="dxa"/>
          </w:tcPr>
          <w:p w:rsidR="005E07D8" w:rsidRPr="00577593" w:rsidRDefault="005E07D8" w:rsidP="002000D4">
            <w:pPr>
              <w:spacing w:after="0" w:line="240" w:lineRule="auto"/>
              <w:contextualSpacing/>
              <w:jc w:val="center"/>
              <w:rPr>
                <w:rFonts w:ascii="Times New Roman" w:hAnsi="Times New Roman"/>
                <w:bCs/>
                <w:sz w:val="20"/>
                <w:szCs w:val="20"/>
              </w:rPr>
            </w:pPr>
            <w:r w:rsidRPr="00577593">
              <w:rPr>
                <w:rFonts w:ascii="Times New Roman" w:hAnsi="Times New Roman"/>
                <w:bCs/>
                <w:sz w:val="20"/>
                <w:szCs w:val="20"/>
              </w:rPr>
              <w:t>2016</w:t>
            </w:r>
            <w:r w:rsidR="00940F9A" w:rsidRPr="00577593">
              <w:rPr>
                <w:rFonts w:ascii="Times New Roman" w:hAnsi="Times New Roman"/>
                <w:bCs/>
                <w:sz w:val="20"/>
                <w:szCs w:val="20"/>
              </w:rPr>
              <w:t xml:space="preserve"> г.</w:t>
            </w:r>
          </w:p>
        </w:tc>
        <w:tc>
          <w:tcPr>
            <w:tcW w:w="886" w:type="dxa"/>
          </w:tcPr>
          <w:p w:rsidR="005E07D8" w:rsidRPr="00577593" w:rsidRDefault="005E07D8" w:rsidP="002000D4">
            <w:pPr>
              <w:spacing w:after="0" w:line="240" w:lineRule="auto"/>
              <w:contextualSpacing/>
              <w:jc w:val="center"/>
              <w:rPr>
                <w:rFonts w:ascii="Times New Roman" w:hAnsi="Times New Roman"/>
                <w:bCs/>
                <w:sz w:val="20"/>
                <w:szCs w:val="20"/>
              </w:rPr>
            </w:pPr>
            <w:r w:rsidRPr="00577593">
              <w:rPr>
                <w:rFonts w:ascii="Times New Roman" w:hAnsi="Times New Roman"/>
                <w:bCs/>
                <w:sz w:val="20"/>
                <w:szCs w:val="20"/>
              </w:rPr>
              <w:t>2017</w:t>
            </w:r>
            <w:r w:rsidR="00940F9A" w:rsidRPr="00577593">
              <w:rPr>
                <w:rFonts w:ascii="Times New Roman" w:hAnsi="Times New Roman"/>
                <w:bCs/>
                <w:sz w:val="20"/>
                <w:szCs w:val="20"/>
              </w:rPr>
              <w:t xml:space="preserve"> г.</w:t>
            </w:r>
          </w:p>
        </w:tc>
        <w:tc>
          <w:tcPr>
            <w:tcW w:w="886" w:type="dxa"/>
          </w:tcPr>
          <w:p w:rsidR="005E07D8" w:rsidRPr="00577593" w:rsidRDefault="005E07D8" w:rsidP="002000D4">
            <w:pPr>
              <w:spacing w:after="0" w:line="240" w:lineRule="auto"/>
              <w:contextualSpacing/>
              <w:jc w:val="center"/>
              <w:rPr>
                <w:rFonts w:ascii="Times New Roman" w:hAnsi="Times New Roman"/>
                <w:bCs/>
                <w:sz w:val="20"/>
                <w:szCs w:val="20"/>
              </w:rPr>
            </w:pPr>
            <w:r w:rsidRPr="00577593">
              <w:rPr>
                <w:rFonts w:ascii="Times New Roman" w:hAnsi="Times New Roman"/>
                <w:bCs/>
                <w:sz w:val="20"/>
                <w:szCs w:val="20"/>
              </w:rPr>
              <w:t>2018</w:t>
            </w:r>
            <w:r w:rsidR="00940F9A" w:rsidRPr="00577593">
              <w:rPr>
                <w:rFonts w:ascii="Times New Roman" w:hAnsi="Times New Roman"/>
                <w:bCs/>
                <w:sz w:val="20"/>
                <w:szCs w:val="20"/>
              </w:rPr>
              <w:t xml:space="preserve"> г.</w:t>
            </w:r>
          </w:p>
        </w:tc>
        <w:tc>
          <w:tcPr>
            <w:tcW w:w="886" w:type="dxa"/>
          </w:tcPr>
          <w:p w:rsidR="005E07D8" w:rsidRPr="00577593" w:rsidRDefault="005E07D8" w:rsidP="002000D4">
            <w:pPr>
              <w:spacing w:after="0" w:line="240" w:lineRule="auto"/>
              <w:contextualSpacing/>
              <w:jc w:val="center"/>
              <w:rPr>
                <w:rFonts w:ascii="Times New Roman" w:hAnsi="Times New Roman"/>
                <w:bCs/>
                <w:sz w:val="20"/>
                <w:szCs w:val="20"/>
              </w:rPr>
            </w:pPr>
            <w:r w:rsidRPr="00577593">
              <w:rPr>
                <w:rFonts w:ascii="Times New Roman" w:hAnsi="Times New Roman"/>
                <w:bCs/>
                <w:sz w:val="20"/>
                <w:szCs w:val="20"/>
              </w:rPr>
              <w:t>2019</w:t>
            </w:r>
            <w:r w:rsidR="00940F9A" w:rsidRPr="00577593">
              <w:rPr>
                <w:rFonts w:ascii="Times New Roman" w:hAnsi="Times New Roman"/>
                <w:bCs/>
                <w:sz w:val="20"/>
                <w:szCs w:val="20"/>
              </w:rPr>
              <w:t xml:space="preserve"> г.</w:t>
            </w:r>
          </w:p>
        </w:tc>
        <w:tc>
          <w:tcPr>
            <w:tcW w:w="886" w:type="dxa"/>
          </w:tcPr>
          <w:p w:rsidR="005E07D8" w:rsidRPr="00577593" w:rsidRDefault="005E07D8" w:rsidP="002000D4">
            <w:pPr>
              <w:spacing w:after="0" w:line="240" w:lineRule="auto"/>
              <w:contextualSpacing/>
              <w:jc w:val="center"/>
              <w:rPr>
                <w:rFonts w:ascii="Times New Roman" w:hAnsi="Times New Roman"/>
                <w:bCs/>
                <w:sz w:val="20"/>
                <w:szCs w:val="20"/>
              </w:rPr>
            </w:pPr>
            <w:r w:rsidRPr="00577593">
              <w:rPr>
                <w:rFonts w:ascii="Times New Roman" w:hAnsi="Times New Roman"/>
                <w:bCs/>
                <w:sz w:val="20"/>
                <w:szCs w:val="20"/>
              </w:rPr>
              <w:t>2020</w:t>
            </w:r>
            <w:r w:rsidR="00940F9A" w:rsidRPr="00577593">
              <w:rPr>
                <w:rFonts w:ascii="Times New Roman" w:hAnsi="Times New Roman"/>
                <w:bCs/>
                <w:sz w:val="20"/>
                <w:szCs w:val="20"/>
              </w:rPr>
              <w:t xml:space="preserve"> г.</w:t>
            </w:r>
          </w:p>
        </w:tc>
        <w:tc>
          <w:tcPr>
            <w:tcW w:w="886" w:type="dxa"/>
          </w:tcPr>
          <w:p w:rsidR="005E07D8" w:rsidRPr="00577593" w:rsidRDefault="005E07D8" w:rsidP="002000D4">
            <w:pPr>
              <w:spacing w:after="0" w:line="240" w:lineRule="auto"/>
              <w:contextualSpacing/>
              <w:jc w:val="center"/>
              <w:rPr>
                <w:rFonts w:ascii="Times New Roman" w:hAnsi="Times New Roman"/>
                <w:bCs/>
                <w:sz w:val="20"/>
                <w:szCs w:val="20"/>
              </w:rPr>
            </w:pPr>
            <w:r w:rsidRPr="00577593">
              <w:rPr>
                <w:rFonts w:ascii="Times New Roman" w:hAnsi="Times New Roman"/>
                <w:bCs/>
                <w:sz w:val="20"/>
                <w:szCs w:val="20"/>
              </w:rPr>
              <w:t>2021</w:t>
            </w:r>
            <w:r w:rsidR="00940F9A" w:rsidRPr="00577593">
              <w:rPr>
                <w:rFonts w:ascii="Times New Roman" w:hAnsi="Times New Roman"/>
                <w:bCs/>
                <w:sz w:val="20"/>
                <w:szCs w:val="20"/>
              </w:rPr>
              <w:t xml:space="preserve"> г.</w:t>
            </w:r>
          </w:p>
        </w:tc>
        <w:tc>
          <w:tcPr>
            <w:tcW w:w="886" w:type="dxa"/>
          </w:tcPr>
          <w:p w:rsidR="005E07D8" w:rsidRPr="00577593" w:rsidRDefault="005E07D8" w:rsidP="002000D4">
            <w:pPr>
              <w:spacing w:after="0" w:line="240" w:lineRule="auto"/>
              <w:contextualSpacing/>
              <w:jc w:val="center"/>
              <w:rPr>
                <w:rFonts w:ascii="Times New Roman" w:hAnsi="Times New Roman"/>
                <w:bCs/>
                <w:sz w:val="20"/>
                <w:szCs w:val="20"/>
              </w:rPr>
            </w:pPr>
            <w:r w:rsidRPr="00577593">
              <w:rPr>
                <w:rFonts w:ascii="Times New Roman" w:hAnsi="Times New Roman"/>
                <w:bCs/>
                <w:sz w:val="20"/>
                <w:szCs w:val="20"/>
              </w:rPr>
              <w:t>2022</w:t>
            </w:r>
            <w:r w:rsidR="00940F9A" w:rsidRPr="00577593">
              <w:rPr>
                <w:rFonts w:ascii="Times New Roman" w:hAnsi="Times New Roman"/>
                <w:bCs/>
                <w:sz w:val="20"/>
                <w:szCs w:val="20"/>
              </w:rPr>
              <w:t xml:space="preserve"> г.</w:t>
            </w:r>
          </w:p>
        </w:tc>
        <w:tc>
          <w:tcPr>
            <w:tcW w:w="886" w:type="dxa"/>
          </w:tcPr>
          <w:p w:rsidR="005E07D8" w:rsidRPr="00577593" w:rsidRDefault="005E07D8" w:rsidP="002000D4">
            <w:pPr>
              <w:spacing w:after="0" w:line="240" w:lineRule="auto"/>
              <w:contextualSpacing/>
              <w:jc w:val="center"/>
              <w:rPr>
                <w:rFonts w:ascii="Times New Roman" w:hAnsi="Times New Roman"/>
                <w:bCs/>
                <w:sz w:val="20"/>
                <w:szCs w:val="20"/>
              </w:rPr>
            </w:pPr>
            <w:r w:rsidRPr="00577593">
              <w:rPr>
                <w:rFonts w:ascii="Times New Roman" w:hAnsi="Times New Roman"/>
                <w:bCs/>
                <w:sz w:val="20"/>
                <w:szCs w:val="20"/>
              </w:rPr>
              <w:t>2023</w:t>
            </w:r>
            <w:r w:rsidR="00940F9A" w:rsidRPr="00577593">
              <w:rPr>
                <w:rFonts w:ascii="Times New Roman" w:hAnsi="Times New Roman"/>
                <w:bCs/>
                <w:sz w:val="20"/>
                <w:szCs w:val="20"/>
              </w:rPr>
              <w:t xml:space="preserve"> г.</w:t>
            </w:r>
          </w:p>
        </w:tc>
      </w:tr>
      <w:tr w:rsidR="005E07D8" w:rsidRPr="00577593" w:rsidTr="005E07D8">
        <w:trPr>
          <w:trHeight w:val="243"/>
        </w:trPr>
        <w:tc>
          <w:tcPr>
            <w:tcW w:w="2263" w:type="dxa"/>
            <w:vAlign w:val="center"/>
          </w:tcPr>
          <w:p w:rsidR="005E07D8" w:rsidRPr="00577593" w:rsidRDefault="005E07D8" w:rsidP="002000D4">
            <w:pPr>
              <w:spacing w:after="0" w:line="240" w:lineRule="auto"/>
              <w:contextualSpacing/>
              <w:rPr>
                <w:rFonts w:ascii="Times New Roman" w:hAnsi="Times New Roman"/>
                <w:sz w:val="20"/>
                <w:szCs w:val="20"/>
              </w:rPr>
            </w:pPr>
            <w:r w:rsidRPr="00577593">
              <w:rPr>
                <w:rFonts w:ascii="Times New Roman" w:hAnsi="Times New Roman"/>
                <w:sz w:val="20"/>
                <w:szCs w:val="20"/>
              </w:rPr>
              <w:t>Число семей, состоящих на учете в качестве нуждающихся в жилых помещениях</w:t>
            </w:r>
            <w:r w:rsidR="00940F9A" w:rsidRPr="00577593">
              <w:rPr>
                <w:rFonts w:ascii="Times New Roman" w:hAnsi="Times New Roman"/>
                <w:sz w:val="20"/>
                <w:szCs w:val="20"/>
              </w:rPr>
              <w:t>, ед.</w:t>
            </w:r>
          </w:p>
        </w:tc>
        <w:tc>
          <w:tcPr>
            <w:tcW w:w="886" w:type="dxa"/>
            <w:vAlign w:val="center"/>
          </w:tcPr>
          <w:p w:rsidR="005E07D8" w:rsidRPr="00577593" w:rsidRDefault="005E07D8" w:rsidP="002000D4">
            <w:pPr>
              <w:spacing w:after="0" w:line="240" w:lineRule="auto"/>
              <w:jc w:val="center"/>
              <w:rPr>
                <w:rFonts w:ascii="Times New Roman" w:hAnsi="Times New Roman"/>
                <w:sz w:val="20"/>
                <w:szCs w:val="20"/>
              </w:rPr>
            </w:pPr>
            <w:r w:rsidRPr="00577593">
              <w:rPr>
                <w:rFonts w:ascii="Times New Roman" w:eastAsia="Times New Roman" w:hAnsi="Times New Roman"/>
                <w:sz w:val="20"/>
                <w:szCs w:val="20"/>
              </w:rPr>
              <w:t>20937</w:t>
            </w:r>
          </w:p>
        </w:tc>
        <w:tc>
          <w:tcPr>
            <w:tcW w:w="886" w:type="dxa"/>
            <w:vAlign w:val="center"/>
          </w:tcPr>
          <w:p w:rsidR="005E07D8" w:rsidRPr="00577593" w:rsidRDefault="005E07D8" w:rsidP="002000D4">
            <w:pPr>
              <w:spacing w:after="0" w:line="240" w:lineRule="auto"/>
              <w:jc w:val="center"/>
              <w:rPr>
                <w:rFonts w:ascii="Times New Roman" w:hAnsi="Times New Roman"/>
                <w:sz w:val="20"/>
                <w:szCs w:val="20"/>
              </w:rPr>
            </w:pPr>
            <w:r w:rsidRPr="00577593">
              <w:rPr>
                <w:rFonts w:ascii="Times New Roman" w:eastAsia="Times New Roman" w:hAnsi="Times New Roman"/>
                <w:sz w:val="20"/>
                <w:szCs w:val="20"/>
              </w:rPr>
              <w:t>17236</w:t>
            </w:r>
          </w:p>
        </w:tc>
        <w:tc>
          <w:tcPr>
            <w:tcW w:w="886" w:type="dxa"/>
            <w:vAlign w:val="center"/>
          </w:tcPr>
          <w:p w:rsidR="005E07D8" w:rsidRPr="00577593" w:rsidRDefault="005E07D8" w:rsidP="002000D4">
            <w:pPr>
              <w:spacing w:after="0" w:line="240" w:lineRule="auto"/>
              <w:jc w:val="center"/>
              <w:rPr>
                <w:rFonts w:ascii="Times New Roman" w:hAnsi="Times New Roman"/>
                <w:sz w:val="20"/>
                <w:szCs w:val="20"/>
              </w:rPr>
            </w:pPr>
            <w:r w:rsidRPr="00577593">
              <w:rPr>
                <w:rFonts w:ascii="Times New Roman" w:eastAsia="Times New Roman" w:hAnsi="Times New Roman"/>
                <w:sz w:val="20"/>
                <w:szCs w:val="20"/>
              </w:rPr>
              <w:t>14622</w:t>
            </w:r>
          </w:p>
        </w:tc>
        <w:tc>
          <w:tcPr>
            <w:tcW w:w="886" w:type="dxa"/>
            <w:vAlign w:val="center"/>
          </w:tcPr>
          <w:p w:rsidR="005E07D8" w:rsidRPr="00577593" w:rsidRDefault="005E07D8" w:rsidP="002000D4">
            <w:pPr>
              <w:spacing w:after="0" w:line="240" w:lineRule="auto"/>
              <w:jc w:val="center"/>
              <w:rPr>
                <w:rFonts w:ascii="Times New Roman" w:hAnsi="Times New Roman"/>
                <w:sz w:val="20"/>
                <w:szCs w:val="20"/>
              </w:rPr>
            </w:pPr>
            <w:r w:rsidRPr="00577593">
              <w:rPr>
                <w:rFonts w:ascii="Times New Roman" w:eastAsia="Times New Roman" w:hAnsi="Times New Roman"/>
                <w:sz w:val="20"/>
                <w:szCs w:val="20"/>
              </w:rPr>
              <w:t>10193</w:t>
            </w:r>
          </w:p>
        </w:tc>
        <w:tc>
          <w:tcPr>
            <w:tcW w:w="886" w:type="dxa"/>
            <w:vAlign w:val="center"/>
          </w:tcPr>
          <w:p w:rsidR="005E07D8" w:rsidRPr="00577593" w:rsidRDefault="005E07D8" w:rsidP="002000D4">
            <w:pPr>
              <w:spacing w:after="0" w:line="240" w:lineRule="auto"/>
              <w:jc w:val="center"/>
              <w:rPr>
                <w:rFonts w:ascii="Times New Roman" w:hAnsi="Times New Roman"/>
                <w:sz w:val="20"/>
                <w:szCs w:val="20"/>
              </w:rPr>
            </w:pPr>
            <w:r w:rsidRPr="00577593">
              <w:rPr>
                <w:rFonts w:ascii="Times New Roman" w:eastAsia="Times New Roman" w:hAnsi="Times New Roman"/>
                <w:sz w:val="20"/>
                <w:szCs w:val="20"/>
              </w:rPr>
              <w:t>10017</w:t>
            </w:r>
          </w:p>
        </w:tc>
        <w:tc>
          <w:tcPr>
            <w:tcW w:w="886" w:type="dxa"/>
            <w:vAlign w:val="center"/>
          </w:tcPr>
          <w:p w:rsidR="005E07D8" w:rsidRPr="00577593" w:rsidRDefault="005E07D8" w:rsidP="002000D4">
            <w:pPr>
              <w:spacing w:after="0" w:line="240" w:lineRule="auto"/>
              <w:jc w:val="center"/>
              <w:rPr>
                <w:rFonts w:ascii="Times New Roman" w:hAnsi="Times New Roman"/>
                <w:sz w:val="20"/>
                <w:szCs w:val="20"/>
              </w:rPr>
            </w:pPr>
            <w:r w:rsidRPr="00577593">
              <w:rPr>
                <w:rFonts w:ascii="Times New Roman" w:eastAsia="Times New Roman" w:hAnsi="Times New Roman"/>
                <w:sz w:val="20"/>
                <w:szCs w:val="20"/>
              </w:rPr>
              <w:t>9969</w:t>
            </w:r>
          </w:p>
        </w:tc>
        <w:tc>
          <w:tcPr>
            <w:tcW w:w="886" w:type="dxa"/>
            <w:vAlign w:val="center"/>
          </w:tcPr>
          <w:p w:rsidR="005E07D8" w:rsidRPr="00577593" w:rsidRDefault="005E07D8" w:rsidP="002000D4">
            <w:pPr>
              <w:spacing w:after="0" w:line="240" w:lineRule="auto"/>
              <w:jc w:val="center"/>
              <w:rPr>
                <w:rFonts w:ascii="Times New Roman" w:hAnsi="Times New Roman"/>
                <w:sz w:val="20"/>
                <w:szCs w:val="20"/>
              </w:rPr>
            </w:pPr>
            <w:r w:rsidRPr="00577593">
              <w:rPr>
                <w:rFonts w:ascii="Times New Roman" w:eastAsia="Times New Roman" w:hAnsi="Times New Roman"/>
                <w:sz w:val="20"/>
                <w:szCs w:val="20"/>
              </w:rPr>
              <w:t>9251</w:t>
            </w:r>
          </w:p>
        </w:tc>
        <w:tc>
          <w:tcPr>
            <w:tcW w:w="886" w:type="dxa"/>
            <w:vAlign w:val="center"/>
          </w:tcPr>
          <w:p w:rsidR="005E07D8" w:rsidRPr="00577593" w:rsidRDefault="005E07D8" w:rsidP="002000D4">
            <w:pPr>
              <w:spacing w:after="0" w:line="240" w:lineRule="auto"/>
              <w:jc w:val="center"/>
              <w:rPr>
                <w:rFonts w:ascii="Times New Roman" w:hAnsi="Times New Roman"/>
                <w:sz w:val="20"/>
                <w:szCs w:val="20"/>
              </w:rPr>
            </w:pPr>
            <w:r w:rsidRPr="00577593">
              <w:rPr>
                <w:rFonts w:ascii="Times New Roman" w:eastAsia="Times New Roman" w:hAnsi="Times New Roman"/>
                <w:sz w:val="20"/>
                <w:szCs w:val="20"/>
              </w:rPr>
              <w:t>8775</w:t>
            </w:r>
          </w:p>
        </w:tc>
      </w:tr>
    </w:tbl>
    <w:p w:rsidR="00FC41F4" w:rsidRPr="00577593" w:rsidRDefault="008925FA" w:rsidP="00C939CD">
      <w:pPr>
        <w:pStyle w:val="aff9"/>
        <w:spacing w:after="0"/>
        <w:ind w:firstLine="709"/>
        <w:rPr>
          <w:rFonts w:ascii="Times New Roman" w:hAnsi="Times New Roman"/>
          <w:i w:val="0"/>
          <w:color w:val="auto"/>
          <w:sz w:val="28"/>
          <w:szCs w:val="28"/>
        </w:rPr>
      </w:pPr>
      <w:r w:rsidRPr="00577593">
        <w:rPr>
          <w:rFonts w:ascii="Times New Roman" w:hAnsi="Times New Roman"/>
          <w:i w:val="0"/>
          <w:color w:val="auto"/>
          <w:sz w:val="28"/>
          <w:szCs w:val="28"/>
        </w:rPr>
        <w:t xml:space="preserve">Примечание </w:t>
      </w:r>
      <w:r w:rsidR="00672709" w:rsidRPr="00577593">
        <w:rPr>
          <w:rFonts w:ascii="Times New Roman" w:hAnsi="Times New Roman"/>
          <w:i w:val="0"/>
          <w:color w:val="auto"/>
          <w:sz w:val="28"/>
          <w:szCs w:val="28"/>
        </w:rPr>
        <w:t>–</w:t>
      </w:r>
      <w:r w:rsidRPr="00577593">
        <w:rPr>
          <w:rFonts w:ascii="Times New Roman" w:hAnsi="Times New Roman"/>
          <w:i w:val="0"/>
          <w:color w:val="auto"/>
          <w:sz w:val="28"/>
          <w:szCs w:val="28"/>
        </w:rPr>
        <w:t xml:space="preserve"> Источник: данные Росстата</w:t>
      </w:r>
    </w:p>
    <w:p w:rsidR="00C939CD" w:rsidRDefault="00C939CD" w:rsidP="00C939CD">
      <w:pPr>
        <w:spacing w:after="0" w:line="240" w:lineRule="auto"/>
        <w:rPr>
          <w:rFonts w:ascii="Times New Roman" w:eastAsia="Times New Roman" w:hAnsi="Times New Roman"/>
          <w:iCs/>
          <w:sz w:val="28"/>
          <w:szCs w:val="28"/>
          <w:lang w:eastAsia="ru-RU"/>
        </w:rPr>
      </w:pPr>
      <w:bookmarkStart w:id="136" w:name="_Ref199454786"/>
    </w:p>
    <w:p w:rsidR="00FC41F4" w:rsidRPr="00577593" w:rsidRDefault="008925FA" w:rsidP="00C939CD">
      <w:pPr>
        <w:spacing w:after="0" w:line="240" w:lineRule="auto"/>
        <w:jc w:val="both"/>
        <w:rPr>
          <w:rFonts w:ascii="Times New Roman" w:eastAsia="Times New Roman" w:hAnsi="Times New Roman"/>
          <w:iCs/>
          <w:sz w:val="24"/>
          <w:szCs w:val="24"/>
          <w:lang w:eastAsia="ru-RU"/>
        </w:rPr>
      </w:pPr>
      <w:r w:rsidRPr="00577593">
        <w:rPr>
          <w:rFonts w:ascii="Times New Roman" w:eastAsia="Times New Roman" w:hAnsi="Times New Roman"/>
          <w:iCs/>
          <w:sz w:val="28"/>
          <w:szCs w:val="28"/>
          <w:lang w:eastAsia="ru-RU"/>
        </w:rPr>
        <w:t xml:space="preserve">Таблица </w:t>
      </w:r>
      <w:r w:rsidR="00074AE5" w:rsidRPr="00577593">
        <w:rPr>
          <w:rFonts w:ascii="Times New Roman" w:eastAsia="Times New Roman" w:hAnsi="Times New Roman"/>
          <w:iCs/>
          <w:sz w:val="28"/>
          <w:szCs w:val="28"/>
          <w:lang w:eastAsia="ru-RU"/>
        </w:rPr>
        <w:fldChar w:fldCharType="begin"/>
      </w:r>
      <w:r w:rsidRPr="00577593">
        <w:rPr>
          <w:rFonts w:ascii="Times New Roman" w:eastAsia="Times New Roman" w:hAnsi="Times New Roman"/>
          <w:iCs/>
          <w:sz w:val="28"/>
          <w:szCs w:val="28"/>
          <w:lang w:eastAsia="ru-RU"/>
        </w:rPr>
        <w:instrText xml:space="preserve"> SEQ Таблица \* ARABIC </w:instrText>
      </w:r>
      <w:r w:rsidR="00074AE5" w:rsidRPr="00577593">
        <w:rPr>
          <w:rFonts w:ascii="Times New Roman" w:eastAsia="Times New Roman" w:hAnsi="Times New Roman"/>
          <w:iCs/>
          <w:sz w:val="28"/>
          <w:szCs w:val="28"/>
          <w:lang w:eastAsia="ru-RU"/>
        </w:rPr>
        <w:fldChar w:fldCharType="separate"/>
      </w:r>
      <w:r w:rsidR="00071499">
        <w:rPr>
          <w:rFonts w:ascii="Times New Roman" w:eastAsia="Times New Roman" w:hAnsi="Times New Roman"/>
          <w:iCs/>
          <w:noProof/>
          <w:sz w:val="28"/>
          <w:szCs w:val="28"/>
          <w:lang w:eastAsia="ru-RU"/>
        </w:rPr>
        <w:t>8</w:t>
      </w:r>
      <w:r w:rsidR="00074AE5" w:rsidRPr="00577593">
        <w:rPr>
          <w:rFonts w:ascii="Times New Roman" w:eastAsia="Times New Roman" w:hAnsi="Times New Roman"/>
          <w:iCs/>
          <w:sz w:val="28"/>
          <w:szCs w:val="28"/>
          <w:lang w:eastAsia="ru-RU"/>
        </w:rPr>
        <w:fldChar w:fldCharType="end"/>
      </w:r>
      <w:bookmarkEnd w:id="136"/>
      <w:r w:rsidRPr="00577593">
        <w:rPr>
          <w:rFonts w:ascii="Times New Roman" w:eastAsia="Times New Roman" w:hAnsi="Times New Roman"/>
          <w:iCs/>
          <w:sz w:val="28"/>
          <w:szCs w:val="28"/>
          <w:lang w:eastAsia="ru-RU"/>
        </w:rPr>
        <w:t xml:space="preserve"> </w:t>
      </w:r>
      <w:r w:rsidR="00672709" w:rsidRPr="00577593">
        <w:rPr>
          <w:rFonts w:ascii="Times New Roman" w:eastAsia="Times New Roman" w:hAnsi="Times New Roman"/>
          <w:iCs/>
          <w:sz w:val="28"/>
          <w:szCs w:val="28"/>
          <w:lang w:eastAsia="ru-RU"/>
        </w:rPr>
        <w:t>–</w:t>
      </w:r>
      <w:r w:rsidRPr="00577593">
        <w:rPr>
          <w:rFonts w:ascii="Times New Roman" w:eastAsia="Times New Roman" w:hAnsi="Times New Roman"/>
          <w:iCs/>
          <w:sz w:val="28"/>
          <w:szCs w:val="28"/>
          <w:lang w:eastAsia="ru-RU"/>
        </w:rPr>
        <w:t xml:space="preserve"> Динамика улучшения жилищных условий молодыми семьями в 2013</w:t>
      </w:r>
      <w:r w:rsidR="00672709" w:rsidRPr="00577593">
        <w:rPr>
          <w:rFonts w:ascii="Times New Roman" w:eastAsia="Times New Roman" w:hAnsi="Times New Roman"/>
          <w:iCs/>
          <w:sz w:val="28"/>
          <w:szCs w:val="28"/>
          <w:lang w:eastAsia="ru-RU"/>
        </w:rPr>
        <w:t>-</w:t>
      </w:r>
      <w:r w:rsidR="00045158" w:rsidRPr="00577593">
        <w:rPr>
          <w:rFonts w:ascii="Times New Roman" w:eastAsia="Times New Roman" w:hAnsi="Times New Roman"/>
          <w:iCs/>
          <w:sz w:val="28"/>
          <w:szCs w:val="28"/>
          <w:lang w:eastAsia="ru-RU"/>
        </w:rPr>
        <w:t>2024 год</w:t>
      </w:r>
      <w:r w:rsidR="007F602F">
        <w:rPr>
          <w:rFonts w:ascii="Times New Roman" w:eastAsia="Times New Roman" w:hAnsi="Times New Roman"/>
          <w:iCs/>
          <w:sz w:val="28"/>
          <w:szCs w:val="28"/>
          <w:lang w:eastAsia="ru-RU"/>
        </w:rPr>
        <w:t>ах</w:t>
      </w:r>
    </w:p>
    <w:tbl>
      <w:tblPr>
        <w:tblW w:w="9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71"/>
        <w:gridCol w:w="3401"/>
        <w:gridCol w:w="2336"/>
        <w:gridCol w:w="2336"/>
      </w:tblGrid>
      <w:tr w:rsidR="00FC41F4" w:rsidRPr="00577593" w:rsidTr="00EE2F1D">
        <w:trPr>
          <w:tblHeader/>
        </w:trPr>
        <w:tc>
          <w:tcPr>
            <w:tcW w:w="1271" w:type="dxa"/>
            <w:shd w:val="clear" w:color="auto" w:fill="auto"/>
          </w:tcPr>
          <w:p w:rsidR="00FC41F4" w:rsidRPr="00577593" w:rsidRDefault="008925FA" w:rsidP="002000D4">
            <w:pPr>
              <w:spacing w:after="0" w:line="240" w:lineRule="auto"/>
              <w:contextualSpacing/>
              <w:jc w:val="center"/>
              <w:rPr>
                <w:rFonts w:ascii="Times New Roman" w:hAnsi="Times New Roman"/>
                <w:sz w:val="20"/>
                <w:szCs w:val="20"/>
              </w:rPr>
            </w:pPr>
            <w:r w:rsidRPr="00577593">
              <w:rPr>
                <w:rFonts w:ascii="Times New Roman" w:hAnsi="Times New Roman"/>
                <w:sz w:val="20"/>
                <w:szCs w:val="20"/>
              </w:rPr>
              <w:t>Год</w:t>
            </w:r>
          </w:p>
        </w:tc>
        <w:tc>
          <w:tcPr>
            <w:tcW w:w="3401" w:type="dxa"/>
            <w:shd w:val="clear" w:color="auto" w:fill="auto"/>
          </w:tcPr>
          <w:p w:rsidR="00FC41F4" w:rsidRPr="00577593" w:rsidRDefault="008925FA" w:rsidP="002000D4">
            <w:pPr>
              <w:spacing w:after="0" w:line="240" w:lineRule="auto"/>
              <w:contextualSpacing/>
              <w:jc w:val="center"/>
              <w:rPr>
                <w:rFonts w:ascii="Times New Roman" w:hAnsi="Times New Roman"/>
                <w:sz w:val="20"/>
                <w:szCs w:val="20"/>
              </w:rPr>
            </w:pPr>
            <w:r w:rsidRPr="00577593">
              <w:rPr>
                <w:rFonts w:ascii="Times New Roman" w:hAnsi="Times New Roman"/>
                <w:sz w:val="20"/>
                <w:szCs w:val="20"/>
              </w:rPr>
              <w:t>Количество молодых семей, улучшивших жилищные условия</w:t>
            </w:r>
          </w:p>
        </w:tc>
        <w:tc>
          <w:tcPr>
            <w:tcW w:w="2336" w:type="dxa"/>
            <w:shd w:val="clear" w:color="auto" w:fill="auto"/>
          </w:tcPr>
          <w:p w:rsidR="00FC41F4" w:rsidRPr="00577593" w:rsidRDefault="008925FA" w:rsidP="002000D4">
            <w:pPr>
              <w:spacing w:after="0" w:line="240" w:lineRule="auto"/>
              <w:contextualSpacing/>
              <w:jc w:val="center"/>
              <w:rPr>
                <w:rFonts w:ascii="Times New Roman" w:hAnsi="Times New Roman"/>
                <w:sz w:val="20"/>
                <w:szCs w:val="20"/>
              </w:rPr>
            </w:pPr>
            <w:r w:rsidRPr="00577593">
              <w:rPr>
                <w:rFonts w:ascii="Times New Roman" w:hAnsi="Times New Roman"/>
                <w:sz w:val="20"/>
                <w:szCs w:val="20"/>
              </w:rPr>
              <w:t>Единовременные социальные выплаты, кол-во семей</w:t>
            </w:r>
          </w:p>
        </w:tc>
        <w:tc>
          <w:tcPr>
            <w:tcW w:w="2336" w:type="dxa"/>
            <w:shd w:val="clear" w:color="auto" w:fill="auto"/>
          </w:tcPr>
          <w:p w:rsidR="00FC41F4" w:rsidRPr="00577593" w:rsidRDefault="008925FA" w:rsidP="002000D4">
            <w:pPr>
              <w:spacing w:after="0" w:line="240" w:lineRule="auto"/>
              <w:contextualSpacing/>
              <w:jc w:val="center"/>
              <w:rPr>
                <w:rFonts w:ascii="Times New Roman" w:hAnsi="Times New Roman"/>
                <w:sz w:val="20"/>
                <w:szCs w:val="20"/>
              </w:rPr>
            </w:pPr>
            <w:r w:rsidRPr="00577593">
              <w:rPr>
                <w:rFonts w:ascii="Times New Roman" w:hAnsi="Times New Roman"/>
                <w:sz w:val="20"/>
                <w:szCs w:val="20"/>
              </w:rPr>
              <w:t>Количество молодых семей, стоящих на учете</w:t>
            </w:r>
          </w:p>
        </w:tc>
      </w:tr>
      <w:tr w:rsidR="00FC41F4" w:rsidRPr="00577593" w:rsidTr="00EE2F1D">
        <w:tc>
          <w:tcPr>
            <w:tcW w:w="1271" w:type="dxa"/>
            <w:shd w:val="clear" w:color="auto" w:fill="auto"/>
          </w:tcPr>
          <w:p w:rsidR="00FC41F4" w:rsidRPr="00577593" w:rsidRDefault="008925FA" w:rsidP="002000D4">
            <w:pPr>
              <w:spacing w:after="0" w:line="240" w:lineRule="auto"/>
              <w:contextualSpacing/>
              <w:jc w:val="center"/>
              <w:rPr>
                <w:rFonts w:ascii="Times New Roman" w:hAnsi="Times New Roman"/>
                <w:sz w:val="20"/>
                <w:szCs w:val="20"/>
              </w:rPr>
            </w:pPr>
            <w:r w:rsidRPr="00577593">
              <w:rPr>
                <w:rFonts w:ascii="Times New Roman" w:hAnsi="Times New Roman"/>
                <w:sz w:val="20"/>
                <w:szCs w:val="20"/>
              </w:rPr>
              <w:t>2024</w:t>
            </w:r>
          </w:p>
        </w:tc>
        <w:tc>
          <w:tcPr>
            <w:tcW w:w="3401" w:type="dxa"/>
            <w:shd w:val="clear" w:color="auto" w:fill="auto"/>
          </w:tcPr>
          <w:p w:rsidR="00FC41F4" w:rsidRPr="00577593" w:rsidRDefault="008925FA" w:rsidP="002000D4">
            <w:pPr>
              <w:spacing w:after="0" w:line="240" w:lineRule="auto"/>
              <w:ind w:hanging="107"/>
              <w:contextualSpacing/>
              <w:jc w:val="center"/>
              <w:rPr>
                <w:rFonts w:ascii="Times New Roman" w:hAnsi="Times New Roman"/>
                <w:sz w:val="20"/>
                <w:szCs w:val="20"/>
              </w:rPr>
            </w:pPr>
            <w:r w:rsidRPr="00577593">
              <w:rPr>
                <w:rFonts w:ascii="Times New Roman" w:hAnsi="Times New Roman"/>
                <w:sz w:val="20"/>
                <w:szCs w:val="20"/>
              </w:rPr>
              <w:t>113</w:t>
            </w:r>
          </w:p>
        </w:tc>
        <w:tc>
          <w:tcPr>
            <w:tcW w:w="2336" w:type="dxa"/>
            <w:shd w:val="clear" w:color="auto" w:fill="auto"/>
          </w:tcPr>
          <w:p w:rsidR="00FC41F4" w:rsidRPr="00577593" w:rsidRDefault="008925FA" w:rsidP="002000D4">
            <w:pPr>
              <w:spacing w:after="0" w:line="240" w:lineRule="auto"/>
              <w:contextualSpacing/>
              <w:jc w:val="center"/>
              <w:rPr>
                <w:rFonts w:ascii="Times New Roman" w:hAnsi="Times New Roman"/>
                <w:sz w:val="20"/>
                <w:szCs w:val="20"/>
              </w:rPr>
            </w:pPr>
            <w:r w:rsidRPr="00577593">
              <w:rPr>
                <w:rFonts w:ascii="Times New Roman" w:hAnsi="Times New Roman"/>
                <w:sz w:val="20"/>
                <w:szCs w:val="20"/>
              </w:rPr>
              <w:t>19</w:t>
            </w:r>
          </w:p>
        </w:tc>
        <w:tc>
          <w:tcPr>
            <w:tcW w:w="2336" w:type="dxa"/>
            <w:shd w:val="clear" w:color="auto" w:fill="auto"/>
            <w:vAlign w:val="bottom"/>
          </w:tcPr>
          <w:p w:rsidR="00FC41F4" w:rsidRPr="00577593" w:rsidRDefault="00940F9A" w:rsidP="002000D4">
            <w:pPr>
              <w:spacing w:after="0" w:line="240" w:lineRule="auto"/>
              <w:contextualSpacing/>
              <w:jc w:val="center"/>
              <w:rPr>
                <w:rFonts w:ascii="Times New Roman" w:hAnsi="Times New Roman"/>
                <w:sz w:val="20"/>
                <w:szCs w:val="20"/>
              </w:rPr>
            </w:pPr>
            <w:r w:rsidRPr="00577593">
              <w:rPr>
                <w:rFonts w:ascii="Times New Roman" w:hAnsi="Times New Roman"/>
                <w:sz w:val="20"/>
                <w:szCs w:val="20"/>
              </w:rPr>
              <w:t>5629</w:t>
            </w:r>
          </w:p>
        </w:tc>
      </w:tr>
      <w:tr w:rsidR="00FC41F4" w:rsidRPr="00577593" w:rsidTr="00EE2F1D">
        <w:tc>
          <w:tcPr>
            <w:tcW w:w="1271" w:type="dxa"/>
            <w:shd w:val="clear" w:color="auto" w:fill="auto"/>
          </w:tcPr>
          <w:p w:rsidR="00FC41F4" w:rsidRPr="00577593" w:rsidRDefault="008925FA" w:rsidP="002000D4">
            <w:pPr>
              <w:spacing w:after="0" w:line="240" w:lineRule="auto"/>
              <w:contextualSpacing/>
              <w:jc w:val="center"/>
              <w:rPr>
                <w:rFonts w:ascii="Times New Roman" w:hAnsi="Times New Roman"/>
                <w:sz w:val="20"/>
                <w:szCs w:val="20"/>
              </w:rPr>
            </w:pPr>
            <w:r w:rsidRPr="00577593">
              <w:rPr>
                <w:rFonts w:ascii="Times New Roman" w:hAnsi="Times New Roman"/>
                <w:sz w:val="20"/>
                <w:szCs w:val="20"/>
              </w:rPr>
              <w:t>2023</w:t>
            </w:r>
          </w:p>
        </w:tc>
        <w:tc>
          <w:tcPr>
            <w:tcW w:w="3401" w:type="dxa"/>
            <w:shd w:val="clear" w:color="auto" w:fill="auto"/>
          </w:tcPr>
          <w:p w:rsidR="00FC41F4" w:rsidRPr="00577593" w:rsidRDefault="008925FA" w:rsidP="002000D4">
            <w:pPr>
              <w:spacing w:after="0" w:line="240" w:lineRule="auto"/>
              <w:ind w:hanging="107"/>
              <w:contextualSpacing/>
              <w:jc w:val="center"/>
              <w:rPr>
                <w:rFonts w:ascii="Times New Roman" w:hAnsi="Times New Roman"/>
                <w:sz w:val="20"/>
                <w:szCs w:val="20"/>
              </w:rPr>
            </w:pPr>
            <w:r w:rsidRPr="00577593">
              <w:rPr>
                <w:rFonts w:ascii="Times New Roman" w:hAnsi="Times New Roman"/>
                <w:sz w:val="20"/>
                <w:szCs w:val="20"/>
              </w:rPr>
              <w:t>268</w:t>
            </w:r>
          </w:p>
        </w:tc>
        <w:tc>
          <w:tcPr>
            <w:tcW w:w="2336" w:type="dxa"/>
            <w:shd w:val="clear" w:color="auto" w:fill="auto"/>
          </w:tcPr>
          <w:p w:rsidR="00FC41F4" w:rsidRPr="00577593" w:rsidRDefault="008925FA" w:rsidP="002000D4">
            <w:pPr>
              <w:spacing w:after="0" w:line="240" w:lineRule="auto"/>
              <w:contextualSpacing/>
              <w:jc w:val="center"/>
              <w:rPr>
                <w:rFonts w:ascii="Times New Roman" w:hAnsi="Times New Roman"/>
                <w:sz w:val="20"/>
                <w:szCs w:val="20"/>
              </w:rPr>
            </w:pPr>
            <w:r w:rsidRPr="00577593">
              <w:rPr>
                <w:rFonts w:ascii="Times New Roman" w:hAnsi="Times New Roman"/>
                <w:sz w:val="20"/>
                <w:szCs w:val="20"/>
              </w:rPr>
              <w:t>26</w:t>
            </w:r>
          </w:p>
        </w:tc>
        <w:tc>
          <w:tcPr>
            <w:tcW w:w="2336" w:type="dxa"/>
            <w:shd w:val="clear" w:color="auto" w:fill="auto"/>
            <w:vAlign w:val="bottom"/>
          </w:tcPr>
          <w:p w:rsidR="00FC41F4" w:rsidRPr="00577593" w:rsidRDefault="008925FA" w:rsidP="002000D4">
            <w:pPr>
              <w:spacing w:after="0" w:line="240" w:lineRule="auto"/>
              <w:contextualSpacing/>
              <w:jc w:val="center"/>
              <w:rPr>
                <w:rFonts w:ascii="Times New Roman" w:hAnsi="Times New Roman"/>
                <w:sz w:val="20"/>
                <w:szCs w:val="20"/>
              </w:rPr>
            </w:pPr>
            <w:r w:rsidRPr="00577593">
              <w:rPr>
                <w:rFonts w:ascii="Times New Roman" w:hAnsi="Times New Roman"/>
                <w:sz w:val="20"/>
                <w:szCs w:val="20"/>
              </w:rPr>
              <w:t>6364</w:t>
            </w:r>
          </w:p>
        </w:tc>
      </w:tr>
      <w:tr w:rsidR="00FC41F4" w:rsidRPr="00577593" w:rsidTr="00EE2F1D">
        <w:tc>
          <w:tcPr>
            <w:tcW w:w="1271" w:type="dxa"/>
            <w:shd w:val="clear" w:color="auto" w:fill="auto"/>
          </w:tcPr>
          <w:p w:rsidR="00FC41F4" w:rsidRPr="00577593" w:rsidRDefault="008925FA" w:rsidP="002000D4">
            <w:pPr>
              <w:spacing w:after="0" w:line="240" w:lineRule="auto"/>
              <w:contextualSpacing/>
              <w:jc w:val="center"/>
              <w:rPr>
                <w:rFonts w:ascii="Times New Roman" w:hAnsi="Times New Roman"/>
                <w:sz w:val="20"/>
                <w:szCs w:val="20"/>
              </w:rPr>
            </w:pPr>
            <w:r w:rsidRPr="00577593">
              <w:rPr>
                <w:rFonts w:ascii="Times New Roman" w:hAnsi="Times New Roman"/>
                <w:sz w:val="20"/>
                <w:szCs w:val="20"/>
              </w:rPr>
              <w:t>2022</w:t>
            </w:r>
          </w:p>
        </w:tc>
        <w:tc>
          <w:tcPr>
            <w:tcW w:w="3401" w:type="dxa"/>
            <w:shd w:val="clear" w:color="auto" w:fill="auto"/>
          </w:tcPr>
          <w:p w:rsidR="00FC41F4" w:rsidRPr="00577593" w:rsidRDefault="008925FA" w:rsidP="002000D4">
            <w:pPr>
              <w:spacing w:after="0" w:line="240" w:lineRule="auto"/>
              <w:ind w:hanging="107"/>
              <w:contextualSpacing/>
              <w:jc w:val="center"/>
              <w:rPr>
                <w:rFonts w:ascii="Times New Roman" w:hAnsi="Times New Roman"/>
                <w:sz w:val="20"/>
                <w:szCs w:val="20"/>
              </w:rPr>
            </w:pPr>
            <w:r w:rsidRPr="00577593">
              <w:rPr>
                <w:rFonts w:ascii="Times New Roman" w:hAnsi="Times New Roman"/>
                <w:sz w:val="20"/>
                <w:szCs w:val="20"/>
              </w:rPr>
              <w:t>337</w:t>
            </w:r>
          </w:p>
        </w:tc>
        <w:tc>
          <w:tcPr>
            <w:tcW w:w="2336" w:type="dxa"/>
            <w:shd w:val="clear" w:color="auto" w:fill="auto"/>
          </w:tcPr>
          <w:p w:rsidR="00FC41F4" w:rsidRPr="00577593" w:rsidRDefault="008925FA" w:rsidP="002000D4">
            <w:pPr>
              <w:spacing w:after="0" w:line="240" w:lineRule="auto"/>
              <w:contextualSpacing/>
              <w:jc w:val="center"/>
              <w:rPr>
                <w:rFonts w:ascii="Times New Roman" w:hAnsi="Times New Roman"/>
                <w:sz w:val="20"/>
                <w:szCs w:val="20"/>
              </w:rPr>
            </w:pPr>
            <w:r w:rsidRPr="00577593">
              <w:rPr>
                <w:rFonts w:ascii="Times New Roman" w:hAnsi="Times New Roman"/>
                <w:sz w:val="20"/>
                <w:szCs w:val="20"/>
              </w:rPr>
              <w:t>45</w:t>
            </w:r>
          </w:p>
        </w:tc>
        <w:tc>
          <w:tcPr>
            <w:tcW w:w="2336" w:type="dxa"/>
            <w:shd w:val="clear" w:color="auto" w:fill="auto"/>
            <w:vAlign w:val="bottom"/>
          </w:tcPr>
          <w:p w:rsidR="00FC41F4" w:rsidRPr="00577593" w:rsidRDefault="008925FA" w:rsidP="002000D4">
            <w:pPr>
              <w:spacing w:after="0" w:line="240" w:lineRule="auto"/>
              <w:contextualSpacing/>
              <w:jc w:val="center"/>
              <w:rPr>
                <w:rFonts w:ascii="Times New Roman" w:hAnsi="Times New Roman"/>
                <w:sz w:val="20"/>
                <w:szCs w:val="20"/>
              </w:rPr>
            </w:pPr>
            <w:r w:rsidRPr="00577593">
              <w:rPr>
                <w:rFonts w:ascii="Times New Roman" w:hAnsi="Times New Roman"/>
                <w:sz w:val="20"/>
                <w:szCs w:val="20"/>
              </w:rPr>
              <w:t>6484</w:t>
            </w:r>
          </w:p>
        </w:tc>
      </w:tr>
      <w:tr w:rsidR="00FC41F4" w:rsidRPr="00577593" w:rsidTr="00EE2F1D">
        <w:tc>
          <w:tcPr>
            <w:tcW w:w="1271" w:type="dxa"/>
            <w:shd w:val="clear" w:color="auto" w:fill="auto"/>
          </w:tcPr>
          <w:p w:rsidR="00FC41F4" w:rsidRPr="00577593" w:rsidRDefault="008925FA" w:rsidP="002000D4">
            <w:pPr>
              <w:spacing w:after="0" w:line="240" w:lineRule="auto"/>
              <w:contextualSpacing/>
              <w:jc w:val="center"/>
              <w:rPr>
                <w:rFonts w:ascii="Times New Roman" w:hAnsi="Times New Roman"/>
                <w:sz w:val="20"/>
                <w:szCs w:val="20"/>
              </w:rPr>
            </w:pPr>
            <w:r w:rsidRPr="00577593">
              <w:rPr>
                <w:rFonts w:ascii="Times New Roman" w:hAnsi="Times New Roman"/>
                <w:sz w:val="20"/>
                <w:szCs w:val="20"/>
              </w:rPr>
              <w:t>2021</w:t>
            </w:r>
          </w:p>
        </w:tc>
        <w:tc>
          <w:tcPr>
            <w:tcW w:w="3401" w:type="dxa"/>
            <w:shd w:val="clear" w:color="auto" w:fill="auto"/>
          </w:tcPr>
          <w:p w:rsidR="00FC41F4" w:rsidRPr="00577593" w:rsidRDefault="008925FA" w:rsidP="002000D4">
            <w:pPr>
              <w:spacing w:after="0" w:line="240" w:lineRule="auto"/>
              <w:ind w:hanging="107"/>
              <w:contextualSpacing/>
              <w:jc w:val="center"/>
              <w:rPr>
                <w:rFonts w:ascii="Times New Roman" w:hAnsi="Times New Roman"/>
                <w:sz w:val="20"/>
                <w:szCs w:val="20"/>
              </w:rPr>
            </w:pPr>
            <w:r w:rsidRPr="00577593">
              <w:rPr>
                <w:rFonts w:ascii="Times New Roman" w:hAnsi="Times New Roman"/>
                <w:sz w:val="20"/>
                <w:szCs w:val="20"/>
              </w:rPr>
              <w:t>261</w:t>
            </w:r>
          </w:p>
        </w:tc>
        <w:tc>
          <w:tcPr>
            <w:tcW w:w="2336" w:type="dxa"/>
            <w:shd w:val="clear" w:color="auto" w:fill="auto"/>
          </w:tcPr>
          <w:p w:rsidR="00FC41F4" w:rsidRPr="00577593" w:rsidRDefault="008925FA" w:rsidP="002000D4">
            <w:pPr>
              <w:spacing w:after="0" w:line="240" w:lineRule="auto"/>
              <w:contextualSpacing/>
              <w:jc w:val="center"/>
              <w:rPr>
                <w:rFonts w:ascii="Times New Roman" w:hAnsi="Times New Roman"/>
                <w:sz w:val="20"/>
                <w:szCs w:val="20"/>
              </w:rPr>
            </w:pPr>
            <w:r w:rsidRPr="00577593">
              <w:rPr>
                <w:rFonts w:ascii="Times New Roman" w:hAnsi="Times New Roman"/>
                <w:sz w:val="20"/>
                <w:szCs w:val="20"/>
              </w:rPr>
              <w:t>27</w:t>
            </w:r>
          </w:p>
        </w:tc>
        <w:tc>
          <w:tcPr>
            <w:tcW w:w="2336" w:type="dxa"/>
            <w:shd w:val="clear" w:color="auto" w:fill="auto"/>
            <w:vAlign w:val="bottom"/>
          </w:tcPr>
          <w:p w:rsidR="00FC41F4" w:rsidRPr="00577593" w:rsidRDefault="008925FA" w:rsidP="002000D4">
            <w:pPr>
              <w:spacing w:after="0" w:line="240" w:lineRule="auto"/>
              <w:contextualSpacing/>
              <w:jc w:val="center"/>
              <w:rPr>
                <w:rFonts w:ascii="Times New Roman" w:hAnsi="Times New Roman"/>
                <w:sz w:val="20"/>
                <w:szCs w:val="20"/>
              </w:rPr>
            </w:pPr>
            <w:r w:rsidRPr="00577593">
              <w:rPr>
                <w:rFonts w:ascii="Times New Roman" w:hAnsi="Times New Roman"/>
                <w:sz w:val="20"/>
                <w:szCs w:val="20"/>
              </w:rPr>
              <w:t>7066</w:t>
            </w:r>
          </w:p>
        </w:tc>
      </w:tr>
      <w:tr w:rsidR="00FC41F4" w:rsidRPr="00577593" w:rsidTr="00EE2F1D">
        <w:tc>
          <w:tcPr>
            <w:tcW w:w="1271" w:type="dxa"/>
            <w:shd w:val="clear" w:color="auto" w:fill="auto"/>
          </w:tcPr>
          <w:p w:rsidR="00FC41F4" w:rsidRPr="00577593" w:rsidRDefault="008925FA" w:rsidP="002000D4">
            <w:pPr>
              <w:spacing w:after="0" w:line="240" w:lineRule="auto"/>
              <w:contextualSpacing/>
              <w:jc w:val="center"/>
              <w:rPr>
                <w:rFonts w:ascii="Times New Roman" w:hAnsi="Times New Roman"/>
                <w:sz w:val="20"/>
                <w:szCs w:val="20"/>
              </w:rPr>
            </w:pPr>
            <w:r w:rsidRPr="00577593">
              <w:rPr>
                <w:rFonts w:ascii="Times New Roman" w:hAnsi="Times New Roman"/>
                <w:sz w:val="20"/>
                <w:szCs w:val="20"/>
              </w:rPr>
              <w:t>2020</w:t>
            </w:r>
          </w:p>
        </w:tc>
        <w:tc>
          <w:tcPr>
            <w:tcW w:w="3401" w:type="dxa"/>
            <w:shd w:val="clear" w:color="auto" w:fill="auto"/>
          </w:tcPr>
          <w:p w:rsidR="00FC41F4" w:rsidRPr="00577593" w:rsidRDefault="008925FA" w:rsidP="002000D4">
            <w:pPr>
              <w:spacing w:after="0" w:line="240" w:lineRule="auto"/>
              <w:ind w:hanging="107"/>
              <w:contextualSpacing/>
              <w:jc w:val="center"/>
              <w:rPr>
                <w:rFonts w:ascii="Times New Roman" w:hAnsi="Times New Roman"/>
                <w:sz w:val="20"/>
                <w:szCs w:val="20"/>
              </w:rPr>
            </w:pPr>
            <w:r w:rsidRPr="00577593">
              <w:rPr>
                <w:rFonts w:ascii="Times New Roman" w:hAnsi="Times New Roman"/>
                <w:sz w:val="20"/>
                <w:szCs w:val="20"/>
              </w:rPr>
              <w:t>118</w:t>
            </w:r>
          </w:p>
        </w:tc>
        <w:tc>
          <w:tcPr>
            <w:tcW w:w="2336" w:type="dxa"/>
            <w:shd w:val="clear" w:color="auto" w:fill="auto"/>
          </w:tcPr>
          <w:p w:rsidR="00FC41F4" w:rsidRPr="00577593" w:rsidRDefault="008925FA" w:rsidP="002000D4">
            <w:pPr>
              <w:spacing w:after="0" w:line="240" w:lineRule="auto"/>
              <w:contextualSpacing/>
              <w:jc w:val="center"/>
              <w:rPr>
                <w:rFonts w:ascii="Times New Roman" w:hAnsi="Times New Roman"/>
                <w:sz w:val="20"/>
                <w:szCs w:val="20"/>
              </w:rPr>
            </w:pPr>
            <w:r w:rsidRPr="00577593">
              <w:rPr>
                <w:rFonts w:ascii="Times New Roman" w:hAnsi="Times New Roman"/>
                <w:sz w:val="20"/>
                <w:szCs w:val="20"/>
              </w:rPr>
              <w:t>27</w:t>
            </w:r>
          </w:p>
        </w:tc>
        <w:tc>
          <w:tcPr>
            <w:tcW w:w="2336" w:type="dxa"/>
            <w:shd w:val="clear" w:color="auto" w:fill="auto"/>
            <w:vAlign w:val="bottom"/>
          </w:tcPr>
          <w:p w:rsidR="00FC41F4" w:rsidRPr="00577593" w:rsidRDefault="008925FA" w:rsidP="002000D4">
            <w:pPr>
              <w:spacing w:after="0" w:line="240" w:lineRule="auto"/>
              <w:contextualSpacing/>
              <w:jc w:val="center"/>
              <w:rPr>
                <w:rFonts w:ascii="Times New Roman" w:hAnsi="Times New Roman"/>
                <w:sz w:val="20"/>
                <w:szCs w:val="20"/>
              </w:rPr>
            </w:pPr>
            <w:r w:rsidRPr="00577593">
              <w:rPr>
                <w:rFonts w:ascii="Times New Roman" w:hAnsi="Times New Roman"/>
                <w:sz w:val="20"/>
                <w:szCs w:val="20"/>
              </w:rPr>
              <w:t>6970</w:t>
            </w:r>
          </w:p>
        </w:tc>
      </w:tr>
      <w:tr w:rsidR="00FC41F4" w:rsidRPr="00577593" w:rsidTr="00EE2F1D">
        <w:tc>
          <w:tcPr>
            <w:tcW w:w="1271" w:type="dxa"/>
            <w:shd w:val="clear" w:color="auto" w:fill="auto"/>
          </w:tcPr>
          <w:p w:rsidR="00FC41F4" w:rsidRPr="00577593" w:rsidRDefault="008925FA" w:rsidP="002000D4">
            <w:pPr>
              <w:spacing w:after="0" w:line="240" w:lineRule="auto"/>
              <w:contextualSpacing/>
              <w:jc w:val="center"/>
              <w:rPr>
                <w:rFonts w:ascii="Times New Roman" w:hAnsi="Times New Roman"/>
                <w:sz w:val="20"/>
                <w:szCs w:val="20"/>
              </w:rPr>
            </w:pPr>
            <w:r w:rsidRPr="00577593">
              <w:rPr>
                <w:rFonts w:ascii="Times New Roman" w:hAnsi="Times New Roman"/>
                <w:sz w:val="20"/>
                <w:szCs w:val="20"/>
              </w:rPr>
              <w:t>2019</w:t>
            </w:r>
          </w:p>
        </w:tc>
        <w:tc>
          <w:tcPr>
            <w:tcW w:w="3401" w:type="dxa"/>
            <w:shd w:val="clear" w:color="auto" w:fill="auto"/>
          </w:tcPr>
          <w:p w:rsidR="00FC41F4" w:rsidRPr="00577593" w:rsidRDefault="008925FA" w:rsidP="002000D4">
            <w:pPr>
              <w:spacing w:after="0" w:line="240" w:lineRule="auto"/>
              <w:ind w:hanging="107"/>
              <w:contextualSpacing/>
              <w:jc w:val="center"/>
              <w:rPr>
                <w:rFonts w:ascii="Times New Roman" w:hAnsi="Times New Roman"/>
                <w:sz w:val="20"/>
                <w:szCs w:val="20"/>
              </w:rPr>
            </w:pPr>
            <w:r w:rsidRPr="00577593">
              <w:rPr>
                <w:rFonts w:ascii="Times New Roman" w:hAnsi="Times New Roman"/>
                <w:sz w:val="20"/>
                <w:szCs w:val="20"/>
              </w:rPr>
              <w:t>136</w:t>
            </w:r>
          </w:p>
        </w:tc>
        <w:tc>
          <w:tcPr>
            <w:tcW w:w="2336" w:type="dxa"/>
            <w:shd w:val="clear" w:color="auto" w:fill="auto"/>
          </w:tcPr>
          <w:p w:rsidR="00FC41F4" w:rsidRPr="00577593" w:rsidRDefault="008925FA" w:rsidP="002000D4">
            <w:pPr>
              <w:spacing w:after="0" w:line="240" w:lineRule="auto"/>
              <w:contextualSpacing/>
              <w:jc w:val="center"/>
              <w:rPr>
                <w:rFonts w:ascii="Times New Roman" w:hAnsi="Times New Roman"/>
                <w:sz w:val="20"/>
                <w:szCs w:val="20"/>
              </w:rPr>
            </w:pPr>
            <w:r w:rsidRPr="00577593">
              <w:rPr>
                <w:rFonts w:ascii="Times New Roman" w:hAnsi="Times New Roman"/>
                <w:sz w:val="20"/>
                <w:szCs w:val="20"/>
              </w:rPr>
              <w:t>144</w:t>
            </w:r>
          </w:p>
        </w:tc>
        <w:tc>
          <w:tcPr>
            <w:tcW w:w="2336" w:type="dxa"/>
            <w:shd w:val="clear" w:color="auto" w:fill="auto"/>
            <w:vAlign w:val="bottom"/>
          </w:tcPr>
          <w:p w:rsidR="00FC41F4" w:rsidRPr="00577593" w:rsidRDefault="008925FA" w:rsidP="002000D4">
            <w:pPr>
              <w:spacing w:after="0" w:line="240" w:lineRule="auto"/>
              <w:contextualSpacing/>
              <w:jc w:val="center"/>
              <w:rPr>
                <w:rFonts w:ascii="Times New Roman" w:hAnsi="Times New Roman"/>
                <w:sz w:val="20"/>
                <w:szCs w:val="20"/>
              </w:rPr>
            </w:pPr>
            <w:r w:rsidRPr="00577593">
              <w:rPr>
                <w:rFonts w:ascii="Times New Roman" w:hAnsi="Times New Roman"/>
                <w:sz w:val="20"/>
                <w:szCs w:val="20"/>
              </w:rPr>
              <w:t>7300</w:t>
            </w:r>
          </w:p>
        </w:tc>
      </w:tr>
      <w:tr w:rsidR="00FC41F4" w:rsidRPr="00577593" w:rsidTr="00EE2F1D">
        <w:tc>
          <w:tcPr>
            <w:tcW w:w="1271" w:type="dxa"/>
            <w:shd w:val="clear" w:color="auto" w:fill="auto"/>
          </w:tcPr>
          <w:p w:rsidR="00FC41F4" w:rsidRPr="00577593" w:rsidRDefault="008925FA" w:rsidP="002000D4">
            <w:pPr>
              <w:spacing w:after="0" w:line="240" w:lineRule="auto"/>
              <w:contextualSpacing/>
              <w:jc w:val="center"/>
              <w:rPr>
                <w:rFonts w:ascii="Times New Roman" w:hAnsi="Times New Roman"/>
                <w:sz w:val="20"/>
                <w:szCs w:val="20"/>
              </w:rPr>
            </w:pPr>
            <w:r w:rsidRPr="00577593">
              <w:rPr>
                <w:rFonts w:ascii="Times New Roman" w:hAnsi="Times New Roman"/>
                <w:sz w:val="20"/>
                <w:szCs w:val="20"/>
              </w:rPr>
              <w:t>2018</w:t>
            </w:r>
          </w:p>
        </w:tc>
        <w:tc>
          <w:tcPr>
            <w:tcW w:w="3401" w:type="dxa"/>
            <w:shd w:val="clear" w:color="auto" w:fill="auto"/>
          </w:tcPr>
          <w:p w:rsidR="00FC41F4" w:rsidRPr="00577593" w:rsidRDefault="008925FA" w:rsidP="002000D4">
            <w:pPr>
              <w:spacing w:after="0" w:line="240" w:lineRule="auto"/>
              <w:ind w:hanging="107"/>
              <w:contextualSpacing/>
              <w:jc w:val="center"/>
              <w:rPr>
                <w:rFonts w:ascii="Times New Roman" w:hAnsi="Times New Roman"/>
                <w:sz w:val="20"/>
                <w:szCs w:val="20"/>
              </w:rPr>
            </w:pPr>
            <w:r w:rsidRPr="00577593">
              <w:rPr>
                <w:rFonts w:ascii="Times New Roman" w:hAnsi="Times New Roman"/>
                <w:sz w:val="20"/>
                <w:szCs w:val="20"/>
              </w:rPr>
              <w:t>55</w:t>
            </w:r>
          </w:p>
        </w:tc>
        <w:tc>
          <w:tcPr>
            <w:tcW w:w="2336" w:type="dxa"/>
            <w:shd w:val="clear" w:color="auto" w:fill="auto"/>
          </w:tcPr>
          <w:p w:rsidR="00FC41F4" w:rsidRPr="00577593" w:rsidRDefault="008925FA" w:rsidP="002000D4">
            <w:pPr>
              <w:spacing w:after="0" w:line="240" w:lineRule="auto"/>
              <w:contextualSpacing/>
              <w:jc w:val="center"/>
              <w:rPr>
                <w:rFonts w:ascii="Times New Roman" w:hAnsi="Times New Roman"/>
                <w:sz w:val="20"/>
                <w:szCs w:val="20"/>
              </w:rPr>
            </w:pPr>
            <w:r w:rsidRPr="00577593">
              <w:rPr>
                <w:rFonts w:ascii="Times New Roman" w:hAnsi="Times New Roman"/>
                <w:sz w:val="20"/>
                <w:szCs w:val="20"/>
              </w:rPr>
              <w:t>150</w:t>
            </w:r>
          </w:p>
        </w:tc>
        <w:tc>
          <w:tcPr>
            <w:tcW w:w="2336" w:type="dxa"/>
            <w:shd w:val="clear" w:color="auto" w:fill="auto"/>
            <w:vAlign w:val="bottom"/>
          </w:tcPr>
          <w:p w:rsidR="00FC41F4" w:rsidRPr="00577593" w:rsidRDefault="008925FA" w:rsidP="002000D4">
            <w:pPr>
              <w:spacing w:after="0" w:line="240" w:lineRule="auto"/>
              <w:contextualSpacing/>
              <w:jc w:val="center"/>
              <w:rPr>
                <w:rFonts w:ascii="Times New Roman" w:hAnsi="Times New Roman"/>
                <w:sz w:val="20"/>
                <w:szCs w:val="20"/>
              </w:rPr>
            </w:pPr>
            <w:r w:rsidRPr="00577593">
              <w:rPr>
                <w:rFonts w:ascii="Times New Roman" w:hAnsi="Times New Roman"/>
                <w:sz w:val="20"/>
                <w:szCs w:val="20"/>
              </w:rPr>
              <w:t>10522</w:t>
            </w:r>
          </w:p>
        </w:tc>
      </w:tr>
      <w:tr w:rsidR="00FC41F4" w:rsidRPr="00577593" w:rsidTr="00EE2F1D">
        <w:tc>
          <w:tcPr>
            <w:tcW w:w="1271" w:type="dxa"/>
            <w:shd w:val="clear" w:color="auto" w:fill="auto"/>
          </w:tcPr>
          <w:p w:rsidR="00FC41F4" w:rsidRPr="00577593" w:rsidRDefault="008925FA" w:rsidP="002000D4">
            <w:pPr>
              <w:spacing w:after="0" w:line="240" w:lineRule="auto"/>
              <w:contextualSpacing/>
              <w:jc w:val="center"/>
              <w:rPr>
                <w:rFonts w:ascii="Times New Roman" w:hAnsi="Times New Roman"/>
                <w:sz w:val="20"/>
                <w:szCs w:val="20"/>
              </w:rPr>
            </w:pPr>
            <w:r w:rsidRPr="00577593">
              <w:rPr>
                <w:rFonts w:ascii="Times New Roman" w:hAnsi="Times New Roman"/>
                <w:sz w:val="20"/>
                <w:szCs w:val="20"/>
              </w:rPr>
              <w:t>2017</w:t>
            </w:r>
          </w:p>
        </w:tc>
        <w:tc>
          <w:tcPr>
            <w:tcW w:w="3401" w:type="dxa"/>
            <w:shd w:val="clear" w:color="auto" w:fill="auto"/>
          </w:tcPr>
          <w:p w:rsidR="00FC41F4" w:rsidRPr="00577593" w:rsidRDefault="008925FA" w:rsidP="002000D4">
            <w:pPr>
              <w:spacing w:after="0" w:line="240" w:lineRule="auto"/>
              <w:ind w:hanging="107"/>
              <w:contextualSpacing/>
              <w:jc w:val="center"/>
              <w:rPr>
                <w:rFonts w:ascii="Times New Roman" w:hAnsi="Times New Roman"/>
                <w:sz w:val="20"/>
                <w:szCs w:val="20"/>
              </w:rPr>
            </w:pPr>
            <w:r w:rsidRPr="00577593">
              <w:rPr>
                <w:rFonts w:ascii="Times New Roman" w:hAnsi="Times New Roman"/>
                <w:sz w:val="20"/>
                <w:szCs w:val="20"/>
              </w:rPr>
              <w:t>261</w:t>
            </w:r>
          </w:p>
        </w:tc>
        <w:tc>
          <w:tcPr>
            <w:tcW w:w="2336" w:type="dxa"/>
            <w:shd w:val="clear" w:color="auto" w:fill="auto"/>
          </w:tcPr>
          <w:p w:rsidR="00FC41F4" w:rsidRPr="00577593" w:rsidRDefault="008925FA" w:rsidP="002000D4">
            <w:pPr>
              <w:spacing w:after="0" w:line="240" w:lineRule="auto"/>
              <w:contextualSpacing/>
              <w:jc w:val="center"/>
              <w:rPr>
                <w:rFonts w:ascii="Times New Roman" w:hAnsi="Times New Roman"/>
                <w:sz w:val="20"/>
                <w:szCs w:val="20"/>
              </w:rPr>
            </w:pPr>
            <w:r w:rsidRPr="00577593">
              <w:rPr>
                <w:rFonts w:ascii="Times New Roman" w:hAnsi="Times New Roman"/>
                <w:sz w:val="20"/>
                <w:szCs w:val="20"/>
              </w:rPr>
              <w:t>93</w:t>
            </w:r>
          </w:p>
        </w:tc>
        <w:tc>
          <w:tcPr>
            <w:tcW w:w="2336" w:type="dxa"/>
            <w:shd w:val="clear" w:color="auto" w:fill="auto"/>
            <w:vAlign w:val="bottom"/>
          </w:tcPr>
          <w:p w:rsidR="00FC41F4" w:rsidRPr="00577593" w:rsidRDefault="008925FA" w:rsidP="002000D4">
            <w:pPr>
              <w:spacing w:after="0" w:line="240" w:lineRule="auto"/>
              <w:contextualSpacing/>
              <w:jc w:val="center"/>
              <w:rPr>
                <w:rFonts w:ascii="Times New Roman" w:hAnsi="Times New Roman"/>
                <w:sz w:val="20"/>
                <w:szCs w:val="20"/>
              </w:rPr>
            </w:pPr>
            <w:r w:rsidRPr="00577593">
              <w:rPr>
                <w:rFonts w:ascii="Times New Roman" w:hAnsi="Times New Roman"/>
                <w:sz w:val="20"/>
                <w:szCs w:val="20"/>
              </w:rPr>
              <w:t>10450</w:t>
            </w:r>
          </w:p>
        </w:tc>
      </w:tr>
      <w:tr w:rsidR="00FC41F4" w:rsidRPr="00577593" w:rsidTr="00EE2F1D">
        <w:tc>
          <w:tcPr>
            <w:tcW w:w="1271" w:type="dxa"/>
            <w:shd w:val="clear" w:color="auto" w:fill="auto"/>
          </w:tcPr>
          <w:p w:rsidR="00FC41F4" w:rsidRPr="00577593" w:rsidRDefault="008925FA" w:rsidP="002000D4">
            <w:pPr>
              <w:spacing w:after="0" w:line="240" w:lineRule="auto"/>
              <w:contextualSpacing/>
              <w:jc w:val="center"/>
              <w:rPr>
                <w:rFonts w:ascii="Times New Roman" w:hAnsi="Times New Roman"/>
                <w:sz w:val="20"/>
                <w:szCs w:val="20"/>
              </w:rPr>
            </w:pPr>
            <w:r w:rsidRPr="00577593">
              <w:rPr>
                <w:rFonts w:ascii="Times New Roman" w:hAnsi="Times New Roman"/>
                <w:sz w:val="20"/>
                <w:szCs w:val="20"/>
              </w:rPr>
              <w:t>2016</w:t>
            </w:r>
          </w:p>
        </w:tc>
        <w:tc>
          <w:tcPr>
            <w:tcW w:w="3401" w:type="dxa"/>
            <w:shd w:val="clear" w:color="auto" w:fill="auto"/>
          </w:tcPr>
          <w:p w:rsidR="00FC41F4" w:rsidRPr="00577593" w:rsidRDefault="008925FA" w:rsidP="002000D4">
            <w:pPr>
              <w:spacing w:after="0" w:line="240" w:lineRule="auto"/>
              <w:ind w:hanging="107"/>
              <w:contextualSpacing/>
              <w:jc w:val="center"/>
              <w:rPr>
                <w:rFonts w:ascii="Times New Roman" w:hAnsi="Times New Roman"/>
                <w:sz w:val="20"/>
                <w:szCs w:val="20"/>
              </w:rPr>
            </w:pPr>
            <w:r w:rsidRPr="00577593">
              <w:rPr>
                <w:rFonts w:ascii="Times New Roman" w:hAnsi="Times New Roman"/>
                <w:sz w:val="20"/>
                <w:szCs w:val="20"/>
              </w:rPr>
              <w:t>98</w:t>
            </w:r>
          </w:p>
        </w:tc>
        <w:tc>
          <w:tcPr>
            <w:tcW w:w="2336" w:type="dxa"/>
            <w:shd w:val="clear" w:color="auto" w:fill="auto"/>
          </w:tcPr>
          <w:p w:rsidR="00FC41F4" w:rsidRPr="00577593" w:rsidRDefault="008925FA" w:rsidP="002000D4">
            <w:pPr>
              <w:spacing w:after="0" w:line="240" w:lineRule="auto"/>
              <w:contextualSpacing/>
              <w:jc w:val="center"/>
              <w:rPr>
                <w:rFonts w:ascii="Times New Roman" w:hAnsi="Times New Roman"/>
                <w:sz w:val="20"/>
                <w:szCs w:val="20"/>
              </w:rPr>
            </w:pPr>
            <w:r w:rsidRPr="00577593">
              <w:rPr>
                <w:rFonts w:ascii="Times New Roman" w:hAnsi="Times New Roman"/>
                <w:sz w:val="20"/>
                <w:szCs w:val="20"/>
              </w:rPr>
              <w:t>93</w:t>
            </w:r>
          </w:p>
        </w:tc>
        <w:tc>
          <w:tcPr>
            <w:tcW w:w="2336" w:type="dxa"/>
            <w:shd w:val="clear" w:color="auto" w:fill="auto"/>
            <w:vAlign w:val="bottom"/>
          </w:tcPr>
          <w:p w:rsidR="00FC41F4" w:rsidRPr="00577593" w:rsidRDefault="008925FA" w:rsidP="002000D4">
            <w:pPr>
              <w:spacing w:after="0" w:line="240" w:lineRule="auto"/>
              <w:contextualSpacing/>
              <w:jc w:val="center"/>
              <w:rPr>
                <w:rFonts w:ascii="Times New Roman" w:hAnsi="Times New Roman"/>
                <w:sz w:val="20"/>
                <w:szCs w:val="20"/>
              </w:rPr>
            </w:pPr>
            <w:r w:rsidRPr="00577593">
              <w:rPr>
                <w:rFonts w:ascii="Times New Roman" w:hAnsi="Times New Roman"/>
                <w:sz w:val="20"/>
                <w:szCs w:val="20"/>
              </w:rPr>
              <w:t>10630</w:t>
            </w:r>
          </w:p>
        </w:tc>
      </w:tr>
      <w:tr w:rsidR="00FC41F4" w:rsidRPr="00577593" w:rsidTr="00EE2F1D">
        <w:tc>
          <w:tcPr>
            <w:tcW w:w="1271" w:type="dxa"/>
            <w:shd w:val="clear" w:color="auto" w:fill="auto"/>
          </w:tcPr>
          <w:p w:rsidR="00FC41F4" w:rsidRPr="00577593" w:rsidRDefault="008925FA" w:rsidP="002000D4">
            <w:pPr>
              <w:spacing w:after="0" w:line="240" w:lineRule="auto"/>
              <w:contextualSpacing/>
              <w:jc w:val="center"/>
              <w:rPr>
                <w:rFonts w:ascii="Times New Roman" w:hAnsi="Times New Roman"/>
                <w:sz w:val="20"/>
                <w:szCs w:val="20"/>
              </w:rPr>
            </w:pPr>
            <w:r w:rsidRPr="00577593">
              <w:rPr>
                <w:rFonts w:ascii="Times New Roman" w:hAnsi="Times New Roman"/>
                <w:sz w:val="20"/>
                <w:szCs w:val="20"/>
              </w:rPr>
              <w:t>2015</w:t>
            </w:r>
          </w:p>
        </w:tc>
        <w:tc>
          <w:tcPr>
            <w:tcW w:w="3401" w:type="dxa"/>
            <w:shd w:val="clear" w:color="auto" w:fill="auto"/>
          </w:tcPr>
          <w:p w:rsidR="00FC41F4" w:rsidRPr="00577593" w:rsidRDefault="008925FA" w:rsidP="002000D4">
            <w:pPr>
              <w:spacing w:after="0" w:line="240" w:lineRule="auto"/>
              <w:ind w:hanging="107"/>
              <w:contextualSpacing/>
              <w:jc w:val="center"/>
              <w:rPr>
                <w:rFonts w:ascii="Times New Roman" w:hAnsi="Times New Roman"/>
                <w:sz w:val="20"/>
                <w:szCs w:val="20"/>
              </w:rPr>
            </w:pPr>
            <w:r w:rsidRPr="00577593">
              <w:rPr>
                <w:rFonts w:ascii="Times New Roman" w:hAnsi="Times New Roman"/>
                <w:sz w:val="20"/>
                <w:szCs w:val="20"/>
              </w:rPr>
              <w:t>93</w:t>
            </w:r>
          </w:p>
        </w:tc>
        <w:tc>
          <w:tcPr>
            <w:tcW w:w="2336" w:type="dxa"/>
            <w:shd w:val="clear" w:color="auto" w:fill="auto"/>
          </w:tcPr>
          <w:p w:rsidR="00FC41F4" w:rsidRPr="00577593" w:rsidRDefault="008925FA" w:rsidP="002000D4">
            <w:pPr>
              <w:spacing w:after="0" w:line="240" w:lineRule="auto"/>
              <w:contextualSpacing/>
              <w:jc w:val="center"/>
              <w:rPr>
                <w:rFonts w:ascii="Times New Roman" w:hAnsi="Times New Roman"/>
                <w:sz w:val="20"/>
                <w:szCs w:val="20"/>
              </w:rPr>
            </w:pPr>
            <w:r w:rsidRPr="00577593">
              <w:rPr>
                <w:rFonts w:ascii="Times New Roman" w:hAnsi="Times New Roman"/>
                <w:sz w:val="20"/>
                <w:szCs w:val="20"/>
              </w:rPr>
              <w:t>83</w:t>
            </w:r>
          </w:p>
        </w:tc>
        <w:tc>
          <w:tcPr>
            <w:tcW w:w="2336" w:type="dxa"/>
            <w:shd w:val="clear" w:color="auto" w:fill="auto"/>
            <w:vAlign w:val="bottom"/>
          </w:tcPr>
          <w:p w:rsidR="00FC41F4" w:rsidRPr="00577593" w:rsidRDefault="008925FA" w:rsidP="002000D4">
            <w:pPr>
              <w:spacing w:after="0" w:line="240" w:lineRule="auto"/>
              <w:contextualSpacing/>
              <w:jc w:val="center"/>
              <w:rPr>
                <w:rFonts w:ascii="Times New Roman" w:hAnsi="Times New Roman"/>
                <w:sz w:val="20"/>
                <w:szCs w:val="20"/>
              </w:rPr>
            </w:pPr>
            <w:r w:rsidRPr="00577593">
              <w:rPr>
                <w:rFonts w:ascii="Times New Roman" w:hAnsi="Times New Roman"/>
                <w:sz w:val="20"/>
                <w:szCs w:val="20"/>
              </w:rPr>
              <w:t>10432</w:t>
            </w:r>
          </w:p>
        </w:tc>
      </w:tr>
      <w:tr w:rsidR="00FC41F4" w:rsidRPr="00577593" w:rsidTr="00EE2F1D">
        <w:tc>
          <w:tcPr>
            <w:tcW w:w="1271" w:type="dxa"/>
            <w:shd w:val="clear" w:color="auto" w:fill="auto"/>
          </w:tcPr>
          <w:p w:rsidR="00FC41F4" w:rsidRPr="00577593" w:rsidRDefault="008925FA" w:rsidP="002000D4">
            <w:pPr>
              <w:spacing w:after="0" w:line="240" w:lineRule="auto"/>
              <w:contextualSpacing/>
              <w:jc w:val="center"/>
              <w:rPr>
                <w:rFonts w:ascii="Times New Roman" w:hAnsi="Times New Roman"/>
                <w:sz w:val="20"/>
                <w:szCs w:val="20"/>
              </w:rPr>
            </w:pPr>
            <w:r w:rsidRPr="00577593">
              <w:rPr>
                <w:rFonts w:ascii="Times New Roman" w:hAnsi="Times New Roman"/>
                <w:sz w:val="20"/>
                <w:szCs w:val="20"/>
              </w:rPr>
              <w:t>2014</w:t>
            </w:r>
          </w:p>
        </w:tc>
        <w:tc>
          <w:tcPr>
            <w:tcW w:w="3401" w:type="dxa"/>
            <w:shd w:val="clear" w:color="auto" w:fill="auto"/>
          </w:tcPr>
          <w:p w:rsidR="00FC41F4" w:rsidRPr="00577593" w:rsidRDefault="008925FA" w:rsidP="002000D4">
            <w:pPr>
              <w:spacing w:after="0" w:line="240" w:lineRule="auto"/>
              <w:ind w:hanging="107"/>
              <w:contextualSpacing/>
              <w:jc w:val="center"/>
              <w:rPr>
                <w:rFonts w:ascii="Times New Roman" w:hAnsi="Times New Roman"/>
                <w:sz w:val="20"/>
                <w:szCs w:val="20"/>
              </w:rPr>
            </w:pPr>
            <w:r w:rsidRPr="00577593">
              <w:rPr>
                <w:rFonts w:ascii="Times New Roman" w:hAnsi="Times New Roman"/>
                <w:sz w:val="20"/>
                <w:szCs w:val="20"/>
              </w:rPr>
              <w:t>310</w:t>
            </w:r>
          </w:p>
        </w:tc>
        <w:tc>
          <w:tcPr>
            <w:tcW w:w="2336" w:type="dxa"/>
            <w:shd w:val="clear" w:color="auto" w:fill="auto"/>
          </w:tcPr>
          <w:p w:rsidR="00FC41F4" w:rsidRPr="00577593" w:rsidRDefault="008925FA" w:rsidP="002000D4">
            <w:pPr>
              <w:spacing w:after="0" w:line="240" w:lineRule="auto"/>
              <w:contextualSpacing/>
              <w:jc w:val="center"/>
              <w:rPr>
                <w:rFonts w:ascii="Times New Roman" w:hAnsi="Times New Roman"/>
                <w:sz w:val="20"/>
                <w:szCs w:val="20"/>
              </w:rPr>
            </w:pPr>
            <w:r w:rsidRPr="00577593">
              <w:rPr>
                <w:rFonts w:ascii="Times New Roman" w:hAnsi="Times New Roman"/>
                <w:sz w:val="20"/>
                <w:szCs w:val="20"/>
              </w:rPr>
              <w:t>63</w:t>
            </w:r>
          </w:p>
        </w:tc>
        <w:tc>
          <w:tcPr>
            <w:tcW w:w="2336" w:type="dxa"/>
            <w:shd w:val="clear" w:color="auto" w:fill="auto"/>
            <w:vAlign w:val="bottom"/>
          </w:tcPr>
          <w:p w:rsidR="00FC41F4" w:rsidRPr="00577593" w:rsidRDefault="008925FA" w:rsidP="002000D4">
            <w:pPr>
              <w:spacing w:after="0" w:line="240" w:lineRule="auto"/>
              <w:contextualSpacing/>
              <w:jc w:val="center"/>
              <w:rPr>
                <w:rFonts w:ascii="Times New Roman" w:hAnsi="Times New Roman"/>
                <w:sz w:val="20"/>
                <w:szCs w:val="20"/>
              </w:rPr>
            </w:pPr>
            <w:r w:rsidRPr="00577593">
              <w:rPr>
                <w:rFonts w:ascii="Times New Roman" w:hAnsi="Times New Roman"/>
                <w:sz w:val="20"/>
                <w:szCs w:val="20"/>
              </w:rPr>
              <w:t>9556</w:t>
            </w:r>
          </w:p>
        </w:tc>
      </w:tr>
      <w:tr w:rsidR="00FC41F4" w:rsidRPr="00577593" w:rsidTr="00EE2F1D">
        <w:tc>
          <w:tcPr>
            <w:tcW w:w="1271" w:type="dxa"/>
            <w:shd w:val="clear" w:color="auto" w:fill="auto"/>
          </w:tcPr>
          <w:p w:rsidR="00FC41F4" w:rsidRPr="00577593" w:rsidRDefault="008925FA" w:rsidP="002000D4">
            <w:pPr>
              <w:spacing w:after="0" w:line="240" w:lineRule="auto"/>
              <w:contextualSpacing/>
              <w:jc w:val="center"/>
              <w:rPr>
                <w:rFonts w:ascii="Times New Roman" w:hAnsi="Times New Roman"/>
                <w:sz w:val="20"/>
                <w:szCs w:val="20"/>
              </w:rPr>
            </w:pPr>
            <w:r w:rsidRPr="00577593">
              <w:rPr>
                <w:rFonts w:ascii="Times New Roman" w:hAnsi="Times New Roman"/>
                <w:sz w:val="20"/>
                <w:szCs w:val="20"/>
              </w:rPr>
              <w:t>2013</w:t>
            </w:r>
          </w:p>
        </w:tc>
        <w:tc>
          <w:tcPr>
            <w:tcW w:w="3401" w:type="dxa"/>
            <w:shd w:val="clear" w:color="auto" w:fill="auto"/>
          </w:tcPr>
          <w:p w:rsidR="00FC41F4" w:rsidRPr="00577593" w:rsidRDefault="008925FA" w:rsidP="002000D4">
            <w:pPr>
              <w:spacing w:after="0" w:line="240" w:lineRule="auto"/>
              <w:ind w:hanging="107"/>
              <w:contextualSpacing/>
              <w:jc w:val="center"/>
              <w:rPr>
                <w:rFonts w:ascii="Times New Roman" w:hAnsi="Times New Roman"/>
                <w:sz w:val="20"/>
                <w:szCs w:val="20"/>
              </w:rPr>
            </w:pPr>
            <w:r w:rsidRPr="00577593">
              <w:rPr>
                <w:rFonts w:ascii="Times New Roman" w:hAnsi="Times New Roman"/>
                <w:sz w:val="20"/>
                <w:szCs w:val="20"/>
              </w:rPr>
              <w:t>168</w:t>
            </w:r>
          </w:p>
        </w:tc>
        <w:tc>
          <w:tcPr>
            <w:tcW w:w="2336" w:type="dxa"/>
            <w:shd w:val="clear" w:color="auto" w:fill="auto"/>
          </w:tcPr>
          <w:p w:rsidR="00FC41F4" w:rsidRPr="00577593" w:rsidRDefault="008925FA" w:rsidP="002000D4">
            <w:pPr>
              <w:spacing w:after="0" w:line="240" w:lineRule="auto"/>
              <w:contextualSpacing/>
              <w:jc w:val="center"/>
              <w:rPr>
                <w:rFonts w:ascii="Times New Roman" w:hAnsi="Times New Roman"/>
                <w:sz w:val="20"/>
                <w:szCs w:val="20"/>
              </w:rPr>
            </w:pPr>
            <w:r w:rsidRPr="00577593">
              <w:rPr>
                <w:rFonts w:ascii="Times New Roman" w:hAnsi="Times New Roman"/>
                <w:sz w:val="20"/>
                <w:szCs w:val="20"/>
              </w:rPr>
              <w:t>63</w:t>
            </w:r>
          </w:p>
        </w:tc>
        <w:tc>
          <w:tcPr>
            <w:tcW w:w="2336" w:type="dxa"/>
            <w:shd w:val="clear" w:color="auto" w:fill="auto"/>
            <w:vAlign w:val="bottom"/>
          </w:tcPr>
          <w:p w:rsidR="00FC41F4" w:rsidRPr="00577593" w:rsidRDefault="008925FA" w:rsidP="002000D4">
            <w:pPr>
              <w:spacing w:after="0" w:line="240" w:lineRule="auto"/>
              <w:contextualSpacing/>
              <w:jc w:val="center"/>
              <w:rPr>
                <w:rFonts w:ascii="Times New Roman" w:hAnsi="Times New Roman"/>
                <w:sz w:val="20"/>
                <w:szCs w:val="20"/>
              </w:rPr>
            </w:pPr>
            <w:r w:rsidRPr="00577593">
              <w:rPr>
                <w:rFonts w:ascii="Times New Roman" w:hAnsi="Times New Roman"/>
                <w:sz w:val="20"/>
                <w:szCs w:val="20"/>
              </w:rPr>
              <w:t>7575</w:t>
            </w:r>
          </w:p>
        </w:tc>
      </w:tr>
    </w:tbl>
    <w:p w:rsidR="00FC41F4" w:rsidRDefault="008925FA" w:rsidP="007F602F">
      <w:pPr>
        <w:pStyle w:val="aff9"/>
        <w:spacing w:after="0"/>
        <w:ind w:firstLine="709"/>
        <w:jc w:val="both"/>
        <w:rPr>
          <w:rFonts w:ascii="Times New Roman" w:hAnsi="Times New Roman"/>
          <w:i w:val="0"/>
          <w:color w:val="auto"/>
          <w:sz w:val="28"/>
          <w:szCs w:val="28"/>
        </w:rPr>
      </w:pPr>
      <w:r w:rsidRPr="00577593">
        <w:rPr>
          <w:rFonts w:ascii="Times New Roman" w:hAnsi="Times New Roman"/>
          <w:i w:val="0"/>
          <w:color w:val="auto"/>
          <w:sz w:val="28"/>
          <w:szCs w:val="28"/>
        </w:rPr>
        <w:t xml:space="preserve">Примечание </w:t>
      </w:r>
      <w:r w:rsidR="00672709" w:rsidRPr="00577593">
        <w:rPr>
          <w:rFonts w:ascii="Times New Roman" w:hAnsi="Times New Roman"/>
          <w:i w:val="0"/>
          <w:color w:val="auto"/>
          <w:sz w:val="28"/>
          <w:szCs w:val="28"/>
        </w:rPr>
        <w:t>–</w:t>
      </w:r>
      <w:r w:rsidRPr="00577593">
        <w:rPr>
          <w:rFonts w:ascii="Times New Roman" w:hAnsi="Times New Roman"/>
          <w:i w:val="0"/>
          <w:color w:val="auto"/>
          <w:sz w:val="28"/>
          <w:szCs w:val="28"/>
        </w:rPr>
        <w:t xml:space="preserve"> Источник: составлено на основе отчетов о реализации муниципальных программ, данных Росстата</w:t>
      </w:r>
    </w:p>
    <w:p w:rsidR="007F602F" w:rsidRPr="007F602F" w:rsidRDefault="007F602F" w:rsidP="007F602F"/>
    <w:p w:rsidR="00FC41F4" w:rsidRPr="00577593" w:rsidRDefault="00C939CD" w:rsidP="007F602F">
      <w:pPr>
        <w:spacing w:after="0" w:line="330" w:lineRule="exact"/>
        <w:ind w:firstLine="709"/>
        <w:jc w:val="both"/>
        <w:rPr>
          <w:rFonts w:ascii="Times New Roman" w:hAnsi="Times New Roman"/>
          <w:sz w:val="28"/>
          <w:szCs w:val="28"/>
        </w:rPr>
      </w:pPr>
      <w:r>
        <w:rPr>
          <w:rFonts w:ascii="Times New Roman" w:hAnsi="Times New Roman"/>
          <w:sz w:val="28"/>
          <w:szCs w:val="28"/>
        </w:rPr>
        <w:t xml:space="preserve">Одна </w:t>
      </w:r>
      <w:r w:rsidR="008925FA" w:rsidRPr="00577593">
        <w:rPr>
          <w:rFonts w:ascii="Times New Roman" w:hAnsi="Times New Roman"/>
          <w:sz w:val="28"/>
          <w:szCs w:val="28"/>
        </w:rPr>
        <w:t xml:space="preserve">из задач по развитию города на сегодняшний день – </w:t>
      </w:r>
      <w:r w:rsidR="00D45E45" w:rsidRPr="00577593">
        <w:rPr>
          <w:rFonts w:ascii="Times New Roman" w:hAnsi="Times New Roman"/>
          <w:sz w:val="28"/>
          <w:szCs w:val="28"/>
        </w:rPr>
        <w:br/>
      </w:r>
      <w:r w:rsidR="008925FA" w:rsidRPr="00577593">
        <w:rPr>
          <w:rFonts w:ascii="Times New Roman" w:hAnsi="Times New Roman"/>
          <w:sz w:val="28"/>
          <w:szCs w:val="28"/>
        </w:rPr>
        <w:t>это проведение капитального ремонта жилых домов. В перечне многоквартирных домов, включенных в краевую программу «Капитальный ремонт общего имущества в многоквартирных домах, расположенных на территории Алтайского края» на 2014</w:t>
      </w:r>
      <w:r w:rsidR="00672709" w:rsidRPr="00577593">
        <w:rPr>
          <w:rFonts w:ascii="Times New Roman" w:hAnsi="Times New Roman"/>
          <w:sz w:val="28"/>
          <w:szCs w:val="28"/>
        </w:rPr>
        <w:t>-</w:t>
      </w:r>
      <w:r w:rsidR="008925FA" w:rsidRPr="00577593">
        <w:rPr>
          <w:rFonts w:ascii="Times New Roman" w:hAnsi="Times New Roman"/>
          <w:sz w:val="28"/>
          <w:szCs w:val="28"/>
        </w:rPr>
        <w:t>2043 годы, находится 2929 домов, общая площадь которых составляет 16,5 млн </w:t>
      </w:r>
      <w:r w:rsidR="000F76C4">
        <w:rPr>
          <w:rFonts w:ascii="Times New Roman" w:hAnsi="Times New Roman"/>
          <w:sz w:val="28"/>
          <w:szCs w:val="28"/>
        </w:rPr>
        <w:t>кв. м</w:t>
      </w:r>
      <w:r w:rsidR="008925FA" w:rsidRPr="00577593">
        <w:rPr>
          <w:rFonts w:ascii="Times New Roman" w:hAnsi="Times New Roman"/>
          <w:sz w:val="28"/>
          <w:szCs w:val="28"/>
        </w:rPr>
        <w:t>. и в которых зарегистрировано 511503 жител</w:t>
      </w:r>
      <w:r w:rsidR="007F602F">
        <w:rPr>
          <w:rFonts w:ascii="Times New Roman" w:hAnsi="Times New Roman"/>
          <w:sz w:val="28"/>
          <w:szCs w:val="28"/>
        </w:rPr>
        <w:t>я</w:t>
      </w:r>
      <w:r w:rsidR="008925FA" w:rsidRPr="00577593">
        <w:rPr>
          <w:rFonts w:ascii="Times New Roman" w:hAnsi="Times New Roman"/>
          <w:sz w:val="28"/>
          <w:szCs w:val="28"/>
        </w:rPr>
        <w:t xml:space="preserve"> города. Таким образом, большая часть жилого фонда города нуждается в проведении капитального ремонта. </w:t>
      </w:r>
    </w:p>
    <w:p w:rsidR="00FC41F4" w:rsidRPr="00577593" w:rsidRDefault="008925FA" w:rsidP="007F602F">
      <w:pPr>
        <w:spacing w:after="0" w:line="330" w:lineRule="exact"/>
        <w:ind w:firstLine="709"/>
        <w:jc w:val="both"/>
        <w:rPr>
          <w:rFonts w:ascii="Times New Roman" w:hAnsi="Times New Roman"/>
          <w:b/>
          <w:sz w:val="28"/>
          <w:szCs w:val="28"/>
        </w:rPr>
      </w:pPr>
      <w:r w:rsidRPr="00577593">
        <w:rPr>
          <w:rFonts w:ascii="Times New Roman" w:hAnsi="Times New Roman"/>
          <w:b/>
          <w:sz w:val="28"/>
          <w:szCs w:val="28"/>
        </w:rPr>
        <w:t>Благоустройство и комфортная городская среда</w:t>
      </w:r>
    </w:p>
    <w:p w:rsidR="00FC41F4" w:rsidRPr="00CC2EB3" w:rsidRDefault="008925FA" w:rsidP="002000D4">
      <w:pPr>
        <w:spacing w:after="0" w:line="240" w:lineRule="auto"/>
        <w:ind w:firstLine="709"/>
        <w:jc w:val="both"/>
        <w:rPr>
          <w:rFonts w:ascii="Times New Roman" w:eastAsia="Times New Roman" w:hAnsi="Times New Roman"/>
          <w:iCs/>
          <w:sz w:val="28"/>
          <w:szCs w:val="28"/>
          <w:lang w:eastAsia="ru-RU"/>
        </w:rPr>
      </w:pPr>
      <w:r w:rsidRPr="00577593">
        <w:rPr>
          <w:rFonts w:ascii="Times New Roman" w:hAnsi="Times New Roman"/>
          <w:sz w:val="28"/>
          <w:szCs w:val="28"/>
        </w:rPr>
        <w:lastRenderedPageBreak/>
        <w:t xml:space="preserve">С 2018 года индекс качества городской среды </w:t>
      </w:r>
      <w:r w:rsidR="00B62988">
        <w:rPr>
          <w:rFonts w:ascii="Times New Roman" w:hAnsi="Times New Roman"/>
          <w:sz w:val="28"/>
          <w:szCs w:val="28"/>
        </w:rPr>
        <w:t xml:space="preserve">города </w:t>
      </w:r>
      <w:r w:rsidRPr="00577593">
        <w:rPr>
          <w:rFonts w:ascii="Times New Roman" w:hAnsi="Times New Roman"/>
          <w:sz w:val="28"/>
          <w:szCs w:val="28"/>
        </w:rPr>
        <w:t xml:space="preserve">Барнаула вырос </w:t>
      </w:r>
      <w:r w:rsidR="00C939CD">
        <w:rPr>
          <w:rFonts w:ascii="Times New Roman" w:hAnsi="Times New Roman"/>
          <w:sz w:val="28"/>
          <w:szCs w:val="28"/>
        </w:rPr>
        <w:br/>
      </w:r>
      <w:r w:rsidRPr="00577593">
        <w:rPr>
          <w:rFonts w:ascii="Times New Roman" w:hAnsi="Times New Roman"/>
          <w:sz w:val="28"/>
          <w:szCs w:val="28"/>
        </w:rPr>
        <w:t>на 68 пунктов (</w:t>
      </w:r>
      <w:r w:rsidR="00C939CD">
        <w:rPr>
          <w:rFonts w:ascii="Times New Roman" w:hAnsi="Times New Roman"/>
          <w:sz w:val="28"/>
          <w:szCs w:val="28"/>
        </w:rPr>
        <w:t>Таблица 9</w:t>
      </w:r>
      <w:r w:rsidRPr="00577593">
        <w:rPr>
          <w:rFonts w:ascii="Times New Roman" w:hAnsi="Times New Roman"/>
          <w:sz w:val="28"/>
          <w:szCs w:val="28"/>
        </w:rPr>
        <w:t xml:space="preserve">), что говорит о большом прогрессе в этой сфере, однако он довольно неравномерный как по времени, так и </w:t>
      </w:r>
      <w:r w:rsidR="00C939CD">
        <w:rPr>
          <w:rFonts w:ascii="Times New Roman" w:hAnsi="Times New Roman"/>
          <w:sz w:val="28"/>
          <w:szCs w:val="28"/>
        </w:rPr>
        <w:br/>
      </w:r>
      <w:r w:rsidRPr="00577593">
        <w:rPr>
          <w:rFonts w:ascii="Times New Roman" w:hAnsi="Times New Roman"/>
          <w:sz w:val="28"/>
          <w:szCs w:val="28"/>
        </w:rPr>
        <w:t xml:space="preserve">в пространственном разрезе. Во-первых, половина прироста индекса пришлась на 2024 год. По одному из критериев отсутствует положительная динамика </w:t>
      </w:r>
      <w:r w:rsidR="00672709" w:rsidRPr="00577593">
        <w:rPr>
          <w:rFonts w:ascii="Times New Roman" w:hAnsi="Times New Roman"/>
          <w:sz w:val="28"/>
          <w:szCs w:val="28"/>
        </w:rPr>
        <w:t>–</w:t>
      </w:r>
      <w:r w:rsidRPr="00577593">
        <w:rPr>
          <w:rFonts w:ascii="Times New Roman" w:hAnsi="Times New Roman"/>
          <w:sz w:val="28"/>
          <w:szCs w:val="28"/>
        </w:rPr>
        <w:t xml:space="preserve"> это «общественно-деловая инфраструктура и прилегающие пространства», а по некоторым («жилье и прилегающие пространства», «улично-дорожная сеть») рост минимальный. Доля благоустроенных общественных территорий города от общего числа общественных территорий города, которые признаны нуждающимися в благоустройстве, в 2023 году составила 27,5%. Почти три четверти таких городских пространств еще предстоит благоустроить.</w:t>
      </w:r>
    </w:p>
    <w:p w:rsidR="00A1570C" w:rsidRPr="00577593" w:rsidRDefault="00A1570C" w:rsidP="00A1570C">
      <w:pPr>
        <w:spacing w:after="0" w:line="240" w:lineRule="auto"/>
        <w:rPr>
          <w:rFonts w:ascii="Times New Roman" w:eastAsia="Times New Roman" w:hAnsi="Times New Roman"/>
          <w:iCs/>
          <w:sz w:val="28"/>
          <w:szCs w:val="28"/>
          <w:lang w:eastAsia="ru-RU"/>
        </w:rPr>
      </w:pPr>
      <w:bookmarkStart w:id="137" w:name="_Ref199454959"/>
    </w:p>
    <w:p w:rsidR="00FC41F4" w:rsidRPr="00577593" w:rsidRDefault="008925FA" w:rsidP="00C939CD">
      <w:pPr>
        <w:spacing w:after="0" w:line="240" w:lineRule="auto"/>
        <w:jc w:val="both"/>
        <w:rPr>
          <w:rFonts w:ascii="Times New Roman" w:eastAsia="Times New Roman" w:hAnsi="Times New Roman"/>
          <w:iCs/>
          <w:sz w:val="28"/>
          <w:szCs w:val="28"/>
          <w:lang w:eastAsia="ru-RU"/>
        </w:rPr>
      </w:pPr>
      <w:r w:rsidRPr="00577593">
        <w:rPr>
          <w:rFonts w:ascii="Times New Roman" w:eastAsia="Times New Roman" w:hAnsi="Times New Roman"/>
          <w:iCs/>
          <w:sz w:val="28"/>
          <w:szCs w:val="28"/>
          <w:lang w:eastAsia="ru-RU"/>
        </w:rPr>
        <w:t xml:space="preserve">Таблица </w:t>
      </w:r>
      <w:r w:rsidR="00074AE5" w:rsidRPr="00577593">
        <w:rPr>
          <w:rFonts w:ascii="Times New Roman" w:eastAsia="Times New Roman" w:hAnsi="Times New Roman"/>
          <w:iCs/>
          <w:sz w:val="28"/>
          <w:szCs w:val="28"/>
          <w:lang w:eastAsia="ru-RU"/>
        </w:rPr>
        <w:fldChar w:fldCharType="begin"/>
      </w:r>
      <w:r w:rsidRPr="00577593">
        <w:rPr>
          <w:rFonts w:ascii="Times New Roman" w:eastAsia="Times New Roman" w:hAnsi="Times New Roman"/>
          <w:iCs/>
          <w:sz w:val="28"/>
          <w:szCs w:val="28"/>
          <w:lang w:eastAsia="ru-RU"/>
        </w:rPr>
        <w:instrText xml:space="preserve"> SEQ Таблица \* ARABIC </w:instrText>
      </w:r>
      <w:r w:rsidR="00074AE5" w:rsidRPr="00577593">
        <w:rPr>
          <w:rFonts w:ascii="Times New Roman" w:eastAsia="Times New Roman" w:hAnsi="Times New Roman"/>
          <w:iCs/>
          <w:sz w:val="28"/>
          <w:szCs w:val="28"/>
          <w:lang w:eastAsia="ru-RU"/>
        </w:rPr>
        <w:fldChar w:fldCharType="separate"/>
      </w:r>
      <w:r w:rsidR="00071499">
        <w:rPr>
          <w:rFonts w:ascii="Times New Roman" w:eastAsia="Times New Roman" w:hAnsi="Times New Roman"/>
          <w:iCs/>
          <w:noProof/>
          <w:sz w:val="28"/>
          <w:szCs w:val="28"/>
          <w:lang w:eastAsia="ru-RU"/>
        </w:rPr>
        <w:t>9</w:t>
      </w:r>
      <w:r w:rsidR="00074AE5" w:rsidRPr="00577593">
        <w:rPr>
          <w:rFonts w:ascii="Times New Roman" w:eastAsia="Times New Roman" w:hAnsi="Times New Roman"/>
          <w:iCs/>
          <w:sz w:val="28"/>
          <w:szCs w:val="28"/>
          <w:lang w:eastAsia="ru-RU"/>
        </w:rPr>
        <w:fldChar w:fldCharType="end"/>
      </w:r>
      <w:bookmarkEnd w:id="137"/>
      <w:r w:rsidRPr="00577593">
        <w:rPr>
          <w:rFonts w:ascii="Times New Roman" w:eastAsia="Times New Roman" w:hAnsi="Times New Roman"/>
          <w:iCs/>
          <w:sz w:val="28"/>
          <w:szCs w:val="28"/>
          <w:lang w:eastAsia="ru-RU"/>
        </w:rPr>
        <w:t xml:space="preserve"> </w:t>
      </w:r>
      <w:r w:rsidR="00672709" w:rsidRPr="00577593">
        <w:rPr>
          <w:rFonts w:ascii="Times New Roman" w:eastAsia="Times New Roman" w:hAnsi="Times New Roman"/>
          <w:iCs/>
          <w:sz w:val="28"/>
          <w:szCs w:val="28"/>
          <w:lang w:eastAsia="ru-RU"/>
        </w:rPr>
        <w:t>–</w:t>
      </w:r>
      <w:r w:rsidRPr="00577593">
        <w:rPr>
          <w:rFonts w:ascii="Times New Roman" w:eastAsia="Times New Roman" w:hAnsi="Times New Roman"/>
          <w:iCs/>
          <w:sz w:val="28"/>
          <w:szCs w:val="28"/>
          <w:lang w:eastAsia="ru-RU"/>
        </w:rPr>
        <w:t xml:space="preserve"> </w:t>
      </w:r>
      <w:r w:rsidRPr="00577593">
        <w:rPr>
          <w:rFonts w:ascii="Times New Roman" w:hAnsi="Times New Roman"/>
          <w:sz w:val="28"/>
          <w:szCs w:val="28"/>
        </w:rPr>
        <w:t>Индекс качества городско</w:t>
      </w:r>
      <w:r w:rsidR="00045158" w:rsidRPr="00577593">
        <w:rPr>
          <w:rFonts w:ascii="Times New Roman" w:hAnsi="Times New Roman"/>
          <w:sz w:val="28"/>
          <w:szCs w:val="28"/>
        </w:rPr>
        <w:t xml:space="preserve">й среды </w:t>
      </w:r>
      <w:r w:rsidR="004B1E0B">
        <w:rPr>
          <w:rFonts w:ascii="Times New Roman" w:hAnsi="Times New Roman"/>
          <w:sz w:val="28"/>
          <w:szCs w:val="28"/>
        </w:rPr>
        <w:t xml:space="preserve">города </w:t>
      </w:r>
      <w:r w:rsidR="00045158" w:rsidRPr="00577593">
        <w:rPr>
          <w:rFonts w:ascii="Times New Roman" w:hAnsi="Times New Roman"/>
          <w:sz w:val="28"/>
          <w:szCs w:val="28"/>
        </w:rPr>
        <w:t xml:space="preserve">Барнаула </w:t>
      </w:r>
      <w:r w:rsidR="004B1E0B">
        <w:rPr>
          <w:rFonts w:ascii="Times New Roman" w:hAnsi="Times New Roman"/>
          <w:sz w:val="28"/>
          <w:szCs w:val="28"/>
        </w:rPr>
        <w:br/>
      </w:r>
      <w:r w:rsidR="00045158" w:rsidRPr="00577593">
        <w:rPr>
          <w:rFonts w:ascii="Times New Roman" w:hAnsi="Times New Roman"/>
          <w:sz w:val="28"/>
          <w:szCs w:val="28"/>
        </w:rPr>
        <w:t>в 2018-2024 годы</w:t>
      </w:r>
      <w:r w:rsidRPr="00577593">
        <w:rPr>
          <w:rFonts w:ascii="Times New Roman" w:hAnsi="Times New Roman"/>
          <w:sz w:val="28"/>
          <w:szCs w:val="28"/>
        </w:rPr>
        <w:t>, баллов</w:t>
      </w: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28"/>
        <w:gridCol w:w="960"/>
        <w:gridCol w:w="960"/>
        <w:gridCol w:w="961"/>
        <w:gridCol w:w="960"/>
        <w:gridCol w:w="961"/>
        <w:gridCol w:w="960"/>
        <w:gridCol w:w="961"/>
      </w:tblGrid>
      <w:tr w:rsidR="00FC41F4" w:rsidRPr="00577593" w:rsidTr="00EE2F1D">
        <w:trPr>
          <w:tblHeader/>
        </w:trPr>
        <w:tc>
          <w:tcPr>
            <w:tcW w:w="2628" w:type="dxa"/>
            <w:shd w:val="clear" w:color="auto" w:fill="auto"/>
          </w:tcPr>
          <w:p w:rsidR="00FC41F4" w:rsidRPr="00577593" w:rsidRDefault="00FC41F4" w:rsidP="002000D4">
            <w:pPr>
              <w:spacing w:after="0" w:line="240" w:lineRule="auto"/>
              <w:jc w:val="both"/>
              <w:rPr>
                <w:rFonts w:ascii="Times New Roman" w:hAnsi="Times New Roman"/>
                <w:sz w:val="20"/>
                <w:szCs w:val="20"/>
              </w:rPr>
            </w:pPr>
          </w:p>
        </w:tc>
        <w:tc>
          <w:tcPr>
            <w:tcW w:w="960"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2018</w:t>
            </w:r>
            <w:r w:rsidR="00672709" w:rsidRPr="00577593">
              <w:rPr>
                <w:rFonts w:ascii="Times New Roman" w:hAnsi="Times New Roman"/>
                <w:sz w:val="20"/>
                <w:szCs w:val="20"/>
              </w:rPr>
              <w:t xml:space="preserve"> г.</w:t>
            </w:r>
          </w:p>
        </w:tc>
        <w:tc>
          <w:tcPr>
            <w:tcW w:w="960"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2019</w:t>
            </w:r>
            <w:r w:rsidR="00672709" w:rsidRPr="00577593">
              <w:rPr>
                <w:rFonts w:ascii="Times New Roman" w:hAnsi="Times New Roman"/>
                <w:sz w:val="20"/>
                <w:szCs w:val="20"/>
              </w:rPr>
              <w:t xml:space="preserve"> г.</w:t>
            </w:r>
          </w:p>
        </w:tc>
        <w:tc>
          <w:tcPr>
            <w:tcW w:w="961"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2020</w:t>
            </w:r>
            <w:r w:rsidR="00672709" w:rsidRPr="00577593">
              <w:rPr>
                <w:rFonts w:ascii="Times New Roman" w:hAnsi="Times New Roman"/>
                <w:sz w:val="20"/>
                <w:szCs w:val="20"/>
              </w:rPr>
              <w:t xml:space="preserve"> г.</w:t>
            </w:r>
          </w:p>
        </w:tc>
        <w:tc>
          <w:tcPr>
            <w:tcW w:w="960"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2021</w:t>
            </w:r>
            <w:r w:rsidR="00672709" w:rsidRPr="00577593">
              <w:rPr>
                <w:rFonts w:ascii="Times New Roman" w:hAnsi="Times New Roman"/>
                <w:sz w:val="20"/>
                <w:szCs w:val="20"/>
              </w:rPr>
              <w:t xml:space="preserve"> г.</w:t>
            </w:r>
          </w:p>
        </w:tc>
        <w:tc>
          <w:tcPr>
            <w:tcW w:w="961"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2022</w:t>
            </w:r>
            <w:r w:rsidR="00672709" w:rsidRPr="00577593">
              <w:rPr>
                <w:rFonts w:ascii="Times New Roman" w:hAnsi="Times New Roman"/>
                <w:sz w:val="20"/>
                <w:szCs w:val="20"/>
              </w:rPr>
              <w:t xml:space="preserve"> г.</w:t>
            </w:r>
          </w:p>
        </w:tc>
        <w:tc>
          <w:tcPr>
            <w:tcW w:w="960"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2023</w:t>
            </w:r>
            <w:r w:rsidR="00672709" w:rsidRPr="00577593">
              <w:rPr>
                <w:rFonts w:ascii="Times New Roman" w:hAnsi="Times New Roman"/>
                <w:sz w:val="20"/>
                <w:szCs w:val="20"/>
              </w:rPr>
              <w:t xml:space="preserve"> г.</w:t>
            </w:r>
          </w:p>
        </w:tc>
        <w:tc>
          <w:tcPr>
            <w:tcW w:w="961"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2024</w:t>
            </w:r>
            <w:r w:rsidR="00672709" w:rsidRPr="00577593">
              <w:rPr>
                <w:rFonts w:ascii="Times New Roman" w:hAnsi="Times New Roman"/>
                <w:sz w:val="20"/>
                <w:szCs w:val="20"/>
              </w:rPr>
              <w:t xml:space="preserve"> г.</w:t>
            </w:r>
          </w:p>
        </w:tc>
      </w:tr>
      <w:tr w:rsidR="00FC41F4" w:rsidRPr="00577593" w:rsidTr="00EE2F1D">
        <w:tc>
          <w:tcPr>
            <w:tcW w:w="2628" w:type="dxa"/>
            <w:shd w:val="clear" w:color="auto" w:fill="auto"/>
          </w:tcPr>
          <w:p w:rsidR="00FC41F4" w:rsidRPr="00577593" w:rsidRDefault="008925FA" w:rsidP="002000D4">
            <w:pPr>
              <w:spacing w:after="0" w:line="240" w:lineRule="auto"/>
              <w:jc w:val="both"/>
              <w:rPr>
                <w:rFonts w:ascii="Times New Roman" w:hAnsi="Times New Roman"/>
                <w:sz w:val="20"/>
                <w:szCs w:val="20"/>
              </w:rPr>
            </w:pPr>
            <w:r w:rsidRPr="00577593">
              <w:rPr>
                <w:rFonts w:ascii="Times New Roman" w:hAnsi="Times New Roman"/>
                <w:sz w:val="20"/>
                <w:szCs w:val="20"/>
              </w:rPr>
              <w:t>Всего</w:t>
            </w:r>
          </w:p>
        </w:tc>
        <w:tc>
          <w:tcPr>
            <w:tcW w:w="960"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179</w:t>
            </w:r>
          </w:p>
        </w:tc>
        <w:tc>
          <w:tcPr>
            <w:tcW w:w="960"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179</w:t>
            </w:r>
          </w:p>
        </w:tc>
        <w:tc>
          <w:tcPr>
            <w:tcW w:w="961"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182</w:t>
            </w:r>
          </w:p>
        </w:tc>
        <w:tc>
          <w:tcPr>
            <w:tcW w:w="960"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184</w:t>
            </w:r>
          </w:p>
        </w:tc>
        <w:tc>
          <w:tcPr>
            <w:tcW w:w="961"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202</w:t>
            </w:r>
          </w:p>
        </w:tc>
        <w:tc>
          <w:tcPr>
            <w:tcW w:w="960"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214</w:t>
            </w:r>
          </w:p>
        </w:tc>
        <w:tc>
          <w:tcPr>
            <w:tcW w:w="961"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247</w:t>
            </w:r>
          </w:p>
        </w:tc>
      </w:tr>
      <w:tr w:rsidR="00FC41F4" w:rsidRPr="00577593" w:rsidTr="00EE2F1D">
        <w:tc>
          <w:tcPr>
            <w:tcW w:w="2628" w:type="dxa"/>
            <w:shd w:val="clear" w:color="auto" w:fill="auto"/>
          </w:tcPr>
          <w:p w:rsidR="00FC41F4" w:rsidRPr="00577593" w:rsidRDefault="008925FA" w:rsidP="002000D4">
            <w:pPr>
              <w:spacing w:after="0" w:line="240" w:lineRule="auto"/>
              <w:jc w:val="both"/>
              <w:rPr>
                <w:rFonts w:ascii="Times New Roman" w:hAnsi="Times New Roman"/>
                <w:sz w:val="20"/>
                <w:szCs w:val="20"/>
              </w:rPr>
            </w:pPr>
            <w:r w:rsidRPr="00577593">
              <w:rPr>
                <w:rFonts w:ascii="Times New Roman" w:hAnsi="Times New Roman"/>
                <w:sz w:val="20"/>
                <w:szCs w:val="20"/>
              </w:rPr>
              <w:t>Жилье и прилегающие пространства</w:t>
            </w:r>
          </w:p>
        </w:tc>
        <w:tc>
          <w:tcPr>
            <w:tcW w:w="960"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35</w:t>
            </w:r>
          </w:p>
        </w:tc>
        <w:tc>
          <w:tcPr>
            <w:tcW w:w="960"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31</w:t>
            </w:r>
          </w:p>
        </w:tc>
        <w:tc>
          <w:tcPr>
            <w:tcW w:w="961"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34</w:t>
            </w:r>
          </w:p>
        </w:tc>
        <w:tc>
          <w:tcPr>
            <w:tcW w:w="960"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34</w:t>
            </w:r>
          </w:p>
        </w:tc>
        <w:tc>
          <w:tcPr>
            <w:tcW w:w="961"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35</w:t>
            </w:r>
          </w:p>
        </w:tc>
        <w:tc>
          <w:tcPr>
            <w:tcW w:w="960"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37</w:t>
            </w:r>
          </w:p>
        </w:tc>
        <w:tc>
          <w:tcPr>
            <w:tcW w:w="961"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40</w:t>
            </w:r>
          </w:p>
        </w:tc>
      </w:tr>
      <w:tr w:rsidR="00FC41F4" w:rsidRPr="00577593" w:rsidTr="00EE2F1D">
        <w:tc>
          <w:tcPr>
            <w:tcW w:w="2628" w:type="dxa"/>
            <w:shd w:val="clear" w:color="auto" w:fill="auto"/>
          </w:tcPr>
          <w:p w:rsidR="00FC41F4" w:rsidRPr="00577593" w:rsidRDefault="008925FA" w:rsidP="002000D4">
            <w:pPr>
              <w:spacing w:after="0" w:line="240" w:lineRule="auto"/>
              <w:jc w:val="both"/>
              <w:rPr>
                <w:rFonts w:ascii="Times New Roman" w:hAnsi="Times New Roman"/>
                <w:sz w:val="20"/>
                <w:szCs w:val="20"/>
              </w:rPr>
            </w:pPr>
            <w:r w:rsidRPr="00577593">
              <w:rPr>
                <w:rFonts w:ascii="Times New Roman" w:hAnsi="Times New Roman"/>
                <w:sz w:val="20"/>
                <w:szCs w:val="20"/>
              </w:rPr>
              <w:t>Улично-дорожная сеть</w:t>
            </w:r>
          </w:p>
        </w:tc>
        <w:tc>
          <w:tcPr>
            <w:tcW w:w="960"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31</w:t>
            </w:r>
          </w:p>
        </w:tc>
        <w:tc>
          <w:tcPr>
            <w:tcW w:w="960"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23</w:t>
            </w:r>
          </w:p>
        </w:tc>
        <w:tc>
          <w:tcPr>
            <w:tcW w:w="961"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24</w:t>
            </w:r>
          </w:p>
        </w:tc>
        <w:tc>
          <w:tcPr>
            <w:tcW w:w="960"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24</w:t>
            </w:r>
          </w:p>
        </w:tc>
        <w:tc>
          <w:tcPr>
            <w:tcW w:w="961"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30</w:t>
            </w:r>
          </w:p>
        </w:tc>
        <w:tc>
          <w:tcPr>
            <w:tcW w:w="960"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33</w:t>
            </w:r>
          </w:p>
        </w:tc>
        <w:tc>
          <w:tcPr>
            <w:tcW w:w="961"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35</w:t>
            </w:r>
          </w:p>
        </w:tc>
      </w:tr>
      <w:tr w:rsidR="00FC41F4" w:rsidRPr="00577593" w:rsidTr="00EE2F1D">
        <w:tc>
          <w:tcPr>
            <w:tcW w:w="2628" w:type="dxa"/>
            <w:shd w:val="clear" w:color="auto" w:fill="auto"/>
          </w:tcPr>
          <w:p w:rsidR="00FC41F4" w:rsidRPr="00577593" w:rsidRDefault="008925FA" w:rsidP="002000D4">
            <w:pPr>
              <w:spacing w:after="0" w:line="240" w:lineRule="auto"/>
              <w:jc w:val="both"/>
              <w:rPr>
                <w:rFonts w:ascii="Times New Roman" w:hAnsi="Times New Roman"/>
                <w:sz w:val="20"/>
                <w:szCs w:val="20"/>
              </w:rPr>
            </w:pPr>
            <w:r w:rsidRPr="00577593">
              <w:rPr>
                <w:rFonts w:ascii="Times New Roman" w:hAnsi="Times New Roman"/>
                <w:sz w:val="20"/>
                <w:szCs w:val="20"/>
              </w:rPr>
              <w:t>Озелененные пространства</w:t>
            </w:r>
          </w:p>
        </w:tc>
        <w:tc>
          <w:tcPr>
            <w:tcW w:w="960"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21</w:t>
            </w:r>
          </w:p>
        </w:tc>
        <w:tc>
          <w:tcPr>
            <w:tcW w:w="960"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21</w:t>
            </w:r>
          </w:p>
        </w:tc>
        <w:tc>
          <w:tcPr>
            <w:tcW w:w="961"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23</w:t>
            </w:r>
          </w:p>
        </w:tc>
        <w:tc>
          <w:tcPr>
            <w:tcW w:w="960"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24</w:t>
            </w:r>
          </w:p>
        </w:tc>
        <w:tc>
          <w:tcPr>
            <w:tcW w:w="961"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33</w:t>
            </w:r>
          </w:p>
        </w:tc>
        <w:tc>
          <w:tcPr>
            <w:tcW w:w="960"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34</w:t>
            </w:r>
          </w:p>
        </w:tc>
        <w:tc>
          <w:tcPr>
            <w:tcW w:w="961"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45</w:t>
            </w:r>
          </w:p>
        </w:tc>
      </w:tr>
      <w:tr w:rsidR="00FC41F4" w:rsidRPr="00577593" w:rsidTr="00EE2F1D">
        <w:tc>
          <w:tcPr>
            <w:tcW w:w="2628" w:type="dxa"/>
            <w:shd w:val="clear" w:color="auto" w:fill="auto"/>
          </w:tcPr>
          <w:p w:rsidR="00FC41F4" w:rsidRPr="00577593" w:rsidRDefault="008925FA" w:rsidP="002000D4">
            <w:pPr>
              <w:spacing w:after="0" w:line="240" w:lineRule="auto"/>
              <w:jc w:val="both"/>
              <w:rPr>
                <w:rFonts w:ascii="Times New Roman" w:hAnsi="Times New Roman"/>
                <w:sz w:val="20"/>
                <w:szCs w:val="20"/>
              </w:rPr>
            </w:pPr>
            <w:r w:rsidRPr="00577593">
              <w:rPr>
                <w:rFonts w:ascii="Times New Roman" w:hAnsi="Times New Roman"/>
                <w:sz w:val="20"/>
                <w:szCs w:val="20"/>
              </w:rPr>
              <w:t>Общественно-деловая инфраструктура и прилегающие пространства</w:t>
            </w:r>
          </w:p>
        </w:tc>
        <w:tc>
          <w:tcPr>
            <w:tcW w:w="960"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35</w:t>
            </w:r>
          </w:p>
        </w:tc>
        <w:tc>
          <w:tcPr>
            <w:tcW w:w="960"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34</w:t>
            </w:r>
          </w:p>
        </w:tc>
        <w:tc>
          <w:tcPr>
            <w:tcW w:w="961"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34</w:t>
            </w:r>
          </w:p>
        </w:tc>
        <w:tc>
          <w:tcPr>
            <w:tcW w:w="960"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24</w:t>
            </w:r>
          </w:p>
        </w:tc>
        <w:tc>
          <w:tcPr>
            <w:tcW w:w="961"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25</w:t>
            </w:r>
          </w:p>
        </w:tc>
        <w:tc>
          <w:tcPr>
            <w:tcW w:w="960"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28</w:t>
            </w:r>
          </w:p>
        </w:tc>
        <w:tc>
          <w:tcPr>
            <w:tcW w:w="961"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34</w:t>
            </w:r>
          </w:p>
        </w:tc>
      </w:tr>
      <w:tr w:rsidR="00FC41F4" w:rsidRPr="00577593" w:rsidTr="00EE2F1D">
        <w:tc>
          <w:tcPr>
            <w:tcW w:w="2628" w:type="dxa"/>
            <w:shd w:val="clear" w:color="auto" w:fill="auto"/>
          </w:tcPr>
          <w:p w:rsidR="00FC41F4" w:rsidRPr="00577593" w:rsidRDefault="008925FA" w:rsidP="002000D4">
            <w:pPr>
              <w:spacing w:after="0" w:line="240" w:lineRule="auto"/>
              <w:jc w:val="both"/>
              <w:rPr>
                <w:rFonts w:ascii="Times New Roman" w:hAnsi="Times New Roman"/>
                <w:sz w:val="20"/>
                <w:szCs w:val="20"/>
              </w:rPr>
            </w:pPr>
            <w:r w:rsidRPr="00577593">
              <w:rPr>
                <w:rFonts w:ascii="Times New Roman" w:hAnsi="Times New Roman"/>
                <w:sz w:val="20"/>
                <w:szCs w:val="20"/>
              </w:rPr>
              <w:t>Социально-досуговая инфраструктура и прилегающие пространства</w:t>
            </w:r>
          </w:p>
        </w:tc>
        <w:tc>
          <w:tcPr>
            <w:tcW w:w="960"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28</w:t>
            </w:r>
          </w:p>
        </w:tc>
        <w:tc>
          <w:tcPr>
            <w:tcW w:w="960"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32</w:t>
            </w:r>
          </w:p>
        </w:tc>
        <w:tc>
          <w:tcPr>
            <w:tcW w:w="961"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33</w:t>
            </w:r>
          </w:p>
        </w:tc>
        <w:tc>
          <w:tcPr>
            <w:tcW w:w="960"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38</w:t>
            </w:r>
          </w:p>
        </w:tc>
        <w:tc>
          <w:tcPr>
            <w:tcW w:w="961"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38</w:t>
            </w:r>
          </w:p>
        </w:tc>
        <w:tc>
          <w:tcPr>
            <w:tcW w:w="960"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40</w:t>
            </w:r>
          </w:p>
        </w:tc>
        <w:tc>
          <w:tcPr>
            <w:tcW w:w="961"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48</w:t>
            </w:r>
          </w:p>
        </w:tc>
      </w:tr>
      <w:tr w:rsidR="00FC41F4" w:rsidRPr="00577593" w:rsidTr="00EE2F1D">
        <w:tc>
          <w:tcPr>
            <w:tcW w:w="2628" w:type="dxa"/>
            <w:shd w:val="clear" w:color="auto" w:fill="auto"/>
          </w:tcPr>
          <w:p w:rsidR="00FC41F4" w:rsidRPr="00577593" w:rsidRDefault="008925FA" w:rsidP="002000D4">
            <w:pPr>
              <w:spacing w:after="0" w:line="240" w:lineRule="auto"/>
              <w:jc w:val="both"/>
              <w:rPr>
                <w:rFonts w:ascii="Times New Roman" w:hAnsi="Times New Roman"/>
                <w:sz w:val="20"/>
                <w:szCs w:val="20"/>
              </w:rPr>
            </w:pPr>
            <w:r w:rsidRPr="00577593">
              <w:rPr>
                <w:rFonts w:ascii="Times New Roman" w:hAnsi="Times New Roman"/>
                <w:sz w:val="20"/>
                <w:szCs w:val="20"/>
              </w:rPr>
              <w:t>Общегородское пространство</w:t>
            </w:r>
          </w:p>
        </w:tc>
        <w:tc>
          <w:tcPr>
            <w:tcW w:w="960"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29</w:t>
            </w:r>
          </w:p>
        </w:tc>
        <w:tc>
          <w:tcPr>
            <w:tcW w:w="960"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38</w:t>
            </w:r>
          </w:p>
        </w:tc>
        <w:tc>
          <w:tcPr>
            <w:tcW w:w="961"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34</w:t>
            </w:r>
          </w:p>
        </w:tc>
        <w:tc>
          <w:tcPr>
            <w:tcW w:w="960"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40</w:t>
            </w:r>
          </w:p>
        </w:tc>
        <w:tc>
          <w:tcPr>
            <w:tcW w:w="961"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41</w:t>
            </w:r>
          </w:p>
        </w:tc>
        <w:tc>
          <w:tcPr>
            <w:tcW w:w="960"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42</w:t>
            </w:r>
          </w:p>
        </w:tc>
        <w:tc>
          <w:tcPr>
            <w:tcW w:w="961" w:type="dxa"/>
            <w:shd w:val="clear" w:color="auto" w:fill="auto"/>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45</w:t>
            </w:r>
          </w:p>
        </w:tc>
      </w:tr>
    </w:tbl>
    <w:p w:rsidR="00FC41F4" w:rsidRPr="00577593" w:rsidRDefault="008925FA" w:rsidP="002000D4">
      <w:pPr>
        <w:pStyle w:val="aff9"/>
        <w:ind w:firstLine="709"/>
        <w:jc w:val="both"/>
        <w:rPr>
          <w:rFonts w:ascii="Times New Roman" w:hAnsi="Times New Roman"/>
          <w:i w:val="0"/>
          <w:color w:val="auto"/>
          <w:sz w:val="28"/>
          <w:szCs w:val="28"/>
        </w:rPr>
      </w:pPr>
      <w:r w:rsidRPr="00577593">
        <w:rPr>
          <w:rFonts w:ascii="Times New Roman" w:hAnsi="Times New Roman"/>
          <w:i w:val="0"/>
          <w:color w:val="auto"/>
          <w:sz w:val="28"/>
          <w:szCs w:val="28"/>
        </w:rPr>
        <w:t xml:space="preserve">Примечание </w:t>
      </w:r>
      <w:r w:rsidR="00672709" w:rsidRPr="00577593">
        <w:rPr>
          <w:rFonts w:ascii="Times New Roman" w:hAnsi="Times New Roman"/>
          <w:i w:val="0"/>
          <w:color w:val="auto"/>
          <w:sz w:val="28"/>
          <w:szCs w:val="28"/>
        </w:rPr>
        <w:t>–</w:t>
      </w:r>
      <w:r w:rsidRPr="00577593">
        <w:rPr>
          <w:rFonts w:ascii="Times New Roman" w:hAnsi="Times New Roman"/>
          <w:i w:val="0"/>
          <w:color w:val="auto"/>
          <w:sz w:val="28"/>
          <w:szCs w:val="28"/>
        </w:rPr>
        <w:t xml:space="preserve"> Источник: составлено на основе сайта «Индекс качества городской среды»</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Значимый рост индексов «Озелененные пространства» и «Общегородское пространство» связан с реализацией крупных общегородских проектов в сфере благоустройства. Такими ключевыми проектами стали благоустройство парка «Юбилейный», благоустройство парка «Изумрудный», благоустройство </w:t>
      </w:r>
      <w:r w:rsidR="00922944">
        <w:rPr>
          <w:rFonts w:ascii="Times New Roman" w:hAnsi="Times New Roman"/>
          <w:sz w:val="28"/>
          <w:szCs w:val="28"/>
        </w:rPr>
        <w:t xml:space="preserve">парка культуры и отдыха </w:t>
      </w:r>
      <w:r w:rsidRPr="00577593">
        <w:rPr>
          <w:rFonts w:ascii="Times New Roman" w:hAnsi="Times New Roman"/>
          <w:sz w:val="28"/>
          <w:szCs w:val="28"/>
        </w:rPr>
        <w:t xml:space="preserve">«Центральный». В 2024 году был выполнен подэтап I этапа благоустройства зеленой зоны, расположенной в границах улиц Ленинградской, Энтузиастов, Антона Петрова. Общая площадь зеленых насаждений города на начало 2016 года составила 9743,8 га, включая парки, леса, озеленение улично-дорожной сети, учреждений социальной сферы, что составляет 150 </w:t>
      </w:r>
      <w:r w:rsidR="000F76C4">
        <w:rPr>
          <w:rFonts w:ascii="Times New Roman" w:hAnsi="Times New Roman"/>
          <w:sz w:val="28"/>
          <w:szCs w:val="28"/>
        </w:rPr>
        <w:t>кв. м</w:t>
      </w:r>
      <w:r w:rsidRPr="00577593">
        <w:rPr>
          <w:rFonts w:ascii="Times New Roman" w:hAnsi="Times New Roman"/>
          <w:sz w:val="28"/>
          <w:szCs w:val="28"/>
        </w:rPr>
        <w:t xml:space="preserve"> на одного жителя.</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На территории города насчитывается 2620 дворовых территорий многоквартирных домов. В период с 2017 по 2024 годы отремонтированы и благоустроены 568 дворовых территорий.</w:t>
      </w:r>
    </w:p>
    <w:p w:rsidR="00FC41F4" w:rsidRPr="00577593" w:rsidRDefault="008925FA" w:rsidP="00922944">
      <w:pPr>
        <w:spacing w:after="0" w:line="332" w:lineRule="exact"/>
        <w:ind w:firstLine="709"/>
        <w:jc w:val="both"/>
        <w:rPr>
          <w:rFonts w:ascii="Times New Roman" w:hAnsi="Times New Roman"/>
          <w:sz w:val="28"/>
          <w:szCs w:val="28"/>
        </w:rPr>
      </w:pPr>
      <w:r w:rsidRPr="00577593">
        <w:rPr>
          <w:rFonts w:ascii="Times New Roman" w:hAnsi="Times New Roman"/>
          <w:sz w:val="28"/>
          <w:szCs w:val="28"/>
        </w:rPr>
        <w:lastRenderedPageBreak/>
        <w:t xml:space="preserve">С 2018 года были благоустроены территория Нагорного парка (Центральный район), площадь Мира и аллея Целинников (Ленинский район), сквер «Химиков» (Октябрьский район), Ленинградская аллея (Индустриальный район), улица Молодежная (Железнодорожный район), сквер адмирала Кузнецова (Индустриальный район). На территории города расположено 20 фонтанов, балансодержателем которых является </w:t>
      </w:r>
      <w:r w:rsidR="00AE1750" w:rsidRPr="00577593">
        <w:rPr>
          <w:rFonts w:ascii="Times New Roman" w:hAnsi="Times New Roman"/>
          <w:sz w:val="28"/>
          <w:szCs w:val="28"/>
        </w:rPr>
        <w:br/>
      </w:r>
      <w:r w:rsidRPr="00577593">
        <w:rPr>
          <w:rFonts w:ascii="Times New Roman" w:hAnsi="Times New Roman"/>
          <w:sz w:val="28"/>
          <w:szCs w:val="28"/>
        </w:rPr>
        <w:t>МБУ «Благоустройство и озеленение» города Барнаула.</w:t>
      </w:r>
    </w:p>
    <w:p w:rsidR="00FC41F4" w:rsidRPr="00577593" w:rsidRDefault="008925FA" w:rsidP="00922944">
      <w:pPr>
        <w:spacing w:after="0" w:line="332" w:lineRule="exact"/>
        <w:ind w:firstLine="709"/>
        <w:jc w:val="both"/>
        <w:rPr>
          <w:rFonts w:ascii="Times New Roman" w:hAnsi="Times New Roman"/>
          <w:sz w:val="28"/>
          <w:szCs w:val="28"/>
        </w:rPr>
      </w:pPr>
      <w:r w:rsidRPr="00577593">
        <w:rPr>
          <w:rFonts w:ascii="Times New Roman" w:hAnsi="Times New Roman"/>
          <w:sz w:val="28"/>
          <w:szCs w:val="28"/>
        </w:rPr>
        <w:t>В 2024 году было организовано МБУ «Лесное хозяйс</w:t>
      </w:r>
      <w:r w:rsidR="00922944">
        <w:rPr>
          <w:rFonts w:ascii="Times New Roman" w:hAnsi="Times New Roman"/>
          <w:sz w:val="28"/>
          <w:szCs w:val="28"/>
        </w:rPr>
        <w:t>тво» города Барнаула, согласно Л</w:t>
      </w:r>
      <w:r w:rsidRPr="00577593">
        <w:rPr>
          <w:rFonts w:ascii="Times New Roman" w:hAnsi="Times New Roman"/>
          <w:sz w:val="28"/>
          <w:szCs w:val="28"/>
        </w:rPr>
        <w:t xml:space="preserve">есохозяйственному регламенту площадь городских лесов на землях города Барнаула составляет 4063 га. Территория городских лесов города Барнаула согласно приказу Минприроды России от 18.08.2014 № 367 «Об утверждении Перечня лесорастительных зон Российской Федерации и Перечня лесных районов Российской Федерации» относится к Западно-Сибирскому подтаежно-лесостепному району лесостепной зоны. Городские леса города Барнаула Алтайского края в 1997 году были выделены как расположенные в границах городского округа </w:t>
      </w:r>
      <w:r w:rsidR="00672709" w:rsidRPr="00577593">
        <w:rPr>
          <w:rFonts w:ascii="Times New Roman" w:hAnsi="Times New Roman"/>
          <w:sz w:val="28"/>
          <w:szCs w:val="28"/>
        </w:rPr>
        <w:t>–</w:t>
      </w:r>
      <w:r w:rsidRPr="00577593">
        <w:rPr>
          <w:rFonts w:ascii="Times New Roman" w:hAnsi="Times New Roman"/>
          <w:sz w:val="28"/>
          <w:szCs w:val="28"/>
        </w:rPr>
        <w:t xml:space="preserve"> города Барнаула Алтайского края.</w:t>
      </w:r>
    </w:p>
    <w:p w:rsidR="00FC41F4" w:rsidRPr="00577593" w:rsidRDefault="008925FA" w:rsidP="00922944">
      <w:pPr>
        <w:spacing w:after="0" w:line="332" w:lineRule="exact"/>
        <w:ind w:firstLine="709"/>
        <w:jc w:val="both"/>
        <w:rPr>
          <w:rFonts w:ascii="Times New Roman" w:hAnsi="Times New Roman"/>
          <w:sz w:val="28"/>
          <w:szCs w:val="28"/>
        </w:rPr>
      </w:pPr>
      <w:r w:rsidRPr="00577593">
        <w:rPr>
          <w:rFonts w:ascii="Times New Roman" w:hAnsi="Times New Roman"/>
          <w:sz w:val="28"/>
          <w:szCs w:val="28"/>
        </w:rPr>
        <w:t>К основным проблемам в сфере строительства, благоустройства и городской среды можно отнести:</w:t>
      </w:r>
    </w:p>
    <w:p w:rsidR="00FC41F4" w:rsidRPr="00577593" w:rsidRDefault="008925FA" w:rsidP="00922944">
      <w:pPr>
        <w:pStyle w:val="af5"/>
        <w:numPr>
          <w:ilvl w:val="0"/>
          <w:numId w:val="21"/>
        </w:numPr>
        <w:tabs>
          <w:tab w:val="left" w:pos="993"/>
        </w:tabs>
        <w:spacing w:after="0" w:line="332" w:lineRule="exact"/>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 xml:space="preserve">наличие аварийного жилья; </w:t>
      </w:r>
    </w:p>
    <w:p w:rsidR="00FC41F4" w:rsidRPr="00577593" w:rsidRDefault="008925FA" w:rsidP="00922944">
      <w:pPr>
        <w:pStyle w:val="af5"/>
        <w:numPr>
          <w:ilvl w:val="0"/>
          <w:numId w:val="21"/>
        </w:numPr>
        <w:tabs>
          <w:tab w:val="left" w:pos="993"/>
        </w:tabs>
        <w:spacing w:after="0" w:line="332" w:lineRule="exact"/>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наличие очереди</w:t>
      </w:r>
      <w:r w:rsidR="00922944">
        <w:rPr>
          <w:rFonts w:ascii="Times New Roman" w:eastAsia="Times New Roman" w:hAnsi="Times New Roman"/>
          <w:sz w:val="28"/>
          <w:szCs w:val="28"/>
          <w:lang w:eastAsia="ru-RU"/>
        </w:rPr>
        <w:t xml:space="preserve"> граждан, </w:t>
      </w:r>
      <w:r w:rsidRPr="00577593">
        <w:rPr>
          <w:rFonts w:ascii="Times New Roman" w:eastAsia="Times New Roman" w:hAnsi="Times New Roman"/>
          <w:sz w:val="28"/>
          <w:szCs w:val="28"/>
          <w:lang w:eastAsia="ru-RU"/>
        </w:rPr>
        <w:t xml:space="preserve">нуждающихся в жилых помещениях; </w:t>
      </w:r>
    </w:p>
    <w:p w:rsidR="00FC41F4" w:rsidRPr="00577593" w:rsidRDefault="008925FA" w:rsidP="00922944">
      <w:pPr>
        <w:pStyle w:val="af5"/>
        <w:numPr>
          <w:ilvl w:val="0"/>
          <w:numId w:val="21"/>
        </w:numPr>
        <w:tabs>
          <w:tab w:val="left" w:pos="993"/>
        </w:tabs>
        <w:spacing w:after="0" w:line="332" w:lineRule="exact"/>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относительно низкий уровень развития городской среды;</w:t>
      </w:r>
    </w:p>
    <w:p w:rsidR="00AE1750" w:rsidRPr="00577593" w:rsidRDefault="008925FA" w:rsidP="00922944">
      <w:pPr>
        <w:pStyle w:val="af5"/>
        <w:numPr>
          <w:ilvl w:val="0"/>
          <w:numId w:val="21"/>
        </w:numPr>
        <w:tabs>
          <w:tab w:val="left" w:pos="993"/>
        </w:tabs>
        <w:spacing w:after="0" w:line="332" w:lineRule="exact"/>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обеспеченность жильем на 1 жителя меньше среднероссийского уровня.</w:t>
      </w:r>
    </w:p>
    <w:p w:rsidR="00FC41F4" w:rsidRPr="00577593" w:rsidRDefault="008925FA" w:rsidP="00922944">
      <w:pPr>
        <w:pStyle w:val="3"/>
        <w:spacing w:before="0" w:line="332" w:lineRule="exact"/>
        <w:ind w:firstLine="709"/>
        <w:rPr>
          <w:rFonts w:ascii="Times New Roman" w:hAnsi="Times New Roman"/>
          <w:b/>
          <w:color w:val="auto"/>
          <w:sz w:val="28"/>
          <w:szCs w:val="28"/>
        </w:rPr>
      </w:pPr>
      <w:bookmarkStart w:id="138" w:name="_Toc204923009"/>
      <w:bookmarkStart w:id="139" w:name="_Toc204933343"/>
      <w:bookmarkStart w:id="140" w:name="_Toc208496647"/>
      <w:bookmarkStart w:id="141" w:name="_Toc208668929"/>
      <w:bookmarkStart w:id="142" w:name="_Toc212804278"/>
      <w:r w:rsidRPr="00577593">
        <w:rPr>
          <w:rFonts w:ascii="Times New Roman" w:hAnsi="Times New Roman"/>
          <w:b/>
          <w:color w:val="auto"/>
          <w:sz w:val="28"/>
          <w:szCs w:val="28"/>
        </w:rPr>
        <w:t>2.7.2</w:t>
      </w:r>
      <w:r w:rsidR="00E85445">
        <w:rPr>
          <w:rFonts w:ascii="Times New Roman" w:hAnsi="Times New Roman"/>
          <w:b/>
          <w:color w:val="auto"/>
          <w:sz w:val="28"/>
          <w:szCs w:val="28"/>
        </w:rPr>
        <w:t>.</w:t>
      </w:r>
      <w:r w:rsidRPr="00577593">
        <w:rPr>
          <w:rFonts w:ascii="Times New Roman" w:hAnsi="Times New Roman"/>
          <w:b/>
          <w:color w:val="auto"/>
          <w:sz w:val="28"/>
          <w:szCs w:val="28"/>
        </w:rPr>
        <w:t xml:space="preserve"> Жилищно-коммунальный комплекс</w:t>
      </w:r>
      <w:bookmarkEnd w:id="138"/>
      <w:bookmarkEnd w:id="139"/>
      <w:bookmarkEnd w:id="140"/>
      <w:bookmarkEnd w:id="141"/>
      <w:bookmarkEnd w:id="142"/>
    </w:p>
    <w:p w:rsidR="00FC41F4" w:rsidRPr="00577593" w:rsidRDefault="008925FA" w:rsidP="00922944">
      <w:pPr>
        <w:spacing w:after="0" w:line="332" w:lineRule="exact"/>
        <w:ind w:firstLine="709"/>
        <w:jc w:val="both"/>
        <w:rPr>
          <w:rFonts w:ascii="Times New Roman" w:hAnsi="Times New Roman"/>
          <w:b/>
          <w:sz w:val="28"/>
          <w:szCs w:val="28"/>
        </w:rPr>
      </w:pPr>
      <w:r w:rsidRPr="00577593">
        <w:rPr>
          <w:rFonts w:ascii="Times New Roman" w:hAnsi="Times New Roman"/>
          <w:b/>
          <w:sz w:val="28"/>
          <w:szCs w:val="28"/>
        </w:rPr>
        <w:t>Газоснабжение и газификация</w:t>
      </w:r>
    </w:p>
    <w:p w:rsidR="00FC41F4" w:rsidRPr="00577593" w:rsidRDefault="008925FA" w:rsidP="00922944">
      <w:pPr>
        <w:spacing w:after="0" w:line="332" w:lineRule="exact"/>
        <w:ind w:firstLine="709"/>
        <w:jc w:val="both"/>
        <w:rPr>
          <w:rFonts w:ascii="Times New Roman" w:hAnsi="Times New Roman"/>
          <w:sz w:val="28"/>
          <w:szCs w:val="28"/>
        </w:rPr>
      </w:pPr>
      <w:r w:rsidRPr="00577593">
        <w:rPr>
          <w:rFonts w:ascii="Times New Roman" w:hAnsi="Times New Roman"/>
          <w:sz w:val="28"/>
          <w:szCs w:val="28"/>
        </w:rPr>
        <w:t xml:space="preserve">В 2024 году уровень газификации жилого фонда составил 32,2% </w:t>
      </w:r>
      <w:r w:rsidR="00AE1750" w:rsidRPr="00577593">
        <w:rPr>
          <w:rFonts w:ascii="Times New Roman" w:hAnsi="Times New Roman"/>
          <w:sz w:val="28"/>
          <w:szCs w:val="28"/>
        </w:rPr>
        <w:br/>
      </w:r>
      <w:r w:rsidRPr="00577593">
        <w:rPr>
          <w:rFonts w:ascii="Times New Roman" w:hAnsi="Times New Roman"/>
          <w:sz w:val="28"/>
          <w:szCs w:val="28"/>
        </w:rPr>
        <w:t xml:space="preserve">(в 2023 году </w:t>
      </w:r>
      <w:r w:rsidR="00672709" w:rsidRPr="00577593">
        <w:rPr>
          <w:rFonts w:ascii="Times New Roman" w:hAnsi="Times New Roman"/>
          <w:sz w:val="28"/>
          <w:szCs w:val="28"/>
        </w:rPr>
        <w:t>–</w:t>
      </w:r>
      <w:r w:rsidRPr="00577593">
        <w:rPr>
          <w:rFonts w:ascii="Times New Roman" w:hAnsi="Times New Roman"/>
          <w:sz w:val="28"/>
          <w:szCs w:val="28"/>
        </w:rPr>
        <w:t xml:space="preserve"> 31,3%). Всего в 2024 году газифицировано 2193 квартиры (за 2023 год </w:t>
      </w:r>
      <w:r w:rsidR="00672709" w:rsidRPr="00577593">
        <w:rPr>
          <w:rFonts w:ascii="Times New Roman" w:hAnsi="Times New Roman"/>
          <w:sz w:val="28"/>
          <w:szCs w:val="28"/>
        </w:rPr>
        <w:t>–</w:t>
      </w:r>
      <w:r w:rsidRPr="00577593">
        <w:rPr>
          <w:rFonts w:ascii="Times New Roman" w:hAnsi="Times New Roman"/>
          <w:sz w:val="28"/>
          <w:szCs w:val="28"/>
        </w:rPr>
        <w:t xml:space="preserve"> 20</w:t>
      </w:r>
      <w:r w:rsidR="00045158" w:rsidRPr="00577593">
        <w:rPr>
          <w:rFonts w:ascii="Times New Roman" w:hAnsi="Times New Roman"/>
          <w:sz w:val="28"/>
          <w:szCs w:val="28"/>
        </w:rPr>
        <w:t>82 квартиры). С 2012 по 2024 годы</w:t>
      </w:r>
      <w:r w:rsidRPr="00577593">
        <w:rPr>
          <w:rFonts w:ascii="Times New Roman" w:hAnsi="Times New Roman"/>
          <w:sz w:val="28"/>
          <w:szCs w:val="28"/>
        </w:rPr>
        <w:t xml:space="preserve"> газификация жилищного фонда выросла почти в 1,5 раза или на 9,8 п.п., каждая третья квартира обеспечена газом (</w:t>
      </w:r>
      <w:r w:rsidR="00D558A5">
        <w:fldChar w:fldCharType="begin"/>
      </w:r>
      <w:r w:rsidR="00D558A5">
        <w:instrText xml:space="preserve"> REF _Ref199456219 \h  \* MERGEFORMAT </w:instrText>
      </w:r>
      <w:r w:rsidR="00D558A5">
        <w:fldChar w:fldCharType="separate"/>
      </w:r>
      <w:r w:rsidR="00071499" w:rsidRPr="00577593">
        <w:rPr>
          <w:rFonts w:ascii="Times New Roman" w:hAnsi="Times New Roman"/>
          <w:sz w:val="28"/>
          <w:szCs w:val="28"/>
        </w:rPr>
        <w:t xml:space="preserve">Таблица </w:t>
      </w:r>
      <w:r w:rsidR="00071499">
        <w:rPr>
          <w:rFonts w:ascii="Times New Roman" w:hAnsi="Times New Roman"/>
          <w:sz w:val="28"/>
          <w:szCs w:val="28"/>
        </w:rPr>
        <w:t>10</w:t>
      </w:r>
      <w:r w:rsidR="00D558A5">
        <w:fldChar w:fldCharType="end"/>
      </w:r>
      <w:r w:rsidRPr="00577593">
        <w:rPr>
          <w:rFonts w:ascii="Times New Roman" w:hAnsi="Times New Roman"/>
          <w:sz w:val="28"/>
          <w:szCs w:val="28"/>
        </w:rPr>
        <w:t>).</w:t>
      </w:r>
    </w:p>
    <w:p w:rsidR="00A1570C" w:rsidRPr="00577593" w:rsidRDefault="00A1570C" w:rsidP="002000D4">
      <w:pPr>
        <w:spacing w:after="0" w:line="240" w:lineRule="auto"/>
        <w:ind w:firstLine="709"/>
        <w:jc w:val="both"/>
        <w:rPr>
          <w:rFonts w:ascii="Times New Roman" w:hAnsi="Times New Roman"/>
          <w:sz w:val="28"/>
          <w:szCs w:val="28"/>
        </w:rPr>
      </w:pPr>
    </w:p>
    <w:p w:rsidR="00FC41F4" w:rsidRPr="00577593" w:rsidRDefault="008925FA" w:rsidP="002000D4">
      <w:pPr>
        <w:spacing w:after="0" w:line="240" w:lineRule="auto"/>
        <w:contextualSpacing/>
        <w:jc w:val="both"/>
        <w:rPr>
          <w:rFonts w:ascii="Times New Roman" w:hAnsi="Times New Roman"/>
          <w:sz w:val="28"/>
          <w:szCs w:val="28"/>
        </w:rPr>
      </w:pPr>
      <w:bookmarkStart w:id="143" w:name="_Ref199456219"/>
      <w:r w:rsidRPr="00577593">
        <w:rPr>
          <w:rFonts w:ascii="Times New Roman" w:hAnsi="Times New Roman"/>
          <w:sz w:val="28"/>
          <w:szCs w:val="28"/>
        </w:rPr>
        <w:t xml:space="preserve">Таблица </w:t>
      </w:r>
      <w:r w:rsidR="00074AE5" w:rsidRPr="00577593">
        <w:rPr>
          <w:rFonts w:ascii="Times New Roman" w:hAnsi="Times New Roman"/>
          <w:sz w:val="28"/>
          <w:szCs w:val="28"/>
        </w:rPr>
        <w:fldChar w:fldCharType="begin"/>
      </w:r>
      <w:r w:rsidRPr="00577593">
        <w:rPr>
          <w:rFonts w:ascii="Times New Roman" w:hAnsi="Times New Roman"/>
          <w:sz w:val="28"/>
          <w:szCs w:val="28"/>
        </w:rPr>
        <w:instrText xml:space="preserve"> SEQ Таблица \* ARABIC </w:instrText>
      </w:r>
      <w:r w:rsidR="00074AE5" w:rsidRPr="00577593">
        <w:rPr>
          <w:rFonts w:ascii="Times New Roman" w:hAnsi="Times New Roman"/>
          <w:sz w:val="28"/>
          <w:szCs w:val="28"/>
        </w:rPr>
        <w:fldChar w:fldCharType="separate"/>
      </w:r>
      <w:r w:rsidR="00071499">
        <w:rPr>
          <w:rFonts w:ascii="Times New Roman" w:hAnsi="Times New Roman"/>
          <w:noProof/>
          <w:sz w:val="28"/>
          <w:szCs w:val="28"/>
        </w:rPr>
        <w:t>10</w:t>
      </w:r>
      <w:r w:rsidR="00074AE5" w:rsidRPr="00577593">
        <w:rPr>
          <w:rFonts w:ascii="Times New Roman" w:hAnsi="Times New Roman"/>
          <w:sz w:val="28"/>
          <w:szCs w:val="28"/>
        </w:rPr>
        <w:fldChar w:fldCharType="end"/>
      </w:r>
      <w:bookmarkEnd w:id="143"/>
      <w:r w:rsidRPr="00577593">
        <w:rPr>
          <w:rFonts w:ascii="Times New Roman" w:hAnsi="Times New Roman"/>
          <w:sz w:val="28"/>
          <w:szCs w:val="28"/>
        </w:rPr>
        <w:t xml:space="preserve"> </w:t>
      </w:r>
      <w:r w:rsidR="00672709" w:rsidRPr="00577593">
        <w:rPr>
          <w:rFonts w:ascii="Times New Roman" w:hAnsi="Times New Roman"/>
          <w:sz w:val="28"/>
          <w:szCs w:val="28"/>
        </w:rPr>
        <w:t>–</w:t>
      </w:r>
      <w:r w:rsidRPr="00577593">
        <w:rPr>
          <w:rFonts w:ascii="Times New Roman" w:hAnsi="Times New Roman"/>
          <w:sz w:val="28"/>
          <w:szCs w:val="28"/>
        </w:rPr>
        <w:t xml:space="preserve"> Динамика газификации жилищного фонда в 2012</w:t>
      </w:r>
      <w:r w:rsidR="00045158" w:rsidRPr="00577593">
        <w:rPr>
          <w:rFonts w:ascii="Times New Roman" w:hAnsi="Times New Roman"/>
          <w:sz w:val="28"/>
          <w:szCs w:val="28"/>
        </w:rPr>
        <w:t>-2024 годы</w:t>
      </w:r>
    </w:p>
    <w:tbl>
      <w:tblPr>
        <w:tblW w:w="94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988"/>
        <w:gridCol w:w="649"/>
        <w:gridCol w:w="650"/>
        <w:gridCol w:w="650"/>
        <w:gridCol w:w="650"/>
        <w:gridCol w:w="650"/>
        <w:gridCol w:w="650"/>
        <w:gridCol w:w="649"/>
        <w:gridCol w:w="650"/>
        <w:gridCol w:w="650"/>
        <w:gridCol w:w="650"/>
        <w:gridCol w:w="650"/>
        <w:gridCol w:w="650"/>
        <w:gridCol w:w="650"/>
      </w:tblGrid>
      <w:tr w:rsidR="00FC41F4" w:rsidRPr="00577593">
        <w:tc>
          <w:tcPr>
            <w:tcW w:w="988" w:type="dxa"/>
          </w:tcPr>
          <w:p w:rsidR="00FC41F4" w:rsidRPr="00577593" w:rsidRDefault="008925FA" w:rsidP="002000D4">
            <w:pPr>
              <w:pStyle w:val="ConsPlusNormal"/>
              <w:jc w:val="center"/>
              <w:rPr>
                <w:rFonts w:ascii="Times New Roman" w:hAnsi="Times New Roman" w:cs="Times New Roman"/>
                <w:sz w:val="20"/>
              </w:rPr>
            </w:pPr>
            <w:r w:rsidRPr="00577593">
              <w:rPr>
                <w:rFonts w:ascii="Times New Roman" w:hAnsi="Times New Roman" w:cs="Times New Roman"/>
                <w:sz w:val="20"/>
              </w:rPr>
              <w:t>Год</w:t>
            </w:r>
          </w:p>
        </w:tc>
        <w:tc>
          <w:tcPr>
            <w:tcW w:w="649" w:type="dxa"/>
          </w:tcPr>
          <w:p w:rsidR="00FC41F4" w:rsidRPr="00577593" w:rsidRDefault="008925FA" w:rsidP="002000D4">
            <w:pPr>
              <w:pStyle w:val="ConsPlusNormal"/>
              <w:jc w:val="center"/>
              <w:rPr>
                <w:rFonts w:ascii="Times New Roman" w:hAnsi="Times New Roman" w:cs="Times New Roman"/>
                <w:sz w:val="20"/>
              </w:rPr>
            </w:pPr>
            <w:r w:rsidRPr="00577593">
              <w:rPr>
                <w:rFonts w:ascii="Times New Roman" w:hAnsi="Times New Roman" w:cs="Times New Roman"/>
                <w:sz w:val="20"/>
              </w:rPr>
              <w:t>2012</w:t>
            </w:r>
          </w:p>
        </w:tc>
        <w:tc>
          <w:tcPr>
            <w:tcW w:w="650" w:type="dxa"/>
          </w:tcPr>
          <w:p w:rsidR="00FC41F4" w:rsidRPr="00577593" w:rsidRDefault="008925FA" w:rsidP="002000D4">
            <w:pPr>
              <w:pStyle w:val="ConsPlusNormal"/>
              <w:jc w:val="center"/>
              <w:rPr>
                <w:rFonts w:ascii="Times New Roman" w:hAnsi="Times New Roman" w:cs="Times New Roman"/>
                <w:sz w:val="20"/>
              </w:rPr>
            </w:pPr>
            <w:r w:rsidRPr="00577593">
              <w:rPr>
                <w:rFonts w:ascii="Times New Roman" w:hAnsi="Times New Roman" w:cs="Times New Roman"/>
                <w:sz w:val="20"/>
              </w:rPr>
              <w:t>2013</w:t>
            </w:r>
          </w:p>
        </w:tc>
        <w:tc>
          <w:tcPr>
            <w:tcW w:w="650" w:type="dxa"/>
          </w:tcPr>
          <w:p w:rsidR="00FC41F4" w:rsidRPr="00577593" w:rsidRDefault="008925FA" w:rsidP="002000D4">
            <w:pPr>
              <w:pStyle w:val="ConsPlusNormal"/>
              <w:jc w:val="center"/>
              <w:rPr>
                <w:rFonts w:ascii="Times New Roman" w:hAnsi="Times New Roman" w:cs="Times New Roman"/>
                <w:sz w:val="20"/>
              </w:rPr>
            </w:pPr>
            <w:r w:rsidRPr="00577593">
              <w:rPr>
                <w:rFonts w:ascii="Times New Roman" w:hAnsi="Times New Roman" w:cs="Times New Roman"/>
                <w:sz w:val="20"/>
              </w:rPr>
              <w:t>2014</w:t>
            </w:r>
          </w:p>
        </w:tc>
        <w:tc>
          <w:tcPr>
            <w:tcW w:w="650" w:type="dxa"/>
          </w:tcPr>
          <w:p w:rsidR="00FC41F4" w:rsidRPr="00577593" w:rsidRDefault="008925FA" w:rsidP="002000D4">
            <w:pPr>
              <w:pStyle w:val="ConsPlusNormal"/>
              <w:jc w:val="center"/>
              <w:rPr>
                <w:rFonts w:ascii="Times New Roman" w:hAnsi="Times New Roman" w:cs="Times New Roman"/>
                <w:sz w:val="20"/>
              </w:rPr>
            </w:pPr>
            <w:r w:rsidRPr="00577593">
              <w:rPr>
                <w:rFonts w:ascii="Times New Roman" w:hAnsi="Times New Roman" w:cs="Times New Roman"/>
                <w:sz w:val="20"/>
              </w:rPr>
              <w:t xml:space="preserve">2015 </w:t>
            </w:r>
          </w:p>
        </w:tc>
        <w:tc>
          <w:tcPr>
            <w:tcW w:w="650" w:type="dxa"/>
          </w:tcPr>
          <w:p w:rsidR="00FC41F4" w:rsidRPr="00577593" w:rsidRDefault="008925FA" w:rsidP="002000D4">
            <w:pPr>
              <w:pStyle w:val="ConsPlusNormal"/>
              <w:jc w:val="center"/>
              <w:rPr>
                <w:rFonts w:ascii="Times New Roman" w:hAnsi="Times New Roman" w:cs="Times New Roman"/>
                <w:sz w:val="20"/>
              </w:rPr>
            </w:pPr>
            <w:r w:rsidRPr="00577593">
              <w:rPr>
                <w:rFonts w:ascii="Times New Roman" w:hAnsi="Times New Roman" w:cs="Times New Roman"/>
                <w:sz w:val="20"/>
              </w:rPr>
              <w:t>2016</w:t>
            </w:r>
          </w:p>
        </w:tc>
        <w:tc>
          <w:tcPr>
            <w:tcW w:w="650" w:type="dxa"/>
          </w:tcPr>
          <w:p w:rsidR="00FC41F4" w:rsidRPr="00577593" w:rsidRDefault="008925FA" w:rsidP="002000D4">
            <w:pPr>
              <w:pStyle w:val="ConsPlusNormal"/>
              <w:jc w:val="center"/>
              <w:rPr>
                <w:rFonts w:ascii="Times New Roman" w:hAnsi="Times New Roman" w:cs="Times New Roman"/>
                <w:sz w:val="20"/>
              </w:rPr>
            </w:pPr>
            <w:r w:rsidRPr="00577593">
              <w:rPr>
                <w:rFonts w:ascii="Times New Roman" w:hAnsi="Times New Roman" w:cs="Times New Roman"/>
                <w:sz w:val="20"/>
              </w:rPr>
              <w:t xml:space="preserve">2017 </w:t>
            </w:r>
          </w:p>
        </w:tc>
        <w:tc>
          <w:tcPr>
            <w:tcW w:w="649" w:type="dxa"/>
          </w:tcPr>
          <w:p w:rsidR="00FC41F4" w:rsidRPr="00577593" w:rsidRDefault="008925FA" w:rsidP="002000D4">
            <w:pPr>
              <w:pStyle w:val="ConsPlusNormal"/>
              <w:jc w:val="center"/>
              <w:rPr>
                <w:rFonts w:ascii="Times New Roman" w:hAnsi="Times New Roman" w:cs="Times New Roman"/>
                <w:sz w:val="20"/>
              </w:rPr>
            </w:pPr>
            <w:r w:rsidRPr="00577593">
              <w:rPr>
                <w:rFonts w:ascii="Times New Roman" w:hAnsi="Times New Roman" w:cs="Times New Roman"/>
                <w:sz w:val="20"/>
              </w:rPr>
              <w:t>2018</w:t>
            </w:r>
          </w:p>
        </w:tc>
        <w:tc>
          <w:tcPr>
            <w:tcW w:w="650" w:type="dxa"/>
          </w:tcPr>
          <w:p w:rsidR="00FC41F4" w:rsidRPr="00577593" w:rsidRDefault="008925FA" w:rsidP="002000D4">
            <w:pPr>
              <w:pStyle w:val="ConsPlusNormal"/>
              <w:jc w:val="center"/>
              <w:rPr>
                <w:rFonts w:ascii="Times New Roman" w:hAnsi="Times New Roman" w:cs="Times New Roman"/>
                <w:sz w:val="20"/>
              </w:rPr>
            </w:pPr>
            <w:r w:rsidRPr="00577593">
              <w:rPr>
                <w:rFonts w:ascii="Times New Roman" w:hAnsi="Times New Roman" w:cs="Times New Roman"/>
                <w:sz w:val="20"/>
              </w:rPr>
              <w:t>2019</w:t>
            </w:r>
          </w:p>
        </w:tc>
        <w:tc>
          <w:tcPr>
            <w:tcW w:w="650" w:type="dxa"/>
          </w:tcPr>
          <w:p w:rsidR="00FC41F4" w:rsidRPr="00577593" w:rsidRDefault="008925FA" w:rsidP="002000D4">
            <w:pPr>
              <w:pStyle w:val="ConsPlusNormal"/>
              <w:jc w:val="center"/>
              <w:rPr>
                <w:rFonts w:ascii="Times New Roman" w:hAnsi="Times New Roman" w:cs="Times New Roman"/>
                <w:sz w:val="20"/>
              </w:rPr>
            </w:pPr>
            <w:r w:rsidRPr="00577593">
              <w:rPr>
                <w:rFonts w:ascii="Times New Roman" w:hAnsi="Times New Roman" w:cs="Times New Roman"/>
                <w:sz w:val="20"/>
              </w:rPr>
              <w:t>2020</w:t>
            </w:r>
          </w:p>
        </w:tc>
        <w:tc>
          <w:tcPr>
            <w:tcW w:w="650" w:type="dxa"/>
          </w:tcPr>
          <w:p w:rsidR="00FC41F4" w:rsidRPr="00577593" w:rsidRDefault="008925FA" w:rsidP="002000D4">
            <w:pPr>
              <w:pStyle w:val="ConsPlusNormal"/>
              <w:jc w:val="center"/>
              <w:rPr>
                <w:rFonts w:ascii="Times New Roman" w:hAnsi="Times New Roman" w:cs="Times New Roman"/>
                <w:sz w:val="20"/>
              </w:rPr>
            </w:pPr>
            <w:r w:rsidRPr="00577593">
              <w:rPr>
                <w:rFonts w:ascii="Times New Roman" w:hAnsi="Times New Roman" w:cs="Times New Roman"/>
                <w:sz w:val="20"/>
              </w:rPr>
              <w:t>2021</w:t>
            </w:r>
          </w:p>
        </w:tc>
        <w:tc>
          <w:tcPr>
            <w:tcW w:w="650" w:type="dxa"/>
          </w:tcPr>
          <w:p w:rsidR="00FC41F4" w:rsidRPr="00577593" w:rsidRDefault="008925FA" w:rsidP="002000D4">
            <w:pPr>
              <w:pStyle w:val="ConsPlusNormal"/>
              <w:jc w:val="center"/>
              <w:rPr>
                <w:rFonts w:ascii="Times New Roman" w:hAnsi="Times New Roman" w:cs="Times New Roman"/>
                <w:sz w:val="20"/>
              </w:rPr>
            </w:pPr>
            <w:r w:rsidRPr="00577593">
              <w:rPr>
                <w:rFonts w:ascii="Times New Roman" w:hAnsi="Times New Roman" w:cs="Times New Roman"/>
                <w:sz w:val="20"/>
              </w:rPr>
              <w:t>2022</w:t>
            </w:r>
          </w:p>
        </w:tc>
        <w:tc>
          <w:tcPr>
            <w:tcW w:w="650" w:type="dxa"/>
          </w:tcPr>
          <w:p w:rsidR="00FC41F4" w:rsidRPr="00577593" w:rsidRDefault="008925FA" w:rsidP="002000D4">
            <w:pPr>
              <w:pStyle w:val="ConsPlusNormal"/>
              <w:jc w:val="center"/>
              <w:rPr>
                <w:rFonts w:ascii="Times New Roman" w:hAnsi="Times New Roman" w:cs="Times New Roman"/>
                <w:sz w:val="20"/>
              </w:rPr>
            </w:pPr>
            <w:r w:rsidRPr="00577593">
              <w:rPr>
                <w:rFonts w:ascii="Times New Roman" w:hAnsi="Times New Roman" w:cs="Times New Roman"/>
                <w:sz w:val="20"/>
              </w:rPr>
              <w:t>2023</w:t>
            </w:r>
          </w:p>
        </w:tc>
        <w:tc>
          <w:tcPr>
            <w:tcW w:w="650" w:type="dxa"/>
          </w:tcPr>
          <w:p w:rsidR="00FC41F4" w:rsidRPr="00577593" w:rsidRDefault="008925FA" w:rsidP="002000D4">
            <w:pPr>
              <w:pStyle w:val="ConsPlusNormal"/>
              <w:jc w:val="center"/>
              <w:rPr>
                <w:rFonts w:ascii="Times New Roman" w:hAnsi="Times New Roman" w:cs="Times New Roman"/>
                <w:sz w:val="20"/>
              </w:rPr>
            </w:pPr>
            <w:r w:rsidRPr="00577593">
              <w:rPr>
                <w:rFonts w:ascii="Times New Roman" w:hAnsi="Times New Roman" w:cs="Times New Roman"/>
                <w:sz w:val="20"/>
              </w:rPr>
              <w:t>2024</w:t>
            </w:r>
          </w:p>
        </w:tc>
      </w:tr>
      <w:tr w:rsidR="00FC41F4" w:rsidRPr="00577593">
        <w:tc>
          <w:tcPr>
            <w:tcW w:w="988" w:type="dxa"/>
          </w:tcPr>
          <w:p w:rsidR="00FC41F4" w:rsidRPr="00577593" w:rsidRDefault="008925FA" w:rsidP="002000D4">
            <w:pPr>
              <w:pStyle w:val="ConsPlusNormal"/>
              <w:rPr>
                <w:rFonts w:ascii="Times New Roman" w:hAnsi="Times New Roman" w:cs="Times New Roman"/>
                <w:sz w:val="20"/>
              </w:rPr>
            </w:pPr>
            <w:r w:rsidRPr="00577593">
              <w:rPr>
                <w:rFonts w:ascii="Times New Roman" w:hAnsi="Times New Roman" w:cs="Times New Roman"/>
                <w:sz w:val="20"/>
              </w:rPr>
              <w:t>Газифи-кация, %</w:t>
            </w:r>
          </w:p>
        </w:tc>
        <w:tc>
          <w:tcPr>
            <w:tcW w:w="649" w:type="dxa"/>
            <w:vAlign w:val="center"/>
          </w:tcPr>
          <w:p w:rsidR="00FC41F4" w:rsidRPr="00577593" w:rsidRDefault="008925FA" w:rsidP="002000D4">
            <w:pPr>
              <w:pStyle w:val="ConsPlusNormal"/>
              <w:jc w:val="center"/>
              <w:rPr>
                <w:rFonts w:ascii="Times New Roman" w:hAnsi="Times New Roman" w:cs="Times New Roman"/>
                <w:sz w:val="20"/>
              </w:rPr>
            </w:pPr>
            <w:r w:rsidRPr="00577593">
              <w:rPr>
                <w:rFonts w:ascii="Times New Roman" w:hAnsi="Times New Roman" w:cs="Times New Roman"/>
                <w:sz w:val="20"/>
              </w:rPr>
              <w:t>22,4</w:t>
            </w:r>
          </w:p>
        </w:tc>
        <w:tc>
          <w:tcPr>
            <w:tcW w:w="650" w:type="dxa"/>
            <w:vAlign w:val="center"/>
          </w:tcPr>
          <w:p w:rsidR="00FC41F4" w:rsidRPr="00577593" w:rsidRDefault="008925FA" w:rsidP="002000D4">
            <w:pPr>
              <w:pStyle w:val="ConsPlusNormal"/>
              <w:jc w:val="center"/>
              <w:rPr>
                <w:rFonts w:ascii="Times New Roman" w:hAnsi="Times New Roman" w:cs="Times New Roman"/>
                <w:sz w:val="20"/>
              </w:rPr>
            </w:pPr>
            <w:r w:rsidRPr="00577593">
              <w:rPr>
                <w:rFonts w:ascii="Times New Roman" w:hAnsi="Times New Roman" w:cs="Times New Roman"/>
                <w:sz w:val="20"/>
              </w:rPr>
              <w:t>23,8</w:t>
            </w:r>
          </w:p>
        </w:tc>
        <w:tc>
          <w:tcPr>
            <w:tcW w:w="650" w:type="dxa"/>
            <w:vAlign w:val="center"/>
          </w:tcPr>
          <w:p w:rsidR="00FC41F4" w:rsidRPr="00577593" w:rsidRDefault="008925FA" w:rsidP="002000D4">
            <w:pPr>
              <w:spacing w:after="0" w:line="240" w:lineRule="auto"/>
              <w:jc w:val="center"/>
              <w:rPr>
                <w:rFonts w:ascii="Times New Roman" w:eastAsia="Times New Roman" w:hAnsi="Times New Roman"/>
                <w:sz w:val="20"/>
                <w:szCs w:val="20"/>
              </w:rPr>
            </w:pPr>
            <w:r w:rsidRPr="00577593">
              <w:rPr>
                <w:rFonts w:ascii="Times New Roman" w:eastAsia="Times New Roman" w:hAnsi="Times New Roman"/>
                <w:sz w:val="20"/>
                <w:szCs w:val="20"/>
              </w:rPr>
              <w:t>24,9</w:t>
            </w:r>
          </w:p>
        </w:tc>
        <w:tc>
          <w:tcPr>
            <w:tcW w:w="650" w:type="dxa"/>
            <w:vAlign w:val="center"/>
          </w:tcPr>
          <w:p w:rsidR="00FC41F4" w:rsidRPr="00577593" w:rsidRDefault="008925FA" w:rsidP="002000D4">
            <w:pPr>
              <w:spacing w:after="0" w:line="240" w:lineRule="auto"/>
              <w:jc w:val="center"/>
              <w:rPr>
                <w:rFonts w:ascii="Times New Roman" w:eastAsia="Times New Roman" w:hAnsi="Times New Roman"/>
                <w:sz w:val="20"/>
                <w:szCs w:val="20"/>
              </w:rPr>
            </w:pPr>
            <w:r w:rsidRPr="00577593">
              <w:rPr>
                <w:rFonts w:ascii="Times New Roman" w:eastAsia="Times New Roman" w:hAnsi="Times New Roman"/>
                <w:sz w:val="20"/>
                <w:szCs w:val="20"/>
              </w:rPr>
              <w:t>25,7</w:t>
            </w:r>
          </w:p>
        </w:tc>
        <w:tc>
          <w:tcPr>
            <w:tcW w:w="650" w:type="dxa"/>
            <w:vAlign w:val="center"/>
          </w:tcPr>
          <w:p w:rsidR="00FC41F4" w:rsidRPr="00577593" w:rsidRDefault="008925FA" w:rsidP="002000D4">
            <w:pPr>
              <w:spacing w:after="0" w:line="240" w:lineRule="auto"/>
              <w:jc w:val="center"/>
              <w:rPr>
                <w:rFonts w:ascii="Times New Roman" w:eastAsia="Times New Roman" w:hAnsi="Times New Roman"/>
                <w:sz w:val="20"/>
                <w:szCs w:val="20"/>
              </w:rPr>
            </w:pPr>
            <w:r w:rsidRPr="00577593">
              <w:rPr>
                <w:rFonts w:ascii="Times New Roman" w:eastAsia="Times New Roman" w:hAnsi="Times New Roman"/>
                <w:sz w:val="20"/>
                <w:szCs w:val="20"/>
              </w:rPr>
              <w:t>26,7</w:t>
            </w:r>
          </w:p>
        </w:tc>
        <w:tc>
          <w:tcPr>
            <w:tcW w:w="650" w:type="dxa"/>
            <w:vAlign w:val="center"/>
          </w:tcPr>
          <w:p w:rsidR="00FC41F4" w:rsidRPr="00577593" w:rsidRDefault="008925FA" w:rsidP="002000D4">
            <w:pPr>
              <w:spacing w:after="0" w:line="240" w:lineRule="auto"/>
              <w:jc w:val="center"/>
              <w:rPr>
                <w:rFonts w:ascii="Times New Roman" w:eastAsia="Times New Roman" w:hAnsi="Times New Roman"/>
                <w:sz w:val="20"/>
                <w:szCs w:val="20"/>
              </w:rPr>
            </w:pPr>
            <w:r w:rsidRPr="00577593">
              <w:rPr>
                <w:rFonts w:ascii="Times New Roman" w:eastAsia="Times New Roman" w:hAnsi="Times New Roman"/>
                <w:sz w:val="20"/>
                <w:szCs w:val="20"/>
              </w:rPr>
              <w:t>27,4</w:t>
            </w:r>
          </w:p>
        </w:tc>
        <w:tc>
          <w:tcPr>
            <w:tcW w:w="649" w:type="dxa"/>
            <w:vAlign w:val="center"/>
          </w:tcPr>
          <w:p w:rsidR="00FC41F4" w:rsidRPr="00577593" w:rsidRDefault="008925FA" w:rsidP="002000D4">
            <w:pPr>
              <w:spacing w:after="0" w:line="240" w:lineRule="auto"/>
              <w:jc w:val="center"/>
              <w:rPr>
                <w:rFonts w:ascii="Times New Roman" w:eastAsia="Times New Roman" w:hAnsi="Times New Roman"/>
                <w:sz w:val="20"/>
                <w:szCs w:val="20"/>
              </w:rPr>
            </w:pPr>
            <w:r w:rsidRPr="00577593">
              <w:rPr>
                <w:rFonts w:ascii="Times New Roman" w:eastAsia="Times New Roman" w:hAnsi="Times New Roman"/>
                <w:sz w:val="20"/>
                <w:szCs w:val="20"/>
              </w:rPr>
              <w:t>28,1</w:t>
            </w:r>
          </w:p>
        </w:tc>
        <w:tc>
          <w:tcPr>
            <w:tcW w:w="650" w:type="dxa"/>
            <w:vAlign w:val="center"/>
          </w:tcPr>
          <w:p w:rsidR="00FC41F4" w:rsidRPr="00577593" w:rsidRDefault="008925FA" w:rsidP="002000D4">
            <w:pPr>
              <w:spacing w:after="0" w:line="240" w:lineRule="auto"/>
              <w:jc w:val="center"/>
              <w:rPr>
                <w:rFonts w:ascii="Times New Roman" w:eastAsia="Times New Roman" w:hAnsi="Times New Roman"/>
                <w:sz w:val="20"/>
                <w:szCs w:val="20"/>
              </w:rPr>
            </w:pPr>
            <w:r w:rsidRPr="00577593">
              <w:rPr>
                <w:rFonts w:ascii="Times New Roman" w:eastAsia="Times New Roman" w:hAnsi="Times New Roman"/>
                <w:sz w:val="20"/>
                <w:szCs w:val="20"/>
              </w:rPr>
              <w:t>28,6</w:t>
            </w:r>
          </w:p>
        </w:tc>
        <w:tc>
          <w:tcPr>
            <w:tcW w:w="650" w:type="dxa"/>
            <w:vAlign w:val="center"/>
          </w:tcPr>
          <w:p w:rsidR="00FC41F4" w:rsidRPr="00577593" w:rsidRDefault="008925FA" w:rsidP="002000D4">
            <w:pPr>
              <w:spacing w:after="0" w:line="240" w:lineRule="auto"/>
              <w:jc w:val="center"/>
              <w:rPr>
                <w:rFonts w:ascii="Times New Roman" w:eastAsia="Times New Roman" w:hAnsi="Times New Roman"/>
                <w:sz w:val="20"/>
                <w:szCs w:val="20"/>
              </w:rPr>
            </w:pPr>
            <w:r w:rsidRPr="00577593">
              <w:rPr>
                <w:rFonts w:ascii="Times New Roman" w:eastAsia="Times New Roman" w:hAnsi="Times New Roman"/>
                <w:sz w:val="20"/>
                <w:szCs w:val="20"/>
              </w:rPr>
              <w:t>29,1</w:t>
            </w:r>
          </w:p>
        </w:tc>
        <w:tc>
          <w:tcPr>
            <w:tcW w:w="650" w:type="dxa"/>
            <w:vAlign w:val="center"/>
          </w:tcPr>
          <w:p w:rsidR="00FC41F4" w:rsidRPr="00577593" w:rsidRDefault="008925FA" w:rsidP="002000D4">
            <w:pPr>
              <w:spacing w:after="0" w:line="240" w:lineRule="auto"/>
              <w:jc w:val="center"/>
              <w:rPr>
                <w:rFonts w:ascii="Times New Roman" w:eastAsia="Times New Roman" w:hAnsi="Times New Roman"/>
                <w:sz w:val="20"/>
                <w:szCs w:val="20"/>
              </w:rPr>
            </w:pPr>
            <w:r w:rsidRPr="00577593">
              <w:rPr>
                <w:rFonts w:ascii="Times New Roman" w:eastAsia="Times New Roman" w:hAnsi="Times New Roman"/>
                <w:sz w:val="20"/>
                <w:szCs w:val="20"/>
              </w:rPr>
              <w:t>29,5</w:t>
            </w:r>
          </w:p>
        </w:tc>
        <w:tc>
          <w:tcPr>
            <w:tcW w:w="650" w:type="dxa"/>
            <w:vAlign w:val="center"/>
          </w:tcPr>
          <w:p w:rsidR="00FC41F4" w:rsidRPr="00577593" w:rsidRDefault="008925FA" w:rsidP="002000D4">
            <w:pPr>
              <w:spacing w:after="0" w:line="240" w:lineRule="auto"/>
              <w:jc w:val="center"/>
              <w:rPr>
                <w:rFonts w:ascii="Times New Roman" w:eastAsia="Times New Roman" w:hAnsi="Times New Roman"/>
                <w:sz w:val="20"/>
                <w:szCs w:val="20"/>
              </w:rPr>
            </w:pPr>
            <w:r w:rsidRPr="00577593">
              <w:rPr>
                <w:rFonts w:ascii="Times New Roman" w:eastAsia="Times New Roman" w:hAnsi="Times New Roman"/>
                <w:sz w:val="20"/>
                <w:szCs w:val="20"/>
              </w:rPr>
              <w:t>30,4</w:t>
            </w:r>
          </w:p>
        </w:tc>
        <w:tc>
          <w:tcPr>
            <w:tcW w:w="650" w:type="dxa"/>
            <w:vAlign w:val="center"/>
          </w:tcPr>
          <w:p w:rsidR="00FC41F4" w:rsidRPr="00577593" w:rsidRDefault="008925FA" w:rsidP="002000D4">
            <w:pPr>
              <w:pStyle w:val="ConsPlusNormal"/>
              <w:jc w:val="center"/>
              <w:rPr>
                <w:rFonts w:ascii="Times New Roman" w:hAnsi="Times New Roman" w:cs="Times New Roman"/>
                <w:sz w:val="20"/>
              </w:rPr>
            </w:pPr>
            <w:r w:rsidRPr="00577593">
              <w:rPr>
                <w:rFonts w:ascii="Times New Roman" w:hAnsi="Times New Roman" w:cs="Times New Roman"/>
                <w:sz w:val="20"/>
              </w:rPr>
              <w:t>31,3</w:t>
            </w:r>
          </w:p>
        </w:tc>
        <w:tc>
          <w:tcPr>
            <w:tcW w:w="650" w:type="dxa"/>
            <w:vAlign w:val="center"/>
          </w:tcPr>
          <w:p w:rsidR="00FC41F4" w:rsidRPr="00577593" w:rsidRDefault="008925FA" w:rsidP="002000D4">
            <w:pPr>
              <w:pStyle w:val="ConsPlusNormal"/>
              <w:jc w:val="center"/>
              <w:rPr>
                <w:rFonts w:ascii="Times New Roman" w:hAnsi="Times New Roman" w:cs="Times New Roman"/>
                <w:sz w:val="20"/>
              </w:rPr>
            </w:pPr>
            <w:r w:rsidRPr="00577593">
              <w:rPr>
                <w:rFonts w:ascii="Times New Roman" w:hAnsi="Times New Roman" w:cs="Times New Roman"/>
                <w:sz w:val="20"/>
              </w:rPr>
              <w:t>32,2</w:t>
            </w:r>
          </w:p>
        </w:tc>
      </w:tr>
    </w:tbl>
    <w:p w:rsidR="00FC41F4" w:rsidRDefault="008925FA" w:rsidP="00922944">
      <w:pPr>
        <w:pStyle w:val="aff9"/>
        <w:spacing w:after="0"/>
        <w:ind w:firstLine="709"/>
        <w:jc w:val="both"/>
        <w:rPr>
          <w:rFonts w:ascii="Times New Roman" w:hAnsi="Times New Roman"/>
          <w:i w:val="0"/>
          <w:color w:val="auto"/>
          <w:sz w:val="28"/>
          <w:szCs w:val="28"/>
        </w:rPr>
      </w:pPr>
      <w:r w:rsidRPr="00577593">
        <w:rPr>
          <w:rFonts w:ascii="Times New Roman" w:hAnsi="Times New Roman"/>
          <w:i w:val="0"/>
          <w:color w:val="auto"/>
          <w:sz w:val="28"/>
          <w:szCs w:val="28"/>
        </w:rPr>
        <w:t xml:space="preserve">Примечание </w:t>
      </w:r>
      <w:r w:rsidR="00672709" w:rsidRPr="00577593">
        <w:rPr>
          <w:rFonts w:ascii="Times New Roman" w:hAnsi="Times New Roman"/>
          <w:i w:val="0"/>
          <w:color w:val="auto"/>
          <w:sz w:val="28"/>
          <w:szCs w:val="28"/>
        </w:rPr>
        <w:t>–</w:t>
      </w:r>
      <w:r w:rsidRPr="00577593">
        <w:rPr>
          <w:rFonts w:ascii="Times New Roman" w:hAnsi="Times New Roman"/>
          <w:i w:val="0"/>
          <w:color w:val="auto"/>
          <w:sz w:val="28"/>
          <w:szCs w:val="28"/>
        </w:rPr>
        <w:t xml:space="preserve"> Источник: на основе данных </w:t>
      </w:r>
      <w:r w:rsidRPr="00577593">
        <w:rPr>
          <w:rFonts w:ascii="Times New Roman" w:hAnsi="Times New Roman"/>
          <w:i w:val="0"/>
          <w:iCs w:val="0"/>
          <w:color w:val="auto"/>
          <w:sz w:val="28"/>
          <w:szCs w:val="28"/>
        </w:rPr>
        <w:t>администрации</w:t>
      </w:r>
      <w:r w:rsidRPr="00577593">
        <w:rPr>
          <w:rFonts w:ascii="Times New Roman" w:hAnsi="Times New Roman"/>
          <w:i w:val="0"/>
          <w:color w:val="auto"/>
          <w:sz w:val="28"/>
          <w:szCs w:val="28"/>
        </w:rPr>
        <w:t xml:space="preserve"> города Барнаула</w:t>
      </w:r>
    </w:p>
    <w:p w:rsidR="00922944" w:rsidRPr="00922944" w:rsidRDefault="00922944" w:rsidP="00922944">
      <w:pPr>
        <w:spacing w:after="0" w:line="240" w:lineRule="auto"/>
        <w:rPr>
          <w:rFonts w:ascii="PT Astra Serif" w:hAnsi="PT Astra Serif"/>
        </w:rPr>
      </w:pPr>
    </w:p>
    <w:p w:rsidR="00922944" w:rsidRDefault="008925FA" w:rsidP="00922944">
      <w:pPr>
        <w:spacing w:after="0" w:line="330" w:lineRule="exact"/>
        <w:ind w:firstLine="709"/>
        <w:jc w:val="both"/>
        <w:rPr>
          <w:rFonts w:ascii="Times New Roman" w:hAnsi="Times New Roman"/>
          <w:sz w:val="28"/>
          <w:szCs w:val="28"/>
        </w:rPr>
      </w:pPr>
      <w:r w:rsidRPr="00577593">
        <w:rPr>
          <w:rFonts w:ascii="Times New Roman" w:hAnsi="Times New Roman"/>
          <w:sz w:val="28"/>
          <w:szCs w:val="28"/>
        </w:rPr>
        <w:t>В рамках муниципальной программы «Газификация города Барнаула на 2015</w:t>
      </w:r>
      <w:r w:rsidR="00045158" w:rsidRPr="00577593">
        <w:rPr>
          <w:rFonts w:ascii="Times New Roman" w:hAnsi="Times New Roman"/>
          <w:sz w:val="28"/>
          <w:szCs w:val="28"/>
        </w:rPr>
        <w:t>-</w:t>
      </w:r>
      <w:r w:rsidRPr="00577593">
        <w:rPr>
          <w:rFonts w:ascii="Times New Roman" w:hAnsi="Times New Roman"/>
          <w:sz w:val="28"/>
          <w:szCs w:val="28"/>
        </w:rPr>
        <w:t xml:space="preserve">2018 годы» были проведены мероприятия, направленные </w:t>
      </w:r>
      <w:r w:rsidR="00AE1750" w:rsidRPr="00577593">
        <w:rPr>
          <w:rFonts w:ascii="Times New Roman" w:hAnsi="Times New Roman"/>
          <w:sz w:val="28"/>
          <w:szCs w:val="28"/>
        </w:rPr>
        <w:br/>
      </w:r>
      <w:r w:rsidRPr="00577593">
        <w:rPr>
          <w:rFonts w:ascii="Times New Roman" w:hAnsi="Times New Roman"/>
          <w:sz w:val="28"/>
          <w:szCs w:val="28"/>
        </w:rPr>
        <w:t xml:space="preserve">на обеспечение домохозяйств и предприятий доступом к </w:t>
      </w:r>
      <w:r w:rsidR="00922944">
        <w:rPr>
          <w:rFonts w:ascii="Times New Roman" w:hAnsi="Times New Roman"/>
          <w:sz w:val="28"/>
          <w:szCs w:val="28"/>
        </w:rPr>
        <w:br/>
      </w:r>
    </w:p>
    <w:p w:rsidR="00FC41F4" w:rsidRPr="00577593" w:rsidRDefault="008925FA" w:rsidP="00DE6A2C">
      <w:pPr>
        <w:spacing w:after="0" w:line="330" w:lineRule="exact"/>
        <w:jc w:val="both"/>
        <w:rPr>
          <w:rFonts w:ascii="Times New Roman" w:hAnsi="Times New Roman"/>
          <w:sz w:val="28"/>
          <w:szCs w:val="28"/>
        </w:rPr>
      </w:pPr>
      <w:r w:rsidRPr="00577593">
        <w:rPr>
          <w:rFonts w:ascii="Times New Roman" w:hAnsi="Times New Roman"/>
          <w:sz w:val="28"/>
          <w:szCs w:val="28"/>
        </w:rPr>
        <w:lastRenderedPageBreak/>
        <w:t>централизованному газоснабжению. Газификация направлена на жителей территори</w:t>
      </w:r>
      <w:r w:rsidR="00922944">
        <w:rPr>
          <w:rFonts w:ascii="Times New Roman" w:hAnsi="Times New Roman"/>
          <w:sz w:val="28"/>
          <w:szCs w:val="28"/>
        </w:rPr>
        <w:t>и индивидуальной застройки</w:t>
      </w:r>
      <w:r w:rsidRPr="00577593">
        <w:rPr>
          <w:rFonts w:ascii="Times New Roman" w:hAnsi="Times New Roman"/>
          <w:sz w:val="28"/>
          <w:szCs w:val="28"/>
        </w:rPr>
        <w:t>.</w:t>
      </w:r>
    </w:p>
    <w:p w:rsidR="00FC41F4" w:rsidRPr="00577593" w:rsidRDefault="008925FA" w:rsidP="00DE6A2C">
      <w:pPr>
        <w:spacing w:after="0" w:line="330" w:lineRule="exact"/>
        <w:ind w:firstLine="709"/>
        <w:jc w:val="both"/>
        <w:rPr>
          <w:rFonts w:ascii="Times New Roman" w:hAnsi="Times New Roman"/>
          <w:sz w:val="28"/>
          <w:szCs w:val="28"/>
        </w:rPr>
      </w:pPr>
      <w:r w:rsidRPr="00577593">
        <w:rPr>
          <w:rFonts w:ascii="Times New Roman" w:hAnsi="Times New Roman"/>
          <w:sz w:val="28"/>
          <w:szCs w:val="28"/>
        </w:rPr>
        <w:t xml:space="preserve">В 2015 году введены в эксплуатацию газовые сети высокого давления и ГРП на территории микрорайона «п. Мирный» Индустриального района, благодаря чему было газифицировано более 330 домов. Завершено строительство газопровода высокого давления и ГРП микрорайона «ВРЗ». Жителями микрорайона </w:t>
      </w:r>
      <w:r w:rsidR="00922944">
        <w:rPr>
          <w:rFonts w:ascii="Times New Roman" w:hAnsi="Times New Roman"/>
          <w:sz w:val="28"/>
          <w:szCs w:val="28"/>
        </w:rPr>
        <w:t>«</w:t>
      </w:r>
      <w:r w:rsidRPr="00577593">
        <w:rPr>
          <w:rFonts w:ascii="Times New Roman" w:hAnsi="Times New Roman"/>
          <w:sz w:val="28"/>
          <w:szCs w:val="28"/>
        </w:rPr>
        <w:t>ВРЗ</w:t>
      </w:r>
      <w:r w:rsidR="00922944">
        <w:rPr>
          <w:rFonts w:ascii="Times New Roman" w:hAnsi="Times New Roman"/>
          <w:sz w:val="28"/>
          <w:szCs w:val="28"/>
        </w:rPr>
        <w:t>»</w:t>
      </w:r>
      <w:r w:rsidRPr="00577593">
        <w:rPr>
          <w:rFonts w:ascii="Times New Roman" w:hAnsi="Times New Roman"/>
          <w:sz w:val="28"/>
          <w:szCs w:val="28"/>
        </w:rPr>
        <w:t xml:space="preserve"> создано 13 добровольных объединений, которые охватывают 1972 домовладения, в финансировании работ по газификации участвуют 645 собственников. В 2015 году началось строительство системы газоснабжения земельных участков, выделенных для строительства домов многодетным семьям в п. Научный городок, в 2016 году к природному газу подключено 15 домовладений. Велось строительство газовой котельной, построенной в</w:t>
      </w:r>
      <w:r w:rsidR="00DE6A2C">
        <w:rPr>
          <w:rFonts w:ascii="Times New Roman" w:hAnsi="Times New Roman"/>
          <w:sz w:val="28"/>
          <w:szCs w:val="28"/>
        </w:rPr>
        <w:t xml:space="preserve"> </w:t>
      </w:r>
      <w:r w:rsidRPr="00577593">
        <w:rPr>
          <w:rFonts w:ascii="Times New Roman" w:hAnsi="Times New Roman"/>
          <w:sz w:val="28"/>
          <w:szCs w:val="28"/>
        </w:rPr>
        <w:t>п. Лесной Индустриального района.</w:t>
      </w:r>
    </w:p>
    <w:p w:rsidR="00FC41F4" w:rsidRPr="00577593" w:rsidRDefault="008925FA" w:rsidP="00DE6A2C">
      <w:pPr>
        <w:spacing w:after="0" w:line="330" w:lineRule="exact"/>
        <w:ind w:firstLine="709"/>
        <w:jc w:val="both"/>
        <w:rPr>
          <w:rFonts w:ascii="Times New Roman" w:hAnsi="Times New Roman"/>
          <w:sz w:val="28"/>
          <w:szCs w:val="28"/>
        </w:rPr>
      </w:pPr>
      <w:r w:rsidRPr="00577593">
        <w:rPr>
          <w:rFonts w:ascii="Times New Roman" w:hAnsi="Times New Roman"/>
          <w:sz w:val="28"/>
          <w:szCs w:val="28"/>
        </w:rPr>
        <w:t>В 2016 году завершены строительно-монтажные работы на объекте «Распределительный газопровод и ГРП в квартале улиц Малахова, Покровской, проездов Мирный 1-й, 4-й». Построено 82 метра газовых сетей. Завершены строительно-монтажные работы газопровода высокого давления и ГРП по ул. Раздольной, 22б, объект введен в эксплуатацию.</w:t>
      </w:r>
    </w:p>
    <w:p w:rsidR="00FC41F4" w:rsidRPr="00577593" w:rsidRDefault="008925FA" w:rsidP="00DE6A2C">
      <w:pPr>
        <w:spacing w:after="0" w:line="330" w:lineRule="exact"/>
        <w:ind w:firstLine="709"/>
        <w:jc w:val="both"/>
        <w:rPr>
          <w:rFonts w:ascii="Times New Roman" w:hAnsi="Times New Roman"/>
          <w:sz w:val="28"/>
          <w:szCs w:val="28"/>
        </w:rPr>
      </w:pPr>
      <w:r w:rsidRPr="00577593">
        <w:rPr>
          <w:rFonts w:ascii="Times New Roman" w:hAnsi="Times New Roman"/>
          <w:sz w:val="28"/>
          <w:szCs w:val="28"/>
        </w:rPr>
        <w:t xml:space="preserve">Запущена модульная котельная по ул. Чехова, 24, что позволяет предоставлять населению более качественные коммунальные услуги, обеспечить теплом действующие и перспективные объекты туристско-рекреационного кластера «Барнаул </w:t>
      </w:r>
      <w:r w:rsidR="00672709" w:rsidRPr="00577593">
        <w:rPr>
          <w:rFonts w:ascii="Times New Roman" w:hAnsi="Times New Roman"/>
          <w:sz w:val="28"/>
          <w:szCs w:val="28"/>
        </w:rPr>
        <w:t>–</w:t>
      </w:r>
      <w:r w:rsidRPr="00577593">
        <w:rPr>
          <w:rFonts w:ascii="Times New Roman" w:hAnsi="Times New Roman"/>
          <w:sz w:val="28"/>
          <w:szCs w:val="28"/>
        </w:rPr>
        <w:t xml:space="preserve"> горнозаводской город». За счет средств краевого бюджета было закуплено оборудование для котельной </w:t>
      </w:r>
      <w:r w:rsidR="00AE1750" w:rsidRPr="00577593">
        <w:rPr>
          <w:rFonts w:ascii="Times New Roman" w:hAnsi="Times New Roman"/>
          <w:sz w:val="28"/>
          <w:szCs w:val="28"/>
        </w:rPr>
        <w:br/>
      </w:r>
      <w:r w:rsidRPr="00577593">
        <w:rPr>
          <w:rFonts w:ascii="Times New Roman" w:hAnsi="Times New Roman"/>
          <w:sz w:val="28"/>
          <w:szCs w:val="28"/>
        </w:rPr>
        <w:t>по ул. Промышленной, 3 и завершены строительно-монтажн</w:t>
      </w:r>
      <w:r w:rsidR="00DE6A2C">
        <w:rPr>
          <w:rFonts w:ascii="Times New Roman" w:hAnsi="Times New Roman"/>
          <w:sz w:val="28"/>
          <w:szCs w:val="28"/>
        </w:rPr>
        <w:t>ые</w:t>
      </w:r>
      <w:r w:rsidRPr="00577593">
        <w:rPr>
          <w:rFonts w:ascii="Times New Roman" w:hAnsi="Times New Roman"/>
          <w:sz w:val="28"/>
          <w:szCs w:val="28"/>
        </w:rPr>
        <w:t xml:space="preserve"> работ</w:t>
      </w:r>
      <w:r w:rsidR="00DE6A2C">
        <w:rPr>
          <w:rFonts w:ascii="Times New Roman" w:hAnsi="Times New Roman"/>
          <w:sz w:val="28"/>
          <w:szCs w:val="28"/>
        </w:rPr>
        <w:t>ы</w:t>
      </w:r>
      <w:r w:rsidRPr="00577593">
        <w:rPr>
          <w:rFonts w:ascii="Times New Roman" w:hAnsi="Times New Roman"/>
          <w:sz w:val="28"/>
          <w:szCs w:val="28"/>
        </w:rPr>
        <w:t xml:space="preserve"> </w:t>
      </w:r>
      <w:r w:rsidR="00AE1750" w:rsidRPr="00577593">
        <w:rPr>
          <w:rFonts w:ascii="Times New Roman" w:hAnsi="Times New Roman"/>
          <w:sz w:val="28"/>
          <w:szCs w:val="28"/>
        </w:rPr>
        <w:br/>
      </w:r>
      <w:r w:rsidRPr="00577593">
        <w:rPr>
          <w:rFonts w:ascii="Times New Roman" w:hAnsi="Times New Roman"/>
          <w:sz w:val="28"/>
          <w:szCs w:val="28"/>
        </w:rPr>
        <w:t>и введена в эксплуатацию котельная по ул. Чкалова, 230.</w:t>
      </w:r>
    </w:p>
    <w:p w:rsidR="00FC41F4" w:rsidRPr="00577593" w:rsidRDefault="008925FA" w:rsidP="00DE6A2C">
      <w:pPr>
        <w:spacing w:after="0" w:line="330" w:lineRule="exact"/>
        <w:ind w:firstLine="709"/>
        <w:jc w:val="both"/>
        <w:rPr>
          <w:rFonts w:ascii="Times New Roman" w:hAnsi="Times New Roman"/>
          <w:b/>
          <w:sz w:val="28"/>
          <w:szCs w:val="28"/>
        </w:rPr>
      </w:pPr>
      <w:r w:rsidRPr="00577593">
        <w:rPr>
          <w:rFonts w:ascii="Times New Roman" w:hAnsi="Times New Roman"/>
          <w:b/>
          <w:sz w:val="28"/>
          <w:szCs w:val="28"/>
        </w:rPr>
        <w:t>Водоснабжение и водоотведение</w:t>
      </w:r>
    </w:p>
    <w:p w:rsidR="00FC41F4" w:rsidRPr="00577593" w:rsidRDefault="008925FA" w:rsidP="00DE6A2C">
      <w:pPr>
        <w:spacing w:after="0" w:line="330" w:lineRule="exact"/>
        <w:ind w:firstLine="709"/>
        <w:jc w:val="both"/>
        <w:rPr>
          <w:rFonts w:ascii="Times New Roman" w:hAnsi="Times New Roman"/>
          <w:sz w:val="28"/>
          <w:szCs w:val="28"/>
        </w:rPr>
      </w:pPr>
      <w:r w:rsidRPr="00577593">
        <w:rPr>
          <w:rFonts w:ascii="Times New Roman" w:hAnsi="Times New Roman"/>
          <w:sz w:val="28"/>
          <w:szCs w:val="28"/>
        </w:rPr>
        <w:t xml:space="preserve">Услуги по водоснабжению и водоотведению в 2016 году предоставляли четыре предприятия: ООО «БВК», МУП «Энергетик», ООО «Научный городок», ООО «Нерудная партия». Остро стоят вопросы в части предоставления </w:t>
      </w:r>
      <w:r w:rsidR="00DE6A2C">
        <w:rPr>
          <w:rFonts w:ascii="Times New Roman" w:hAnsi="Times New Roman"/>
          <w:sz w:val="28"/>
          <w:szCs w:val="28"/>
        </w:rPr>
        <w:t xml:space="preserve">данных </w:t>
      </w:r>
      <w:r w:rsidRPr="00577593">
        <w:rPr>
          <w:rFonts w:ascii="Times New Roman" w:hAnsi="Times New Roman"/>
          <w:sz w:val="28"/>
          <w:szCs w:val="28"/>
        </w:rPr>
        <w:t>услуг городскому населению. На территории города Барнаула находится более 6000 км сетей и 1636 объектов жизнеобеспечения. По состоянию на начало 2016 года их общий износ составляет более 70%. Это является основной проблемой централизованного снабжения населения города качественными ресурсами.</w:t>
      </w:r>
    </w:p>
    <w:p w:rsidR="00DE6A2C" w:rsidRDefault="008925FA" w:rsidP="00DE6A2C">
      <w:pPr>
        <w:spacing w:after="0" w:line="330" w:lineRule="exact"/>
        <w:ind w:firstLine="709"/>
        <w:jc w:val="both"/>
        <w:rPr>
          <w:rFonts w:ascii="Times New Roman" w:hAnsi="Times New Roman"/>
          <w:sz w:val="28"/>
          <w:szCs w:val="28"/>
        </w:rPr>
      </w:pPr>
      <w:r w:rsidRPr="00577593">
        <w:rPr>
          <w:rFonts w:ascii="Times New Roman" w:hAnsi="Times New Roman"/>
          <w:sz w:val="28"/>
          <w:szCs w:val="28"/>
        </w:rPr>
        <w:t>Особенностью городского округа является наличие пригородной зоны, где</w:t>
      </w:r>
      <w:r w:rsidR="00DE6A2C">
        <w:rPr>
          <w:rFonts w:ascii="Times New Roman" w:hAnsi="Times New Roman"/>
          <w:sz w:val="28"/>
          <w:szCs w:val="28"/>
        </w:rPr>
        <w:t xml:space="preserve"> </w:t>
      </w:r>
      <w:r w:rsidRPr="00577593">
        <w:rPr>
          <w:rFonts w:ascii="Times New Roman" w:hAnsi="Times New Roman"/>
          <w:sz w:val="28"/>
          <w:szCs w:val="28"/>
        </w:rPr>
        <w:t xml:space="preserve">проживает </w:t>
      </w:r>
      <w:r w:rsidR="00012E8F" w:rsidRPr="00577593">
        <w:rPr>
          <w:rFonts w:ascii="Times New Roman" w:hAnsi="Times New Roman"/>
          <w:sz w:val="28"/>
          <w:szCs w:val="28"/>
        </w:rPr>
        <w:t>7</w:t>
      </w:r>
      <w:r w:rsidR="00110080" w:rsidRPr="00577593">
        <w:rPr>
          <w:rFonts w:ascii="Times New Roman" w:hAnsi="Times New Roman"/>
          <w:sz w:val="28"/>
          <w:szCs w:val="28"/>
        </w:rPr>
        <w:t xml:space="preserve">% жителей или </w:t>
      </w:r>
      <w:r w:rsidR="00DE6A2C">
        <w:rPr>
          <w:rFonts w:ascii="Times New Roman" w:hAnsi="Times New Roman"/>
          <w:sz w:val="28"/>
          <w:szCs w:val="28"/>
        </w:rPr>
        <w:t>49,6</w:t>
      </w:r>
      <w:r w:rsidR="00110080" w:rsidRPr="00577593">
        <w:rPr>
          <w:rFonts w:ascii="Times New Roman" w:hAnsi="Times New Roman"/>
          <w:sz w:val="28"/>
          <w:szCs w:val="28"/>
        </w:rPr>
        <w:t xml:space="preserve"> тысяч</w:t>
      </w:r>
      <w:r w:rsidRPr="00577593">
        <w:rPr>
          <w:rFonts w:ascii="Times New Roman" w:hAnsi="Times New Roman"/>
          <w:sz w:val="28"/>
          <w:szCs w:val="28"/>
        </w:rPr>
        <w:t xml:space="preserve"> человек. Централизованное водоснабжение пригородных микрорайонов и поселков города Барнаула осуществляется из 46 подземных источников, протяженность водопроводных и канализационных сетей составляет 270 км и 14,5 км соответственно. Артезианские скважины оборудованы только насосными станциями первого подъема, без устройства систем доочистки. Качество воды, добываемой из артезианских скважин, не </w:t>
      </w:r>
      <w:r w:rsidR="00DE6A2C">
        <w:rPr>
          <w:rFonts w:ascii="Times New Roman" w:hAnsi="Times New Roman"/>
          <w:sz w:val="28"/>
          <w:szCs w:val="28"/>
        </w:rPr>
        <w:br/>
      </w:r>
    </w:p>
    <w:p w:rsidR="00FC41F4" w:rsidRPr="00577593" w:rsidRDefault="008925FA" w:rsidP="00DE6A2C">
      <w:pPr>
        <w:spacing w:after="0" w:line="330" w:lineRule="exact"/>
        <w:jc w:val="both"/>
        <w:rPr>
          <w:rFonts w:ascii="Times New Roman" w:hAnsi="Times New Roman"/>
          <w:sz w:val="28"/>
          <w:szCs w:val="28"/>
        </w:rPr>
      </w:pPr>
      <w:r w:rsidRPr="00577593">
        <w:rPr>
          <w:rFonts w:ascii="Times New Roman" w:hAnsi="Times New Roman"/>
          <w:sz w:val="28"/>
          <w:szCs w:val="28"/>
        </w:rPr>
        <w:lastRenderedPageBreak/>
        <w:t>соответствует требованиям СанПиН № 2.1.4.1074-01 «Питьевая вода. Гигиенические требования к качеству воды централизованных систем питьевого водоснабжения. Контроль качества» по содержанию железа и марганца. Повышенное содержание этих элементов имеет природное происхождение и характерно для всего барнаульского месторождения подземных вод. При строительстве водозаборов не были предусмотрены технологические решения по очистке воды.</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За 9 лет доля источников водоснабжения пригородной зоны города Барнаула, на которых получены пробы питьевой воды, соответствующие установленным требованиям по содержанию железа и марганца, выросла с 2,2% до 19,3%. Доля населения пригородной зоны, имеющей доступ качественной питьевой водой из систем централизованного водоснабжения, достигла 62,3%.</w:t>
      </w:r>
    </w:p>
    <w:p w:rsidR="00A1570C" w:rsidRPr="00577593" w:rsidRDefault="00A1570C" w:rsidP="002000D4">
      <w:pPr>
        <w:spacing w:after="0" w:line="240" w:lineRule="auto"/>
        <w:ind w:firstLine="709"/>
        <w:jc w:val="both"/>
        <w:rPr>
          <w:rFonts w:ascii="Times New Roman" w:hAnsi="Times New Roman"/>
          <w:sz w:val="28"/>
          <w:szCs w:val="28"/>
        </w:rPr>
      </w:pPr>
    </w:p>
    <w:p w:rsidR="004D057C" w:rsidRPr="00577593" w:rsidRDefault="004D057C" w:rsidP="002000D4">
      <w:pPr>
        <w:spacing w:after="0" w:line="240" w:lineRule="auto"/>
        <w:contextualSpacing/>
        <w:jc w:val="both"/>
        <w:rPr>
          <w:rFonts w:ascii="Times New Roman" w:hAnsi="Times New Roman"/>
          <w:sz w:val="28"/>
          <w:szCs w:val="28"/>
        </w:rPr>
      </w:pPr>
      <w:r w:rsidRPr="00577593">
        <w:rPr>
          <w:rFonts w:ascii="Times New Roman" w:hAnsi="Times New Roman"/>
          <w:sz w:val="28"/>
          <w:szCs w:val="28"/>
        </w:rPr>
        <w:t xml:space="preserve">Таблица </w:t>
      </w:r>
      <w:r w:rsidR="00074AE5" w:rsidRPr="00577593">
        <w:rPr>
          <w:rFonts w:ascii="Times New Roman" w:hAnsi="Times New Roman"/>
          <w:sz w:val="28"/>
          <w:szCs w:val="28"/>
        </w:rPr>
        <w:fldChar w:fldCharType="begin"/>
      </w:r>
      <w:r w:rsidRPr="00577593">
        <w:rPr>
          <w:rFonts w:ascii="Times New Roman" w:hAnsi="Times New Roman"/>
          <w:sz w:val="28"/>
          <w:szCs w:val="28"/>
        </w:rPr>
        <w:instrText xml:space="preserve"> SEQ Таблица \* ARABIC </w:instrText>
      </w:r>
      <w:r w:rsidR="00074AE5" w:rsidRPr="00577593">
        <w:rPr>
          <w:rFonts w:ascii="Times New Roman" w:hAnsi="Times New Roman"/>
          <w:sz w:val="28"/>
          <w:szCs w:val="28"/>
        </w:rPr>
        <w:fldChar w:fldCharType="separate"/>
      </w:r>
      <w:r w:rsidR="00071499">
        <w:rPr>
          <w:rFonts w:ascii="Times New Roman" w:hAnsi="Times New Roman"/>
          <w:noProof/>
          <w:sz w:val="28"/>
          <w:szCs w:val="28"/>
        </w:rPr>
        <w:t>11</w:t>
      </w:r>
      <w:r w:rsidR="00074AE5" w:rsidRPr="00577593">
        <w:rPr>
          <w:rFonts w:ascii="Times New Roman" w:hAnsi="Times New Roman"/>
          <w:sz w:val="28"/>
          <w:szCs w:val="28"/>
        </w:rPr>
        <w:fldChar w:fldCharType="end"/>
      </w:r>
      <w:r w:rsidRPr="00577593">
        <w:rPr>
          <w:rFonts w:ascii="Times New Roman" w:hAnsi="Times New Roman"/>
          <w:sz w:val="28"/>
          <w:szCs w:val="28"/>
        </w:rPr>
        <w:t xml:space="preserve"> – Динамика показателей, характеризующих состояние коммунальной инфраструктуры в 2015-2024 годы</w:t>
      </w:r>
    </w:p>
    <w:tbl>
      <w:tblPr>
        <w:tblW w:w="9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62" w:type="dxa"/>
          <w:right w:w="62" w:type="dxa"/>
        </w:tblCellMar>
        <w:tblLook w:val="04A0" w:firstRow="1" w:lastRow="0" w:firstColumn="1" w:lastColumn="0" w:noHBand="0" w:noVBand="1"/>
      </w:tblPr>
      <w:tblGrid>
        <w:gridCol w:w="2330"/>
        <w:gridCol w:w="711"/>
        <w:gridCol w:w="707"/>
        <w:gridCol w:w="709"/>
        <w:gridCol w:w="708"/>
        <w:gridCol w:w="709"/>
        <w:gridCol w:w="709"/>
        <w:gridCol w:w="709"/>
        <w:gridCol w:w="712"/>
        <w:gridCol w:w="705"/>
        <w:gridCol w:w="709"/>
      </w:tblGrid>
      <w:tr w:rsidR="002C3F8D" w:rsidRPr="00577593" w:rsidTr="002C3F8D">
        <w:trPr>
          <w:tblHeader/>
        </w:trPr>
        <w:tc>
          <w:tcPr>
            <w:tcW w:w="2330" w:type="dxa"/>
            <w:vAlign w:val="center"/>
          </w:tcPr>
          <w:p w:rsidR="004D057C" w:rsidRPr="00577593" w:rsidRDefault="004C2C64" w:rsidP="002000D4">
            <w:pPr>
              <w:pStyle w:val="ConsPlusNormal"/>
              <w:tabs>
                <w:tab w:val="left" w:pos="667"/>
                <w:tab w:val="center" w:pos="827"/>
              </w:tabs>
              <w:rPr>
                <w:rFonts w:ascii="Times New Roman" w:hAnsi="Times New Roman" w:cs="Times New Roman"/>
                <w:sz w:val="18"/>
                <w:szCs w:val="18"/>
              </w:rPr>
            </w:pPr>
            <w:r w:rsidRPr="00577593">
              <w:rPr>
                <w:rFonts w:ascii="Times New Roman" w:hAnsi="Times New Roman" w:cs="Times New Roman"/>
                <w:sz w:val="18"/>
                <w:szCs w:val="18"/>
              </w:rPr>
              <w:t>Показатель</w:t>
            </w:r>
          </w:p>
        </w:tc>
        <w:tc>
          <w:tcPr>
            <w:tcW w:w="711" w:type="dxa"/>
            <w:vAlign w:val="center"/>
          </w:tcPr>
          <w:p w:rsidR="004D057C" w:rsidRPr="00577593" w:rsidRDefault="004D057C" w:rsidP="002000D4">
            <w:pPr>
              <w:pStyle w:val="ConsPlusNormal"/>
              <w:jc w:val="center"/>
              <w:rPr>
                <w:rFonts w:ascii="Times New Roman" w:hAnsi="Times New Roman" w:cs="Times New Roman"/>
                <w:sz w:val="18"/>
                <w:szCs w:val="18"/>
              </w:rPr>
            </w:pPr>
            <w:r w:rsidRPr="00577593">
              <w:rPr>
                <w:rFonts w:ascii="Times New Roman" w:hAnsi="Times New Roman" w:cs="Times New Roman"/>
                <w:sz w:val="18"/>
                <w:szCs w:val="18"/>
              </w:rPr>
              <w:t>2015  г.</w:t>
            </w:r>
          </w:p>
        </w:tc>
        <w:tc>
          <w:tcPr>
            <w:tcW w:w="707" w:type="dxa"/>
            <w:vAlign w:val="center"/>
          </w:tcPr>
          <w:p w:rsidR="004D057C" w:rsidRPr="00577593" w:rsidRDefault="004D057C" w:rsidP="002000D4">
            <w:pPr>
              <w:pStyle w:val="ConsPlusNormal"/>
              <w:jc w:val="center"/>
              <w:rPr>
                <w:rFonts w:ascii="Times New Roman" w:hAnsi="Times New Roman" w:cs="Times New Roman"/>
                <w:sz w:val="18"/>
                <w:szCs w:val="18"/>
              </w:rPr>
            </w:pPr>
            <w:r w:rsidRPr="00577593">
              <w:rPr>
                <w:rFonts w:ascii="Times New Roman" w:hAnsi="Times New Roman" w:cs="Times New Roman"/>
                <w:sz w:val="18"/>
                <w:szCs w:val="18"/>
              </w:rPr>
              <w:t>2016 г.</w:t>
            </w:r>
          </w:p>
        </w:tc>
        <w:tc>
          <w:tcPr>
            <w:tcW w:w="709" w:type="dxa"/>
            <w:vAlign w:val="center"/>
          </w:tcPr>
          <w:p w:rsidR="004D057C" w:rsidRPr="00577593" w:rsidRDefault="004D057C" w:rsidP="002000D4">
            <w:pPr>
              <w:pStyle w:val="ConsPlusNormal"/>
              <w:jc w:val="center"/>
              <w:rPr>
                <w:rFonts w:ascii="Times New Roman" w:hAnsi="Times New Roman" w:cs="Times New Roman"/>
                <w:sz w:val="18"/>
                <w:szCs w:val="18"/>
              </w:rPr>
            </w:pPr>
            <w:r w:rsidRPr="00577593">
              <w:rPr>
                <w:rFonts w:ascii="Times New Roman" w:hAnsi="Times New Roman" w:cs="Times New Roman"/>
                <w:sz w:val="18"/>
                <w:szCs w:val="18"/>
              </w:rPr>
              <w:t xml:space="preserve">2017 г. </w:t>
            </w:r>
          </w:p>
        </w:tc>
        <w:tc>
          <w:tcPr>
            <w:tcW w:w="708" w:type="dxa"/>
            <w:vAlign w:val="center"/>
          </w:tcPr>
          <w:p w:rsidR="004D057C" w:rsidRPr="00577593" w:rsidRDefault="004D057C" w:rsidP="002000D4">
            <w:pPr>
              <w:pStyle w:val="ConsPlusNormal"/>
              <w:jc w:val="center"/>
              <w:rPr>
                <w:rFonts w:ascii="Times New Roman" w:hAnsi="Times New Roman" w:cs="Times New Roman"/>
                <w:sz w:val="18"/>
                <w:szCs w:val="18"/>
              </w:rPr>
            </w:pPr>
            <w:r w:rsidRPr="00577593">
              <w:rPr>
                <w:rFonts w:ascii="Times New Roman" w:hAnsi="Times New Roman" w:cs="Times New Roman"/>
                <w:sz w:val="18"/>
                <w:szCs w:val="18"/>
              </w:rPr>
              <w:t>2018 г.</w:t>
            </w:r>
          </w:p>
        </w:tc>
        <w:tc>
          <w:tcPr>
            <w:tcW w:w="709" w:type="dxa"/>
            <w:vAlign w:val="center"/>
          </w:tcPr>
          <w:p w:rsidR="004D057C" w:rsidRPr="00577593" w:rsidRDefault="004D057C" w:rsidP="002000D4">
            <w:pPr>
              <w:pStyle w:val="ConsPlusNormal"/>
              <w:jc w:val="center"/>
              <w:rPr>
                <w:rFonts w:ascii="Times New Roman" w:hAnsi="Times New Roman" w:cs="Times New Roman"/>
                <w:sz w:val="18"/>
                <w:szCs w:val="18"/>
              </w:rPr>
            </w:pPr>
            <w:r w:rsidRPr="00577593">
              <w:rPr>
                <w:rFonts w:ascii="Times New Roman" w:hAnsi="Times New Roman" w:cs="Times New Roman"/>
                <w:sz w:val="18"/>
                <w:szCs w:val="18"/>
              </w:rPr>
              <w:t>2019 г.</w:t>
            </w:r>
          </w:p>
        </w:tc>
        <w:tc>
          <w:tcPr>
            <w:tcW w:w="709" w:type="dxa"/>
            <w:vAlign w:val="center"/>
          </w:tcPr>
          <w:p w:rsidR="004D057C" w:rsidRPr="00577593" w:rsidRDefault="004D057C" w:rsidP="002000D4">
            <w:pPr>
              <w:pStyle w:val="ConsPlusNormal"/>
              <w:jc w:val="center"/>
              <w:rPr>
                <w:rFonts w:ascii="Times New Roman" w:hAnsi="Times New Roman" w:cs="Times New Roman"/>
                <w:sz w:val="18"/>
                <w:szCs w:val="18"/>
              </w:rPr>
            </w:pPr>
            <w:r w:rsidRPr="00577593">
              <w:rPr>
                <w:rFonts w:ascii="Times New Roman" w:hAnsi="Times New Roman" w:cs="Times New Roman"/>
                <w:sz w:val="18"/>
                <w:szCs w:val="18"/>
              </w:rPr>
              <w:t>2020 г.</w:t>
            </w:r>
          </w:p>
        </w:tc>
        <w:tc>
          <w:tcPr>
            <w:tcW w:w="709" w:type="dxa"/>
            <w:vAlign w:val="center"/>
          </w:tcPr>
          <w:p w:rsidR="004D057C" w:rsidRPr="00577593" w:rsidRDefault="004D057C" w:rsidP="002000D4">
            <w:pPr>
              <w:pStyle w:val="ConsPlusNormal"/>
              <w:jc w:val="center"/>
              <w:rPr>
                <w:rFonts w:ascii="Times New Roman" w:hAnsi="Times New Roman" w:cs="Times New Roman"/>
                <w:sz w:val="18"/>
                <w:szCs w:val="18"/>
              </w:rPr>
            </w:pPr>
            <w:r w:rsidRPr="00577593">
              <w:rPr>
                <w:rFonts w:ascii="Times New Roman" w:hAnsi="Times New Roman" w:cs="Times New Roman"/>
                <w:sz w:val="18"/>
                <w:szCs w:val="18"/>
              </w:rPr>
              <w:t>2021 г.</w:t>
            </w:r>
          </w:p>
        </w:tc>
        <w:tc>
          <w:tcPr>
            <w:tcW w:w="712" w:type="dxa"/>
            <w:vAlign w:val="center"/>
          </w:tcPr>
          <w:p w:rsidR="004D057C" w:rsidRPr="00577593" w:rsidRDefault="004D057C" w:rsidP="002000D4">
            <w:pPr>
              <w:pStyle w:val="ConsPlusNormal"/>
              <w:jc w:val="center"/>
              <w:rPr>
                <w:rFonts w:ascii="Times New Roman" w:hAnsi="Times New Roman" w:cs="Times New Roman"/>
                <w:sz w:val="18"/>
                <w:szCs w:val="18"/>
              </w:rPr>
            </w:pPr>
            <w:r w:rsidRPr="00577593">
              <w:rPr>
                <w:rFonts w:ascii="Times New Roman" w:hAnsi="Times New Roman" w:cs="Times New Roman"/>
                <w:sz w:val="18"/>
                <w:szCs w:val="18"/>
              </w:rPr>
              <w:t>2022 г.</w:t>
            </w:r>
          </w:p>
        </w:tc>
        <w:tc>
          <w:tcPr>
            <w:tcW w:w="705" w:type="dxa"/>
            <w:vAlign w:val="center"/>
          </w:tcPr>
          <w:p w:rsidR="004D057C" w:rsidRPr="00577593" w:rsidRDefault="004D057C" w:rsidP="002000D4">
            <w:pPr>
              <w:pStyle w:val="ConsPlusNormal"/>
              <w:jc w:val="center"/>
              <w:rPr>
                <w:rFonts w:ascii="Times New Roman" w:hAnsi="Times New Roman" w:cs="Times New Roman"/>
                <w:sz w:val="18"/>
                <w:szCs w:val="18"/>
              </w:rPr>
            </w:pPr>
            <w:r w:rsidRPr="00577593">
              <w:rPr>
                <w:rFonts w:ascii="Times New Roman" w:hAnsi="Times New Roman" w:cs="Times New Roman"/>
                <w:sz w:val="18"/>
                <w:szCs w:val="18"/>
              </w:rPr>
              <w:t>2023 г.</w:t>
            </w:r>
          </w:p>
        </w:tc>
        <w:tc>
          <w:tcPr>
            <w:tcW w:w="709" w:type="dxa"/>
          </w:tcPr>
          <w:p w:rsidR="002C3F8D" w:rsidRPr="00577593" w:rsidRDefault="002C3F8D" w:rsidP="002000D4">
            <w:pPr>
              <w:pStyle w:val="ConsPlusNormal"/>
              <w:jc w:val="center"/>
              <w:rPr>
                <w:rFonts w:ascii="Times New Roman" w:hAnsi="Times New Roman" w:cs="Times New Roman"/>
                <w:sz w:val="18"/>
                <w:szCs w:val="18"/>
              </w:rPr>
            </w:pPr>
          </w:p>
          <w:p w:rsidR="004D057C" w:rsidRPr="00577593" w:rsidRDefault="004D057C" w:rsidP="002000D4">
            <w:pPr>
              <w:pStyle w:val="ConsPlusNormal"/>
              <w:jc w:val="center"/>
              <w:rPr>
                <w:rFonts w:ascii="Times New Roman" w:hAnsi="Times New Roman" w:cs="Times New Roman"/>
                <w:sz w:val="18"/>
                <w:szCs w:val="18"/>
              </w:rPr>
            </w:pPr>
            <w:r w:rsidRPr="00577593">
              <w:rPr>
                <w:rFonts w:ascii="Times New Roman" w:hAnsi="Times New Roman" w:cs="Times New Roman"/>
                <w:sz w:val="18"/>
                <w:szCs w:val="18"/>
              </w:rPr>
              <w:t>2024</w:t>
            </w:r>
            <w:r w:rsidR="002C3F8D" w:rsidRPr="00577593">
              <w:rPr>
                <w:rFonts w:ascii="Times New Roman" w:hAnsi="Times New Roman" w:cs="Times New Roman"/>
                <w:sz w:val="18"/>
                <w:szCs w:val="18"/>
              </w:rPr>
              <w:t xml:space="preserve"> </w:t>
            </w:r>
            <w:r w:rsidRPr="00577593">
              <w:rPr>
                <w:rFonts w:ascii="Times New Roman" w:hAnsi="Times New Roman" w:cs="Times New Roman"/>
                <w:sz w:val="18"/>
                <w:szCs w:val="18"/>
              </w:rPr>
              <w:t>г.</w:t>
            </w:r>
          </w:p>
          <w:p w:rsidR="002C3F8D" w:rsidRPr="00577593" w:rsidRDefault="002C3F8D" w:rsidP="002000D4">
            <w:pPr>
              <w:pStyle w:val="ConsPlusNormal"/>
              <w:jc w:val="center"/>
              <w:rPr>
                <w:rFonts w:ascii="Times New Roman" w:hAnsi="Times New Roman" w:cs="Times New Roman"/>
                <w:sz w:val="18"/>
                <w:szCs w:val="18"/>
              </w:rPr>
            </w:pPr>
          </w:p>
        </w:tc>
      </w:tr>
      <w:tr w:rsidR="002C3F8D" w:rsidRPr="00577593" w:rsidTr="00340A21">
        <w:tc>
          <w:tcPr>
            <w:tcW w:w="2330" w:type="dxa"/>
          </w:tcPr>
          <w:p w:rsidR="004D057C" w:rsidRPr="00577593" w:rsidRDefault="004D057C" w:rsidP="002000D4">
            <w:pPr>
              <w:pStyle w:val="ConsPlusNormal"/>
              <w:rPr>
                <w:rFonts w:ascii="Times New Roman" w:hAnsi="Times New Roman" w:cs="Times New Roman"/>
                <w:sz w:val="18"/>
                <w:szCs w:val="18"/>
              </w:rPr>
            </w:pPr>
            <w:r w:rsidRPr="00577593">
              <w:rPr>
                <w:rFonts w:ascii="Times New Roman" w:hAnsi="Times New Roman" w:cs="Times New Roman"/>
                <w:sz w:val="18"/>
                <w:szCs w:val="18"/>
              </w:rPr>
              <w:t>Доля источников водоснабжения пригородной зоны города Барнаула, на которых получены пробы питьевой воды, не соответствующие установленным требованиям по содержанию железа и марганца, %</w:t>
            </w:r>
          </w:p>
        </w:tc>
        <w:tc>
          <w:tcPr>
            <w:tcW w:w="711" w:type="dxa"/>
            <w:vAlign w:val="center"/>
          </w:tcPr>
          <w:p w:rsidR="004D057C" w:rsidRPr="00577593" w:rsidRDefault="004D057C" w:rsidP="002000D4">
            <w:pPr>
              <w:pStyle w:val="ConsPlusNormal"/>
              <w:jc w:val="center"/>
              <w:rPr>
                <w:rFonts w:ascii="Times New Roman" w:hAnsi="Times New Roman" w:cs="Times New Roman"/>
                <w:sz w:val="18"/>
                <w:szCs w:val="18"/>
              </w:rPr>
            </w:pPr>
            <w:r w:rsidRPr="00577593">
              <w:rPr>
                <w:rFonts w:ascii="Times New Roman" w:hAnsi="Times New Roman" w:cs="Times New Roman"/>
                <w:sz w:val="18"/>
                <w:szCs w:val="18"/>
              </w:rPr>
              <w:t>97,82</w:t>
            </w:r>
          </w:p>
        </w:tc>
        <w:tc>
          <w:tcPr>
            <w:tcW w:w="707" w:type="dxa"/>
            <w:vAlign w:val="center"/>
          </w:tcPr>
          <w:p w:rsidR="004D057C" w:rsidRPr="00577593" w:rsidRDefault="004D057C" w:rsidP="002000D4">
            <w:pPr>
              <w:pStyle w:val="ConsPlusNormal"/>
              <w:jc w:val="center"/>
              <w:rPr>
                <w:rFonts w:ascii="Times New Roman" w:hAnsi="Times New Roman" w:cs="Times New Roman"/>
                <w:sz w:val="18"/>
                <w:szCs w:val="18"/>
              </w:rPr>
            </w:pPr>
            <w:r w:rsidRPr="00577593">
              <w:rPr>
                <w:rFonts w:ascii="Times New Roman" w:hAnsi="Times New Roman" w:cs="Times New Roman"/>
                <w:sz w:val="18"/>
                <w:szCs w:val="18"/>
              </w:rPr>
              <w:t>95,65</w:t>
            </w:r>
          </w:p>
        </w:tc>
        <w:tc>
          <w:tcPr>
            <w:tcW w:w="709" w:type="dxa"/>
            <w:vAlign w:val="center"/>
          </w:tcPr>
          <w:p w:rsidR="004D057C" w:rsidRPr="00577593" w:rsidRDefault="004D057C" w:rsidP="002000D4">
            <w:pPr>
              <w:pStyle w:val="ConsPlusNormal"/>
              <w:jc w:val="center"/>
              <w:rPr>
                <w:rFonts w:ascii="Times New Roman" w:hAnsi="Times New Roman" w:cs="Times New Roman"/>
                <w:sz w:val="18"/>
                <w:szCs w:val="18"/>
              </w:rPr>
            </w:pPr>
            <w:r w:rsidRPr="00577593">
              <w:rPr>
                <w:rFonts w:ascii="Times New Roman" w:hAnsi="Times New Roman" w:cs="Times New Roman"/>
                <w:sz w:val="18"/>
                <w:szCs w:val="18"/>
              </w:rPr>
              <w:t>93,47</w:t>
            </w:r>
          </w:p>
        </w:tc>
        <w:tc>
          <w:tcPr>
            <w:tcW w:w="708" w:type="dxa"/>
            <w:vAlign w:val="center"/>
          </w:tcPr>
          <w:p w:rsidR="004D057C" w:rsidRPr="00577593" w:rsidRDefault="004D057C" w:rsidP="002000D4">
            <w:pPr>
              <w:pStyle w:val="ConsPlusNormal"/>
              <w:jc w:val="center"/>
              <w:rPr>
                <w:rFonts w:ascii="Times New Roman" w:hAnsi="Times New Roman" w:cs="Times New Roman"/>
                <w:sz w:val="18"/>
                <w:szCs w:val="18"/>
              </w:rPr>
            </w:pPr>
            <w:r w:rsidRPr="00577593">
              <w:rPr>
                <w:rFonts w:ascii="Times New Roman" w:hAnsi="Times New Roman" w:cs="Times New Roman"/>
                <w:sz w:val="18"/>
                <w:szCs w:val="18"/>
              </w:rPr>
              <w:t>89,13</w:t>
            </w:r>
          </w:p>
        </w:tc>
        <w:tc>
          <w:tcPr>
            <w:tcW w:w="709" w:type="dxa"/>
            <w:vAlign w:val="center"/>
          </w:tcPr>
          <w:p w:rsidR="004D057C" w:rsidRPr="00577593" w:rsidRDefault="004D057C" w:rsidP="002000D4">
            <w:pPr>
              <w:pStyle w:val="ConsPlusNormal"/>
              <w:jc w:val="center"/>
              <w:rPr>
                <w:rFonts w:ascii="Times New Roman" w:hAnsi="Times New Roman" w:cs="Times New Roman"/>
                <w:sz w:val="18"/>
                <w:szCs w:val="18"/>
              </w:rPr>
            </w:pPr>
            <w:r w:rsidRPr="00577593">
              <w:rPr>
                <w:rFonts w:ascii="Times New Roman" w:hAnsi="Times New Roman" w:cs="Times New Roman"/>
                <w:sz w:val="18"/>
                <w:szCs w:val="18"/>
              </w:rPr>
              <w:t>84,62</w:t>
            </w:r>
          </w:p>
        </w:tc>
        <w:tc>
          <w:tcPr>
            <w:tcW w:w="709" w:type="dxa"/>
            <w:vAlign w:val="center"/>
          </w:tcPr>
          <w:p w:rsidR="004D057C" w:rsidRPr="00577593" w:rsidRDefault="004D057C" w:rsidP="002000D4">
            <w:pPr>
              <w:pStyle w:val="ConsPlusNormal"/>
              <w:jc w:val="center"/>
              <w:rPr>
                <w:rFonts w:ascii="Times New Roman" w:hAnsi="Times New Roman" w:cs="Times New Roman"/>
                <w:sz w:val="18"/>
                <w:szCs w:val="18"/>
              </w:rPr>
            </w:pPr>
            <w:r w:rsidRPr="00577593">
              <w:rPr>
                <w:rFonts w:ascii="Times New Roman" w:hAnsi="Times New Roman" w:cs="Times New Roman"/>
                <w:sz w:val="18"/>
                <w:szCs w:val="18"/>
              </w:rPr>
              <w:t>88,46</w:t>
            </w:r>
          </w:p>
        </w:tc>
        <w:tc>
          <w:tcPr>
            <w:tcW w:w="709" w:type="dxa"/>
            <w:vAlign w:val="center"/>
          </w:tcPr>
          <w:p w:rsidR="004D057C" w:rsidRPr="00577593" w:rsidRDefault="004D057C" w:rsidP="002000D4">
            <w:pPr>
              <w:pStyle w:val="ConsPlusNormal"/>
              <w:jc w:val="center"/>
              <w:rPr>
                <w:rFonts w:ascii="Times New Roman" w:hAnsi="Times New Roman" w:cs="Times New Roman"/>
                <w:sz w:val="18"/>
                <w:szCs w:val="18"/>
              </w:rPr>
            </w:pPr>
            <w:r w:rsidRPr="00577593">
              <w:rPr>
                <w:rFonts w:ascii="Times New Roman" w:hAnsi="Times New Roman" w:cs="Times New Roman"/>
                <w:sz w:val="18"/>
                <w:szCs w:val="18"/>
              </w:rPr>
              <w:t>86,54</w:t>
            </w:r>
          </w:p>
        </w:tc>
        <w:tc>
          <w:tcPr>
            <w:tcW w:w="712" w:type="dxa"/>
            <w:vAlign w:val="center"/>
          </w:tcPr>
          <w:p w:rsidR="004D057C" w:rsidRPr="00577593" w:rsidRDefault="004D057C" w:rsidP="002000D4">
            <w:pPr>
              <w:pStyle w:val="ConsPlusNormal"/>
              <w:jc w:val="center"/>
              <w:rPr>
                <w:rFonts w:ascii="Times New Roman" w:hAnsi="Times New Roman" w:cs="Times New Roman"/>
                <w:sz w:val="18"/>
                <w:szCs w:val="18"/>
              </w:rPr>
            </w:pPr>
            <w:r w:rsidRPr="00577593">
              <w:rPr>
                <w:rFonts w:ascii="Times New Roman" w:hAnsi="Times New Roman" w:cs="Times New Roman"/>
                <w:sz w:val="18"/>
                <w:szCs w:val="18"/>
              </w:rPr>
              <w:t>84,62</w:t>
            </w:r>
          </w:p>
        </w:tc>
        <w:tc>
          <w:tcPr>
            <w:tcW w:w="705" w:type="dxa"/>
            <w:vAlign w:val="center"/>
          </w:tcPr>
          <w:p w:rsidR="004D057C" w:rsidRPr="00577593" w:rsidRDefault="004D057C" w:rsidP="002000D4">
            <w:pPr>
              <w:pStyle w:val="ConsPlusNormal"/>
              <w:jc w:val="center"/>
              <w:rPr>
                <w:rFonts w:ascii="Times New Roman" w:hAnsi="Times New Roman" w:cs="Times New Roman"/>
                <w:sz w:val="18"/>
                <w:szCs w:val="18"/>
              </w:rPr>
            </w:pPr>
            <w:r w:rsidRPr="00577593">
              <w:rPr>
                <w:rFonts w:ascii="Times New Roman" w:hAnsi="Times New Roman" w:cs="Times New Roman"/>
                <w:sz w:val="18"/>
                <w:szCs w:val="18"/>
              </w:rPr>
              <w:t>82,69</w:t>
            </w:r>
          </w:p>
        </w:tc>
        <w:tc>
          <w:tcPr>
            <w:tcW w:w="709" w:type="dxa"/>
            <w:vAlign w:val="center"/>
          </w:tcPr>
          <w:p w:rsidR="004D057C" w:rsidRPr="00577593" w:rsidRDefault="004D057C" w:rsidP="002000D4">
            <w:pPr>
              <w:pStyle w:val="ConsPlusNormal"/>
              <w:jc w:val="center"/>
              <w:rPr>
                <w:rFonts w:ascii="Times New Roman" w:hAnsi="Times New Roman" w:cs="Times New Roman"/>
                <w:sz w:val="18"/>
                <w:szCs w:val="18"/>
              </w:rPr>
            </w:pPr>
            <w:r w:rsidRPr="00577593">
              <w:rPr>
                <w:rFonts w:ascii="Times New Roman" w:hAnsi="Times New Roman" w:cs="Times New Roman"/>
                <w:sz w:val="18"/>
                <w:szCs w:val="18"/>
              </w:rPr>
              <w:t>80,77</w:t>
            </w:r>
          </w:p>
        </w:tc>
      </w:tr>
      <w:tr w:rsidR="002C3F8D" w:rsidRPr="00577593" w:rsidTr="00340A21">
        <w:tc>
          <w:tcPr>
            <w:tcW w:w="2330" w:type="dxa"/>
          </w:tcPr>
          <w:p w:rsidR="004D057C" w:rsidRPr="00577593" w:rsidRDefault="004D057C" w:rsidP="002000D4">
            <w:pPr>
              <w:pStyle w:val="ConsPlusNormal"/>
              <w:rPr>
                <w:rFonts w:ascii="Times New Roman" w:hAnsi="Times New Roman" w:cs="Times New Roman"/>
                <w:sz w:val="18"/>
                <w:szCs w:val="18"/>
              </w:rPr>
            </w:pPr>
            <w:r w:rsidRPr="00577593">
              <w:rPr>
                <w:rFonts w:ascii="Times New Roman" w:hAnsi="Times New Roman" w:cs="Times New Roman"/>
                <w:sz w:val="18"/>
                <w:szCs w:val="18"/>
              </w:rPr>
              <w:t>Доля населения пригородной зоны городского округа - города Барнаула Алтайского края, обеспеченного качественной питьевой водой из систем централизованного водоснабжения, %</w:t>
            </w:r>
          </w:p>
        </w:tc>
        <w:tc>
          <w:tcPr>
            <w:tcW w:w="711" w:type="dxa"/>
            <w:vAlign w:val="center"/>
          </w:tcPr>
          <w:p w:rsidR="004D057C" w:rsidRPr="00577593" w:rsidRDefault="004D057C" w:rsidP="002000D4">
            <w:pPr>
              <w:pStyle w:val="ConsPlusNormal"/>
              <w:jc w:val="center"/>
              <w:rPr>
                <w:rFonts w:ascii="Times New Roman" w:hAnsi="Times New Roman" w:cs="Times New Roman"/>
                <w:sz w:val="18"/>
                <w:szCs w:val="18"/>
              </w:rPr>
            </w:pPr>
            <w:r w:rsidRPr="00577593">
              <w:rPr>
                <w:rFonts w:ascii="Times New Roman" w:hAnsi="Times New Roman" w:cs="Times New Roman"/>
                <w:sz w:val="18"/>
                <w:szCs w:val="18"/>
              </w:rPr>
              <w:t>-</w:t>
            </w:r>
          </w:p>
        </w:tc>
        <w:tc>
          <w:tcPr>
            <w:tcW w:w="707" w:type="dxa"/>
            <w:vAlign w:val="center"/>
          </w:tcPr>
          <w:p w:rsidR="004D057C" w:rsidRPr="00577593" w:rsidRDefault="004D057C" w:rsidP="002000D4">
            <w:pPr>
              <w:pStyle w:val="ConsPlusNormal"/>
              <w:jc w:val="center"/>
              <w:rPr>
                <w:rFonts w:ascii="Times New Roman" w:hAnsi="Times New Roman" w:cs="Times New Roman"/>
                <w:sz w:val="18"/>
                <w:szCs w:val="18"/>
              </w:rPr>
            </w:pPr>
            <w:r w:rsidRPr="00577593">
              <w:rPr>
                <w:rFonts w:ascii="Times New Roman" w:hAnsi="Times New Roman" w:cs="Times New Roman"/>
                <w:sz w:val="18"/>
                <w:szCs w:val="18"/>
              </w:rPr>
              <w:t>-</w:t>
            </w:r>
          </w:p>
        </w:tc>
        <w:tc>
          <w:tcPr>
            <w:tcW w:w="709" w:type="dxa"/>
            <w:vAlign w:val="center"/>
          </w:tcPr>
          <w:p w:rsidR="004D057C" w:rsidRPr="00577593" w:rsidRDefault="004D057C" w:rsidP="002000D4">
            <w:pPr>
              <w:pStyle w:val="ConsPlusNormal"/>
              <w:jc w:val="center"/>
              <w:rPr>
                <w:rFonts w:ascii="Times New Roman" w:hAnsi="Times New Roman" w:cs="Times New Roman"/>
                <w:sz w:val="18"/>
                <w:szCs w:val="18"/>
              </w:rPr>
            </w:pPr>
            <w:r w:rsidRPr="00577593">
              <w:rPr>
                <w:rFonts w:ascii="Times New Roman" w:hAnsi="Times New Roman" w:cs="Times New Roman"/>
                <w:sz w:val="18"/>
                <w:szCs w:val="18"/>
              </w:rPr>
              <w:t>-</w:t>
            </w:r>
          </w:p>
        </w:tc>
        <w:tc>
          <w:tcPr>
            <w:tcW w:w="708" w:type="dxa"/>
            <w:vAlign w:val="center"/>
          </w:tcPr>
          <w:p w:rsidR="004D057C" w:rsidRPr="00577593" w:rsidRDefault="004D057C" w:rsidP="002000D4">
            <w:pPr>
              <w:pStyle w:val="ConsPlusNormal"/>
              <w:jc w:val="center"/>
              <w:rPr>
                <w:rFonts w:ascii="Times New Roman" w:hAnsi="Times New Roman" w:cs="Times New Roman"/>
                <w:sz w:val="18"/>
                <w:szCs w:val="18"/>
              </w:rPr>
            </w:pPr>
            <w:r w:rsidRPr="00577593">
              <w:rPr>
                <w:rFonts w:ascii="Times New Roman" w:hAnsi="Times New Roman" w:cs="Times New Roman"/>
                <w:sz w:val="18"/>
                <w:szCs w:val="18"/>
              </w:rPr>
              <w:t>-</w:t>
            </w:r>
          </w:p>
        </w:tc>
        <w:tc>
          <w:tcPr>
            <w:tcW w:w="709" w:type="dxa"/>
            <w:vAlign w:val="center"/>
          </w:tcPr>
          <w:p w:rsidR="004D057C" w:rsidRPr="00577593" w:rsidRDefault="004D057C" w:rsidP="002000D4">
            <w:pPr>
              <w:pStyle w:val="ConsPlusNormal"/>
              <w:jc w:val="center"/>
              <w:rPr>
                <w:rFonts w:ascii="Times New Roman" w:hAnsi="Times New Roman" w:cs="Times New Roman"/>
                <w:sz w:val="18"/>
                <w:szCs w:val="18"/>
              </w:rPr>
            </w:pPr>
            <w:r w:rsidRPr="00577593">
              <w:rPr>
                <w:rFonts w:ascii="Times New Roman" w:hAnsi="Times New Roman" w:cs="Times New Roman"/>
                <w:sz w:val="18"/>
                <w:szCs w:val="18"/>
              </w:rPr>
              <w:t>43,1</w:t>
            </w:r>
          </w:p>
        </w:tc>
        <w:tc>
          <w:tcPr>
            <w:tcW w:w="709" w:type="dxa"/>
            <w:vAlign w:val="center"/>
          </w:tcPr>
          <w:p w:rsidR="004D057C" w:rsidRPr="00577593" w:rsidRDefault="004D057C" w:rsidP="002000D4">
            <w:pPr>
              <w:pStyle w:val="ConsPlusNormal"/>
              <w:jc w:val="center"/>
              <w:rPr>
                <w:rFonts w:ascii="Times New Roman" w:hAnsi="Times New Roman" w:cs="Times New Roman"/>
                <w:sz w:val="18"/>
                <w:szCs w:val="18"/>
              </w:rPr>
            </w:pPr>
            <w:r w:rsidRPr="00577593">
              <w:rPr>
                <w:rFonts w:ascii="Times New Roman" w:hAnsi="Times New Roman" w:cs="Times New Roman"/>
                <w:sz w:val="18"/>
                <w:szCs w:val="18"/>
              </w:rPr>
              <w:t>н/д</w:t>
            </w:r>
          </w:p>
        </w:tc>
        <w:tc>
          <w:tcPr>
            <w:tcW w:w="709" w:type="dxa"/>
            <w:vAlign w:val="center"/>
          </w:tcPr>
          <w:p w:rsidR="004D057C" w:rsidRPr="00577593" w:rsidRDefault="004D057C" w:rsidP="002000D4">
            <w:pPr>
              <w:pStyle w:val="ConsPlusNormal"/>
              <w:jc w:val="center"/>
              <w:rPr>
                <w:rFonts w:ascii="Times New Roman" w:hAnsi="Times New Roman" w:cs="Times New Roman"/>
                <w:sz w:val="18"/>
                <w:szCs w:val="18"/>
              </w:rPr>
            </w:pPr>
            <w:r w:rsidRPr="00577593">
              <w:rPr>
                <w:rFonts w:ascii="Times New Roman" w:hAnsi="Times New Roman" w:cs="Times New Roman"/>
                <w:sz w:val="18"/>
                <w:szCs w:val="18"/>
              </w:rPr>
              <w:t>40,6</w:t>
            </w:r>
          </w:p>
        </w:tc>
        <w:tc>
          <w:tcPr>
            <w:tcW w:w="712" w:type="dxa"/>
            <w:vAlign w:val="center"/>
          </w:tcPr>
          <w:p w:rsidR="004D057C" w:rsidRPr="00577593" w:rsidRDefault="004D057C" w:rsidP="002000D4">
            <w:pPr>
              <w:pStyle w:val="ConsPlusNormal"/>
              <w:jc w:val="center"/>
              <w:rPr>
                <w:rFonts w:ascii="Times New Roman" w:hAnsi="Times New Roman" w:cs="Times New Roman"/>
                <w:sz w:val="18"/>
                <w:szCs w:val="18"/>
              </w:rPr>
            </w:pPr>
            <w:r w:rsidRPr="00577593">
              <w:rPr>
                <w:rFonts w:ascii="Times New Roman" w:hAnsi="Times New Roman" w:cs="Times New Roman"/>
                <w:sz w:val="18"/>
                <w:szCs w:val="18"/>
              </w:rPr>
              <w:t>43,1</w:t>
            </w:r>
          </w:p>
        </w:tc>
        <w:tc>
          <w:tcPr>
            <w:tcW w:w="705" w:type="dxa"/>
            <w:vAlign w:val="center"/>
          </w:tcPr>
          <w:p w:rsidR="004D057C" w:rsidRPr="00577593" w:rsidRDefault="004D057C" w:rsidP="002000D4">
            <w:pPr>
              <w:pStyle w:val="ConsPlusNormal"/>
              <w:jc w:val="center"/>
              <w:rPr>
                <w:rFonts w:ascii="Times New Roman" w:hAnsi="Times New Roman" w:cs="Times New Roman"/>
                <w:sz w:val="18"/>
                <w:szCs w:val="18"/>
              </w:rPr>
            </w:pPr>
            <w:r w:rsidRPr="00577593">
              <w:rPr>
                <w:rFonts w:ascii="Times New Roman" w:hAnsi="Times New Roman" w:cs="Times New Roman"/>
                <w:sz w:val="18"/>
                <w:szCs w:val="18"/>
              </w:rPr>
              <w:t>46,2</w:t>
            </w:r>
          </w:p>
        </w:tc>
        <w:tc>
          <w:tcPr>
            <w:tcW w:w="709" w:type="dxa"/>
            <w:vAlign w:val="center"/>
          </w:tcPr>
          <w:p w:rsidR="004D057C" w:rsidRPr="00577593" w:rsidRDefault="004D057C" w:rsidP="002000D4">
            <w:pPr>
              <w:pStyle w:val="ConsPlusNormal"/>
              <w:jc w:val="center"/>
              <w:rPr>
                <w:rFonts w:ascii="Times New Roman" w:hAnsi="Times New Roman" w:cs="Times New Roman"/>
                <w:sz w:val="18"/>
                <w:szCs w:val="18"/>
              </w:rPr>
            </w:pPr>
            <w:r w:rsidRPr="00577593">
              <w:rPr>
                <w:rFonts w:ascii="Times New Roman" w:hAnsi="Times New Roman" w:cs="Times New Roman"/>
                <w:sz w:val="18"/>
                <w:szCs w:val="18"/>
              </w:rPr>
              <w:t>62,3</w:t>
            </w:r>
          </w:p>
        </w:tc>
      </w:tr>
      <w:tr w:rsidR="002C3F8D" w:rsidRPr="00577593" w:rsidTr="00340A21">
        <w:tc>
          <w:tcPr>
            <w:tcW w:w="2330" w:type="dxa"/>
          </w:tcPr>
          <w:p w:rsidR="004D057C" w:rsidRPr="00577593" w:rsidRDefault="004D057C" w:rsidP="002000D4">
            <w:pPr>
              <w:pStyle w:val="ConsPlusNormal"/>
              <w:rPr>
                <w:rFonts w:ascii="Times New Roman" w:hAnsi="Times New Roman" w:cs="Times New Roman"/>
                <w:sz w:val="18"/>
                <w:szCs w:val="18"/>
              </w:rPr>
            </w:pPr>
            <w:r w:rsidRPr="00577593">
              <w:rPr>
                <w:rFonts w:ascii="Times New Roman" w:hAnsi="Times New Roman" w:cs="Times New Roman"/>
                <w:sz w:val="18"/>
                <w:szCs w:val="18"/>
              </w:rPr>
              <w:t>Протяженность отремонтированных линейных объектов инженерной инфраструктуры с учетом всех источников финансирования (км), в том числе:</w:t>
            </w:r>
          </w:p>
        </w:tc>
        <w:tc>
          <w:tcPr>
            <w:tcW w:w="711" w:type="dxa"/>
            <w:vAlign w:val="center"/>
          </w:tcPr>
          <w:p w:rsidR="004D057C" w:rsidRPr="00577593" w:rsidRDefault="004D057C" w:rsidP="002000D4">
            <w:pPr>
              <w:pStyle w:val="ConsPlusNormal"/>
              <w:jc w:val="center"/>
              <w:rPr>
                <w:rFonts w:ascii="Times New Roman" w:hAnsi="Times New Roman" w:cs="Times New Roman"/>
                <w:sz w:val="18"/>
                <w:szCs w:val="18"/>
              </w:rPr>
            </w:pPr>
            <w:r w:rsidRPr="00577593">
              <w:rPr>
                <w:rFonts w:ascii="Times New Roman" w:hAnsi="Times New Roman" w:cs="Times New Roman"/>
                <w:sz w:val="18"/>
                <w:szCs w:val="18"/>
              </w:rPr>
              <w:t>116,10</w:t>
            </w:r>
          </w:p>
        </w:tc>
        <w:tc>
          <w:tcPr>
            <w:tcW w:w="707" w:type="dxa"/>
            <w:vAlign w:val="center"/>
          </w:tcPr>
          <w:p w:rsidR="004D057C" w:rsidRPr="00577593" w:rsidRDefault="004D057C" w:rsidP="002000D4">
            <w:pPr>
              <w:pStyle w:val="ConsPlusNormal"/>
              <w:jc w:val="center"/>
              <w:rPr>
                <w:rFonts w:ascii="Times New Roman" w:hAnsi="Times New Roman" w:cs="Times New Roman"/>
                <w:sz w:val="18"/>
                <w:szCs w:val="18"/>
              </w:rPr>
            </w:pPr>
            <w:r w:rsidRPr="00577593">
              <w:rPr>
                <w:rFonts w:ascii="Times New Roman" w:hAnsi="Times New Roman" w:cs="Times New Roman"/>
                <w:sz w:val="18"/>
                <w:szCs w:val="18"/>
              </w:rPr>
              <w:t>103,90</w:t>
            </w:r>
          </w:p>
        </w:tc>
        <w:tc>
          <w:tcPr>
            <w:tcW w:w="709" w:type="dxa"/>
            <w:vAlign w:val="center"/>
          </w:tcPr>
          <w:p w:rsidR="004D057C" w:rsidRPr="00577593" w:rsidRDefault="004D057C" w:rsidP="002000D4">
            <w:pPr>
              <w:pStyle w:val="ConsPlusNormal"/>
              <w:jc w:val="center"/>
              <w:rPr>
                <w:rFonts w:ascii="Times New Roman" w:hAnsi="Times New Roman" w:cs="Times New Roman"/>
                <w:sz w:val="18"/>
                <w:szCs w:val="18"/>
              </w:rPr>
            </w:pPr>
            <w:r w:rsidRPr="00577593">
              <w:rPr>
                <w:rFonts w:ascii="Times New Roman" w:hAnsi="Times New Roman" w:cs="Times New Roman"/>
                <w:sz w:val="18"/>
                <w:szCs w:val="18"/>
              </w:rPr>
              <w:t>110,7</w:t>
            </w:r>
          </w:p>
        </w:tc>
        <w:tc>
          <w:tcPr>
            <w:tcW w:w="708" w:type="dxa"/>
            <w:vAlign w:val="center"/>
          </w:tcPr>
          <w:p w:rsidR="004D057C" w:rsidRPr="00577593" w:rsidRDefault="004D057C" w:rsidP="002000D4">
            <w:pPr>
              <w:spacing w:after="0" w:line="240" w:lineRule="auto"/>
              <w:jc w:val="center"/>
              <w:rPr>
                <w:rFonts w:ascii="Times New Roman" w:eastAsia="Times New Roman" w:hAnsi="Times New Roman"/>
                <w:sz w:val="18"/>
                <w:szCs w:val="18"/>
                <w:lang w:eastAsia="ru-RU"/>
              </w:rPr>
            </w:pPr>
            <w:r w:rsidRPr="00577593">
              <w:rPr>
                <w:rFonts w:ascii="Times New Roman" w:eastAsia="Times New Roman" w:hAnsi="Times New Roman"/>
                <w:sz w:val="18"/>
                <w:szCs w:val="18"/>
                <w:lang w:eastAsia="ru-RU"/>
              </w:rPr>
              <w:t>111,86</w:t>
            </w:r>
          </w:p>
        </w:tc>
        <w:tc>
          <w:tcPr>
            <w:tcW w:w="709" w:type="dxa"/>
            <w:vAlign w:val="center"/>
          </w:tcPr>
          <w:p w:rsidR="004D057C" w:rsidRPr="00577593" w:rsidRDefault="004D057C" w:rsidP="002000D4">
            <w:pPr>
              <w:spacing w:after="0" w:line="240" w:lineRule="auto"/>
              <w:jc w:val="center"/>
              <w:rPr>
                <w:rFonts w:ascii="Times New Roman" w:eastAsia="Times New Roman" w:hAnsi="Times New Roman"/>
                <w:sz w:val="18"/>
                <w:szCs w:val="18"/>
                <w:lang w:eastAsia="ru-RU"/>
              </w:rPr>
            </w:pPr>
            <w:r w:rsidRPr="00577593">
              <w:rPr>
                <w:rFonts w:ascii="Times New Roman" w:eastAsia="Times New Roman" w:hAnsi="Times New Roman"/>
                <w:sz w:val="18"/>
                <w:szCs w:val="18"/>
                <w:lang w:eastAsia="ru-RU"/>
              </w:rPr>
              <w:t>111,42</w:t>
            </w:r>
          </w:p>
        </w:tc>
        <w:tc>
          <w:tcPr>
            <w:tcW w:w="709" w:type="dxa"/>
            <w:vAlign w:val="center"/>
          </w:tcPr>
          <w:p w:rsidR="004D057C" w:rsidRPr="00577593" w:rsidRDefault="004D057C" w:rsidP="002000D4">
            <w:pPr>
              <w:spacing w:after="0" w:line="240" w:lineRule="auto"/>
              <w:jc w:val="center"/>
              <w:rPr>
                <w:rFonts w:ascii="Times New Roman" w:eastAsia="Times New Roman" w:hAnsi="Times New Roman"/>
                <w:sz w:val="18"/>
                <w:szCs w:val="18"/>
                <w:lang w:eastAsia="ru-RU"/>
              </w:rPr>
            </w:pPr>
            <w:r w:rsidRPr="00577593">
              <w:rPr>
                <w:rFonts w:ascii="Times New Roman" w:eastAsia="Times New Roman" w:hAnsi="Times New Roman"/>
                <w:sz w:val="18"/>
                <w:szCs w:val="18"/>
                <w:lang w:eastAsia="ru-RU"/>
              </w:rPr>
              <w:t>108,98</w:t>
            </w:r>
          </w:p>
        </w:tc>
        <w:tc>
          <w:tcPr>
            <w:tcW w:w="709" w:type="dxa"/>
            <w:vAlign w:val="center"/>
          </w:tcPr>
          <w:p w:rsidR="004D057C" w:rsidRPr="00577593" w:rsidRDefault="004D057C" w:rsidP="002000D4">
            <w:pPr>
              <w:spacing w:after="0" w:line="240" w:lineRule="auto"/>
              <w:jc w:val="center"/>
              <w:rPr>
                <w:rFonts w:ascii="Times New Roman" w:eastAsia="Times New Roman" w:hAnsi="Times New Roman"/>
                <w:sz w:val="18"/>
                <w:szCs w:val="18"/>
                <w:lang w:eastAsia="ru-RU"/>
              </w:rPr>
            </w:pPr>
            <w:r w:rsidRPr="00577593">
              <w:rPr>
                <w:rFonts w:ascii="Times New Roman" w:eastAsia="Times New Roman" w:hAnsi="Times New Roman"/>
                <w:sz w:val="18"/>
                <w:szCs w:val="18"/>
                <w:lang w:eastAsia="ru-RU"/>
              </w:rPr>
              <w:t>123,43</w:t>
            </w:r>
          </w:p>
        </w:tc>
        <w:tc>
          <w:tcPr>
            <w:tcW w:w="712" w:type="dxa"/>
            <w:vAlign w:val="center"/>
          </w:tcPr>
          <w:p w:rsidR="004D057C" w:rsidRPr="00577593" w:rsidRDefault="004D057C" w:rsidP="002000D4">
            <w:pPr>
              <w:spacing w:after="0" w:line="240" w:lineRule="auto"/>
              <w:jc w:val="center"/>
              <w:rPr>
                <w:rFonts w:ascii="Times New Roman" w:eastAsia="Times New Roman" w:hAnsi="Times New Roman"/>
                <w:sz w:val="18"/>
                <w:szCs w:val="18"/>
                <w:lang w:eastAsia="ru-RU"/>
              </w:rPr>
            </w:pPr>
            <w:r w:rsidRPr="00577593">
              <w:rPr>
                <w:rFonts w:ascii="Times New Roman" w:eastAsia="Times New Roman" w:hAnsi="Times New Roman"/>
                <w:sz w:val="18"/>
                <w:szCs w:val="18"/>
                <w:lang w:eastAsia="ru-RU"/>
              </w:rPr>
              <w:t>111,42</w:t>
            </w:r>
          </w:p>
        </w:tc>
        <w:tc>
          <w:tcPr>
            <w:tcW w:w="705" w:type="dxa"/>
            <w:vAlign w:val="center"/>
          </w:tcPr>
          <w:p w:rsidR="004D057C" w:rsidRPr="00577593" w:rsidRDefault="004D057C" w:rsidP="002000D4">
            <w:pPr>
              <w:spacing w:after="0" w:line="240" w:lineRule="auto"/>
              <w:jc w:val="center"/>
              <w:rPr>
                <w:rFonts w:ascii="Times New Roman" w:eastAsia="Times New Roman" w:hAnsi="Times New Roman"/>
                <w:sz w:val="18"/>
                <w:szCs w:val="18"/>
                <w:lang w:eastAsia="ru-RU"/>
              </w:rPr>
            </w:pPr>
            <w:r w:rsidRPr="00577593">
              <w:rPr>
                <w:rFonts w:ascii="Times New Roman" w:eastAsia="Times New Roman" w:hAnsi="Times New Roman"/>
                <w:sz w:val="18"/>
                <w:szCs w:val="18"/>
                <w:lang w:eastAsia="ru-RU"/>
              </w:rPr>
              <w:t>121,54</w:t>
            </w:r>
          </w:p>
        </w:tc>
        <w:tc>
          <w:tcPr>
            <w:tcW w:w="709" w:type="dxa"/>
            <w:vAlign w:val="center"/>
          </w:tcPr>
          <w:p w:rsidR="004D057C" w:rsidRPr="00577593" w:rsidRDefault="004D057C" w:rsidP="002000D4">
            <w:pPr>
              <w:pStyle w:val="ConsPlusNormal"/>
              <w:jc w:val="center"/>
              <w:rPr>
                <w:rFonts w:ascii="Times New Roman" w:hAnsi="Times New Roman" w:cs="Times New Roman"/>
                <w:sz w:val="18"/>
                <w:szCs w:val="18"/>
              </w:rPr>
            </w:pPr>
            <w:r w:rsidRPr="00577593">
              <w:rPr>
                <w:rFonts w:ascii="Times New Roman" w:hAnsi="Times New Roman" w:cs="Times New Roman"/>
                <w:sz w:val="18"/>
                <w:szCs w:val="18"/>
              </w:rPr>
              <w:t>142,75</w:t>
            </w:r>
          </w:p>
        </w:tc>
      </w:tr>
      <w:tr w:rsidR="002C3F8D" w:rsidRPr="00577593" w:rsidTr="00340A21">
        <w:tc>
          <w:tcPr>
            <w:tcW w:w="2330" w:type="dxa"/>
          </w:tcPr>
          <w:p w:rsidR="004D057C" w:rsidRPr="00577593" w:rsidRDefault="004D057C" w:rsidP="002000D4">
            <w:pPr>
              <w:pStyle w:val="ConsPlusNormal"/>
              <w:rPr>
                <w:rFonts w:ascii="Times New Roman" w:hAnsi="Times New Roman" w:cs="Times New Roman"/>
                <w:sz w:val="18"/>
                <w:szCs w:val="18"/>
              </w:rPr>
            </w:pPr>
            <w:r w:rsidRPr="00577593">
              <w:rPr>
                <w:rFonts w:ascii="Times New Roman" w:hAnsi="Times New Roman" w:cs="Times New Roman"/>
                <w:sz w:val="18"/>
                <w:szCs w:val="18"/>
              </w:rPr>
              <w:t>за счет средств бюджета города, км</w:t>
            </w:r>
          </w:p>
        </w:tc>
        <w:tc>
          <w:tcPr>
            <w:tcW w:w="711" w:type="dxa"/>
            <w:vAlign w:val="center"/>
          </w:tcPr>
          <w:p w:rsidR="004D057C" w:rsidRPr="00577593" w:rsidRDefault="004D057C" w:rsidP="002000D4">
            <w:pPr>
              <w:pStyle w:val="ConsPlusNormal"/>
              <w:jc w:val="center"/>
              <w:rPr>
                <w:rFonts w:ascii="Times New Roman" w:hAnsi="Times New Roman" w:cs="Times New Roman"/>
                <w:sz w:val="18"/>
                <w:szCs w:val="18"/>
              </w:rPr>
            </w:pPr>
            <w:r w:rsidRPr="00577593">
              <w:rPr>
                <w:rFonts w:ascii="Times New Roman" w:hAnsi="Times New Roman" w:cs="Times New Roman"/>
                <w:sz w:val="18"/>
                <w:szCs w:val="18"/>
              </w:rPr>
              <w:t>12,11</w:t>
            </w:r>
          </w:p>
        </w:tc>
        <w:tc>
          <w:tcPr>
            <w:tcW w:w="707" w:type="dxa"/>
            <w:vAlign w:val="center"/>
          </w:tcPr>
          <w:p w:rsidR="004D057C" w:rsidRPr="00577593" w:rsidRDefault="004D057C" w:rsidP="002000D4">
            <w:pPr>
              <w:pStyle w:val="ConsPlusNormal"/>
              <w:jc w:val="center"/>
              <w:rPr>
                <w:rFonts w:ascii="Times New Roman" w:hAnsi="Times New Roman" w:cs="Times New Roman"/>
                <w:sz w:val="18"/>
                <w:szCs w:val="18"/>
              </w:rPr>
            </w:pPr>
            <w:r w:rsidRPr="00577593">
              <w:rPr>
                <w:rFonts w:ascii="Times New Roman" w:hAnsi="Times New Roman" w:cs="Times New Roman"/>
                <w:sz w:val="18"/>
                <w:szCs w:val="18"/>
              </w:rPr>
              <w:t>21,80</w:t>
            </w:r>
          </w:p>
        </w:tc>
        <w:tc>
          <w:tcPr>
            <w:tcW w:w="709" w:type="dxa"/>
            <w:vAlign w:val="center"/>
          </w:tcPr>
          <w:p w:rsidR="004D057C" w:rsidRPr="00577593" w:rsidRDefault="004D057C" w:rsidP="002000D4">
            <w:pPr>
              <w:pStyle w:val="ConsPlusNormal"/>
              <w:jc w:val="center"/>
              <w:rPr>
                <w:rFonts w:ascii="Times New Roman" w:hAnsi="Times New Roman" w:cs="Times New Roman"/>
                <w:sz w:val="18"/>
                <w:szCs w:val="18"/>
              </w:rPr>
            </w:pPr>
            <w:r w:rsidRPr="00577593">
              <w:rPr>
                <w:rFonts w:ascii="Times New Roman" w:hAnsi="Times New Roman" w:cs="Times New Roman"/>
                <w:sz w:val="18"/>
                <w:szCs w:val="18"/>
              </w:rPr>
              <w:t>13,48</w:t>
            </w:r>
          </w:p>
        </w:tc>
        <w:tc>
          <w:tcPr>
            <w:tcW w:w="708" w:type="dxa"/>
            <w:vAlign w:val="center"/>
          </w:tcPr>
          <w:p w:rsidR="004D057C" w:rsidRPr="00577593" w:rsidRDefault="004D057C" w:rsidP="002000D4">
            <w:pPr>
              <w:spacing w:after="0" w:line="240" w:lineRule="auto"/>
              <w:jc w:val="center"/>
              <w:rPr>
                <w:rFonts w:ascii="Times New Roman" w:eastAsia="Times New Roman" w:hAnsi="Times New Roman"/>
                <w:sz w:val="18"/>
                <w:szCs w:val="18"/>
                <w:lang w:eastAsia="ru-RU"/>
              </w:rPr>
            </w:pPr>
            <w:r w:rsidRPr="00577593">
              <w:rPr>
                <w:rFonts w:ascii="Times New Roman" w:eastAsia="Times New Roman" w:hAnsi="Times New Roman"/>
                <w:sz w:val="18"/>
                <w:szCs w:val="18"/>
                <w:lang w:eastAsia="ru-RU"/>
              </w:rPr>
              <w:t>13,401</w:t>
            </w:r>
          </w:p>
        </w:tc>
        <w:tc>
          <w:tcPr>
            <w:tcW w:w="709" w:type="dxa"/>
            <w:vAlign w:val="center"/>
          </w:tcPr>
          <w:p w:rsidR="004D057C" w:rsidRPr="00577593" w:rsidRDefault="004D057C" w:rsidP="002000D4">
            <w:pPr>
              <w:spacing w:after="0" w:line="240" w:lineRule="auto"/>
              <w:jc w:val="center"/>
              <w:rPr>
                <w:rFonts w:ascii="Times New Roman" w:hAnsi="Times New Roman"/>
                <w:sz w:val="18"/>
                <w:szCs w:val="18"/>
              </w:rPr>
            </w:pPr>
            <w:r w:rsidRPr="00577593">
              <w:rPr>
                <w:rFonts w:ascii="Times New Roman" w:eastAsia="Times New Roman" w:hAnsi="Times New Roman"/>
                <w:sz w:val="18"/>
                <w:szCs w:val="18"/>
                <w:lang w:eastAsia="ru-RU"/>
              </w:rPr>
              <w:t>15,43</w:t>
            </w:r>
          </w:p>
        </w:tc>
        <w:tc>
          <w:tcPr>
            <w:tcW w:w="709" w:type="dxa"/>
            <w:vAlign w:val="center"/>
          </w:tcPr>
          <w:p w:rsidR="004D057C" w:rsidRPr="00577593" w:rsidRDefault="004D057C" w:rsidP="002000D4">
            <w:pPr>
              <w:spacing w:after="0" w:line="240" w:lineRule="auto"/>
              <w:jc w:val="center"/>
              <w:rPr>
                <w:rFonts w:ascii="Times New Roman" w:hAnsi="Times New Roman"/>
                <w:sz w:val="18"/>
                <w:szCs w:val="18"/>
              </w:rPr>
            </w:pPr>
            <w:r w:rsidRPr="00577593">
              <w:rPr>
                <w:rFonts w:ascii="Times New Roman" w:eastAsia="Times New Roman" w:hAnsi="Times New Roman"/>
                <w:sz w:val="18"/>
                <w:szCs w:val="18"/>
                <w:lang w:eastAsia="ru-RU"/>
              </w:rPr>
              <w:t>8,27</w:t>
            </w:r>
          </w:p>
        </w:tc>
        <w:tc>
          <w:tcPr>
            <w:tcW w:w="709" w:type="dxa"/>
            <w:vAlign w:val="center"/>
          </w:tcPr>
          <w:p w:rsidR="004D057C" w:rsidRPr="00577593" w:rsidRDefault="004D057C" w:rsidP="002000D4">
            <w:pPr>
              <w:spacing w:after="0" w:line="240" w:lineRule="auto"/>
              <w:jc w:val="center"/>
              <w:rPr>
                <w:rFonts w:ascii="Times New Roman" w:eastAsia="Times New Roman" w:hAnsi="Times New Roman"/>
                <w:sz w:val="18"/>
                <w:szCs w:val="18"/>
                <w:lang w:eastAsia="ru-RU"/>
              </w:rPr>
            </w:pPr>
            <w:r w:rsidRPr="00577593">
              <w:rPr>
                <w:rFonts w:ascii="Times New Roman" w:eastAsia="Times New Roman" w:hAnsi="Times New Roman"/>
                <w:sz w:val="18"/>
                <w:szCs w:val="18"/>
                <w:lang w:eastAsia="ru-RU"/>
              </w:rPr>
              <w:t>5,45</w:t>
            </w:r>
          </w:p>
        </w:tc>
        <w:tc>
          <w:tcPr>
            <w:tcW w:w="712" w:type="dxa"/>
            <w:vAlign w:val="center"/>
          </w:tcPr>
          <w:p w:rsidR="004D057C" w:rsidRPr="00577593" w:rsidRDefault="004D057C" w:rsidP="002000D4">
            <w:pPr>
              <w:spacing w:after="0" w:line="240" w:lineRule="auto"/>
              <w:jc w:val="center"/>
              <w:rPr>
                <w:rFonts w:ascii="Times New Roman" w:hAnsi="Times New Roman"/>
                <w:sz w:val="18"/>
                <w:szCs w:val="18"/>
              </w:rPr>
            </w:pPr>
            <w:r w:rsidRPr="00577593">
              <w:rPr>
                <w:rFonts w:ascii="Times New Roman" w:eastAsia="Times New Roman" w:hAnsi="Times New Roman"/>
                <w:sz w:val="18"/>
                <w:szCs w:val="18"/>
                <w:lang w:eastAsia="ru-RU"/>
              </w:rPr>
              <w:t>5,6</w:t>
            </w:r>
          </w:p>
        </w:tc>
        <w:tc>
          <w:tcPr>
            <w:tcW w:w="705" w:type="dxa"/>
            <w:vAlign w:val="center"/>
          </w:tcPr>
          <w:p w:rsidR="004D057C" w:rsidRPr="00577593" w:rsidRDefault="004D057C" w:rsidP="002000D4">
            <w:pPr>
              <w:spacing w:after="0" w:line="240" w:lineRule="auto"/>
              <w:jc w:val="center"/>
              <w:rPr>
                <w:rFonts w:ascii="Times New Roman" w:eastAsia="Times New Roman" w:hAnsi="Times New Roman"/>
                <w:sz w:val="18"/>
                <w:szCs w:val="18"/>
                <w:lang w:eastAsia="ru-RU"/>
              </w:rPr>
            </w:pPr>
            <w:r w:rsidRPr="00577593">
              <w:rPr>
                <w:rFonts w:ascii="Times New Roman" w:eastAsia="Times New Roman" w:hAnsi="Times New Roman"/>
                <w:sz w:val="18"/>
                <w:szCs w:val="18"/>
                <w:lang w:eastAsia="ru-RU"/>
              </w:rPr>
              <w:t>4,8</w:t>
            </w:r>
          </w:p>
        </w:tc>
        <w:tc>
          <w:tcPr>
            <w:tcW w:w="709" w:type="dxa"/>
            <w:vAlign w:val="center"/>
          </w:tcPr>
          <w:p w:rsidR="004D057C" w:rsidRPr="00577593" w:rsidRDefault="004D057C" w:rsidP="002000D4">
            <w:pPr>
              <w:pStyle w:val="ConsPlusNormal"/>
              <w:jc w:val="center"/>
              <w:rPr>
                <w:rFonts w:ascii="Times New Roman" w:hAnsi="Times New Roman" w:cs="Times New Roman"/>
                <w:sz w:val="18"/>
                <w:szCs w:val="18"/>
              </w:rPr>
            </w:pPr>
            <w:r w:rsidRPr="00577593">
              <w:rPr>
                <w:rFonts w:ascii="Times New Roman" w:hAnsi="Times New Roman" w:cs="Times New Roman"/>
                <w:sz w:val="18"/>
                <w:szCs w:val="18"/>
              </w:rPr>
              <w:t>3,50</w:t>
            </w:r>
          </w:p>
        </w:tc>
      </w:tr>
      <w:tr w:rsidR="002C3F8D" w:rsidRPr="00577593" w:rsidTr="00340A21">
        <w:tc>
          <w:tcPr>
            <w:tcW w:w="2330" w:type="dxa"/>
          </w:tcPr>
          <w:p w:rsidR="004D057C" w:rsidRPr="00577593" w:rsidRDefault="004D057C" w:rsidP="002000D4">
            <w:pPr>
              <w:pStyle w:val="ConsPlusNormal"/>
              <w:rPr>
                <w:rFonts w:ascii="Times New Roman" w:hAnsi="Times New Roman" w:cs="Times New Roman"/>
                <w:sz w:val="18"/>
                <w:szCs w:val="18"/>
              </w:rPr>
            </w:pPr>
            <w:r w:rsidRPr="00577593">
              <w:rPr>
                <w:rFonts w:ascii="Times New Roman" w:hAnsi="Times New Roman" w:cs="Times New Roman"/>
                <w:sz w:val="18"/>
                <w:szCs w:val="18"/>
              </w:rPr>
              <w:t>Количество аварий на линейных объектах инженерной инфраструктуры, ед. на 1 км</w:t>
            </w:r>
          </w:p>
        </w:tc>
        <w:tc>
          <w:tcPr>
            <w:tcW w:w="711" w:type="dxa"/>
            <w:vAlign w:val="center"/>
          </w:tcPr>
          <w:p w:rsidR="004D057C" w:rsidRPr="00577593" w:rsidRDefault="004D057C" w:rsidP="002000D4">
            <w:pPr>
              <w:pStyle w:val="ConsPlusNormal"/>
              <w:jc w:val="center"/>
              <w:rPr>
                <w:rFonts w:ascii="Times New Roman" w:hAnsi="Times New Roman" w:cs="Times New Roman"/>
                <w:sz w:val="18"/>
                <w:szCs w:val="18"/>
              </w:rPr>
            </w:pPr>
            <w:r w:rsidRPr="00577593">
              <w:rPr>
                <w:rFonts w:ascii="Times New Roman" w:hAnsi="Times New Roman" w:cs="Times New Roman"/>
                <w:sz w:val="18"/>
                <w:szCs w:val="18"/>
              </w:rPr>
              <w:t>0,273</w:t>
            </w:r>
          </w:p>
        </w:tc>
        <w:tc>
          <w:tcPr>
            <w:tcW w:w="707" w:type="dxa"/>
            <w:vAlign w:val="center"/>
          </w:tcPr>
          <w:p w:rsidR="004D057C" w:rsidRPr="00577593" w:rsidRDefault="004D057C" w:rsidP="002000D4">
            <w:pPr>
              <w:pStyle w:val="ConsPlusNormal"/>
              <w:jc w:val="center"/>
              <w:rPr>
                <w:rFonts w:ascii="Times New Roman" w:hAnsi="Times New Roman" w:cs="Times New Roman"/>
                <w:sz w:val="18"/>
                <w:szCs w:val="18"/>
              </w:rPr>
            </w:pPr>
            <w:r w:rsidRPr="00577593">
              <w:rPr>
                <w:rFonts w:ascii="Times New Roman" w:hAnsi="Times New Roman" w:cs="Times New Roman"/>
                <w:sz w:val="18"/>
                <w:szCs w:val="18"/>
              </w:rPr>
              <w:t>0,243</w:t>
            </w:r>
          </w:p>
        </w:tc>
        <w:tc>
          <w:tcPr>
            <w:tcW w:w="709" w:type="dxa"/>
            <w:vAlign w:val="center"/>
          </w:tcPr>
          <w:p w:rsidR="004D057C" w:rsidRPr="00577593" w:rsidRDefault="004D057C" w:rsidP="002000D4">
            <w:pPr>
              <w:pStyle w:val="ConsPlusNormal"/>
              <w:jc w:val="center"/>
              <w:rPr>
                <w:rFonts w:ascii="Times New Roman" w:hAnsi="Times New Roman" w:cs="Times New Roman"/>
                <w:sz w:val="18"/>
                <w:szCs w:val="18"/>
              </w:rPr>
            </w:pPr>
            <w:r w:rsidRPr="00577593">
              <w:rPr>
                <w:rFonts w:ascii="Times New Roman" w:hAnsi="Times New Roman" w:cs="Times New Roman"/>
                <w:sz w:val="18"/>
                <w:szCs w:val="18"/>
              </w:rPr>
              <w:t>0,251</w:t>
            </w:r>
          </w:p>
        </w:tc>
        <w:tc>
          <w:tcPr>
            <w:tcW w:w="708" w:type="dxa"/>
            <w:vAlign w:val="center"/>
          </w:tcPr>
          <w:p w:rsidR="004D057C" w:rsidRPr="00577593" w:rsidRDefault="004D057C" w:rsidP="002000D4">
            <w:pPr>
              <w:pStyle w:val="ConsPlusNormal"/>
              <w:jc w:val="center"/>
              <w:rPr>
                <w:rFonts w:ascii="Times New Roman" w:hAnsi="Times New Roman" w:cs="Times New Roman"/>
                <w:sz w:val="18"/>
                <w:szCs w:val="18"/>
              </w:rPr>
            </w:pPr>
            <w:r w:rsidRPr="00577593">
              <w:rPr>
                <w:rFonts w:ascii="Times New Roman" w:hAnsi="Times New Roman" w:cs="Times New Roman"/>
                <w:sz w:val="18"/>
                <w:szCs w:val="18"/>
              </w:rPr>
              <w:t>0,247</w:t>
            </w:r>
          </w:p>
        </w:tc>
        <w:tc>
          <w:tcPr>
            <w:tcW w:w="709" w:type="dxa"/>
            <w:vAlign w:val="center"/>
          </w:tcPr>
          <w:p w:rsidR="004D057C" w:rsidRPr="00577593" w:rsidRDefault="004D057C" w:rsidP="002000D4">
            <w:pPr>
              <w:pStyle w:val="ConsPlusNormal"/>
              <w:jc w:val="center"/>
              <w:rPr>
                <w:rFonts w:ascii="Times New Roman" w:hAnsi="Times New Roman" w:cs="Times New Roman"/>
                <w:sz w:val="18"/>
                <w:szCs w:val="18"/>
              </w:rPr>
            </w:pPr>
            <w:r w:rsidRPr="00577593">
              <w:rPr>
                <w:rFonts w:ascii="Times New Roman" w:hAnsi="Times New Roman" w:cs="Times New Roman"/>
                <w:sz w:val="18"/>
                <w:szCs w:val="18"/>
              </w:rPr>
              <w:t>0,227</w:t>
            </w:r>
          </w:p>
        </w:tc>
        <w:tc>
          <w:tcPr>
            <w:tcW w:w="709" w:type="dxa"/>
            <w:vAlign w:val="center"/>
          </w:tcPr>
          <w:p w:rsidR="004D057C" w:rsidRPr="00577593" w:rsidRDefault="004D057C" w:rsidP="002000D4">
            <w:pPr>
              <w:pStyle w:val="ConsPlusNormal"/>
              <w:jc w:val="center"/>
              <w:rPr>
                <w:rFonts w:ascii="Times New Roman" w:hAnsi="Times New Roman" w:cs="Times New Roman"/>
                <w:sz w:val="18"/>
                <w:szCs w:val="18"/>
              </w:rPr>
            </w:pPr>
            <w:r w:rsidRPr="00577593">
              <w:rPr>
                <w:rFonts w:ascii="Times New Roman" w:hAnsi="Times New Roman" w:cs="Times New Roman"/>
                <w:sz w:val="18"/>
                <w:szCs w:val="18"/>
              </w:rPr>
              <w:t>0,237</w:t>
            </w:r>
          </w:p>
        </w:tc>
        <w:tc>
          <w:tcPr>
            <w:tcW w:w="709" w:type="dxa"/>
            <w:vAlign w:val="center"/>
          </w:tcPr>
          <w:p w:rsidR="004D057C" w:rsidRPr="00577593" w:rsidRDefault="004D057C" w:rsidP="002000D4">
            <w:pPr>
              <w:pStyle w:val="ConsPlusNormal"/>
              <w:jc w:val="center"/>
              <w:rPr>
                <w:rFonts w:ascii="Times New Roman" w:hAnsi="Times New Roman" w:cs="Times New Roman"/>
                <w:sz w:val="18"/>
                <w:szCs w:val="18"/>
              </w:rPr>
            </w:pPr>
            <w:r w:rsidRPr="00577593">
              <w:rPr>
                <w:rFonts w:ascii="Times New Roman" w:hAnsi="Times New Roman" w:cs="Times New Roman"/>
                <w:sz w:val="18"/>
                <w:szCs w:val="18"/>
              </w:rPr>
              <w:t>0,231</w:t>
            </w:r>
          </w:p>
        </w:tc>
        <w:tc>
          <w:tcPr>
            <w:tcW w:w="712" w:type="dxa"/>
            <w:vAlign w:val="center"/>
          </w:tcPr>
          <w:p w:rsidR="004D057C" w:rsidRPr="00577593" w:rsidRDefault="004D057C" w:rsidP="002000D4">
            <w:pPr>
              <w:pStyle w:val="ConsPlusNormal"/>
              <w:jc w:val="center"/>
              <w:rPr>
                <w:rFonts w:ascii="Times New Roman" w:hAnsi="Times New Roman" w:cs="Times New Roman"/>
                <w:sz w:val="18"/>
                <w:szCs w:val="18"/>
              </w:rPr>
            </w:pPr>
            <w:r w:rsidRPr="00577593">
              <w:rPr>
                <w:rFonts w:ascii="Times New Roman" w:hAnsi="Times New Roman" w:cs="Times New Roman"/>
                <w:sz w:val="18"/>
                <w:szCs w:val="18"/>
              </w:rPr>
              <w:t>0,227</w:t>
            </w:r>
          </w:p>
        </w:tc>
        <w:tc>
          <w:tcPr>
            <w:tcW w:w="705" w:type="dxa"/>
            <w:vAlign w:val="center"/>
          </w:tcPr>
          <w:p w:rsidR="004D057C" w:rsidRPr="00577593" w:rsidRDefault="004D057C" w:rsidP="002000D4">
            <w:pPr>
              <w:pStyle w:val="ConsPlusNormal"/>
              <w:jc w:val="center"/>
              <w:rPr>
                <w:rFonts w:ascii="Times New Roman" w:hAnsi="Times New Roman" w:cs="Times New Roman"/>
                <w:sz w:val="18"/>
                <w:szCs w:val="18"/>
              </w:rPr>
            </w:pPr>
            <w:r w:rsidRPr="00577593">
              <w:rPr>
                <w:rFonts w:ascii="Times New Roman" w:hAnsi="Times New Roman" w:cs="Times New Roman"/>
                <w:sz w:val="18"/>
                <w:szCs w:val="18"/>
              </w:rPr>
              <w:t>0,223</w:t>
            </w:r>
          </w:p>
        </w:tc>
        <w:tc>
          <w:tcPr>
            <w:tcW w:w="709" w:type="dxa"/>
            <w:vAlign w:val="center"/>
          </w:tcPr>
          <w:p w:rsidR="004D057C" w:rsidRPr="00577593" w:rsidRDefault="004D057C" w:rsidP="002000D4">
            <w:pPr>
              <w:pStyle w:val="ConsPlusNormal"/>
              <w:jc w:val="center"/>
              <w:rPr>
                <w:rFonts w:ascii="Times New Roman" w:hAnsi="Times New Roman" w:cs="Times New Roman"/>
                <w:sz w:val="18"/>
                <w:szCs w:val="18"/>
              </w:rPr>
            </w:pPr>
            <w:r w:rsidRPr="00577593">
              <w:rPr>
                <w:rFonts w:ascii="Times New Roman" w:hAnsi="Times New Roman" w:cs="Times New Roman"/>
                <w:sz w:val="18"/>
                <w:szCs w:val="18"/>
              </w:rPr>
              <w:t>0,220</w:t>
            </w:r>
          </w:p>
        </w:tc>
      </w:tr>
    </w:tbl>
    <w:p w:rsidR="004D057C" w:rsidRPr="00577593" w:rsidRDefault="004D057C" w:rsidP="002000D4">
      <w:pPr>
        <w:pStyle w:val="aff9"/>
        <w:ind w:firstLine="709"/>
        <w:jc w:val="both"/>
        <w:rPr>
          <w:rFonts w:ascii="Times New Roman" w:hAnsi="Times New Roman"/>
          <w:i w:val="0"/>
          <w:color w:val="auto"/>
          <w:sz w:val="28"/>
          <w:szCs w:val="28"/>
        </w:rPr>
      </w:pPr>
      <w:r w:rsidRPr="00577593">
        <w:rPr>
          <w:rFonts w:ascii="Times New Roman" w:hAnsi="Times New Roman"/>
          <w:i w:val="0"/>
          <w:color w:val="auto"/>
          <w:sz w:val="28"/>
          <w:szCs w:val="28"/>
        </w:rPr>
        <w:t xml:space="preserve">Примечание – Источник: данные </w:t>
      </w:r>
      <w:r w:rsidRPr="00577593">
        <w:rPr>
          <w:rFonts w:ascii="Times New Roman" w:hAnsi="Times New Roman"/>
          <w:i w:val="0"/>
          <w:iCs w:val="0"/>
          <w:color w:val="auto"/>
          <w:sz w:val="28"/>
          <w:szCs w:val="28"/>
        </w:rPr>
        <w:t>администрации</w:t>
      </w:r>
      <w:r w:rsidRPr="00577593">
        <w:rPr>
          <w:rFonts w:ascii="Times New Roman" w:hAnsi="Times New Roman"/>
          <w:i w:val="0"/>
          <w:color w:val="auto"/>
          <w:sz w:val="28"/>
          <w:szCs w:val="28"/>
        </w:rPr>
        <w:t xml:space="preserve"> города Барнаула</w:t>
      </w:r>
    </w:p>
    <w:p w:rsidR="004D057C"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Несмотря на положительную динамику сокращения аварийности на сетя</w:t>
      </w:r>
      <w:r w:rsidR="00562EE2" w:rsidRPr="00577593">
        <w:rPr>
          <w:rFonts w:ascii="Times New Roman" w:hAnsi="Times New Roman"/>
          <w:sz w:val="28"/>
          <w:szCs w:val="28"/>
        </w:rPr>
        <w:t>х водоснабжения и водоотведения</w:t>
      </w:r>
      <w:r w:rsidRPr="00577593">
        <w:rPr>
          <w:rFonts w:ascii="Times New Roman" w:hAnsi="Times New Roman"/>
          <w:sz w:val="28"/>
          <w:szCs w:val="28"/>
        </w:rPr>
        <w:t xml:space="preserve"> на протяжении последних лет общее количество повреждений на сетях </w:t>
      </w:r>
      <w:r w:rsidR="000C3637" w:rsidRPr="00577593">
        <w:rPr>
          <w:rFonts w:ascii="Times New Roman" w:hAnsi="Times New Roman"/>
          <w:sz w:val="28"/>
          <w:szCs w:val="28"/>
        </w:rPr>
        <w:t xml:space="preserve">водоснабжения и водоотведения </w:t>
      </w:r>
      <w:r w:rsidRPr="00577593">
        <w:rPr>
          <w:rFonts w:ascii="Times New Roman" w:hAnsi="Times New Roman"/>
          <w:sz w:val="28"/>
          <w:szCs w:val="28"/>
        </w:rPr>
        <w:t xml:space="preserve">не снижается. В 2015 году их количество выросло на 40% (2014 год </w:t>
      </w:r>
      <w:r w:rsidR="00672709" w:rsidRPr="00577593">
        <w:rPr>
          <w:rFonts w:ascii="Times New Roman" w:hAnsi="Times New Roman"/>
          <w:sz w:val="28"/>
          <w:szCs w:val="28"/>
        </w:rPr>
        <w:t>–</w:t>
      </w:r>
      <w:r w:rsidRPr="00577593">
        <w:rPr>
          <w:rFonts w:ascii="Times New Roman" w:hAnsi="Times New Roman"/>
          <w:sz w:val="28"/>
          <w:szCs w:val="28"/>
        </w:rPr>
        <w:t xml:space="preserve"> 886, </w:t>
      </w:r>
      <w:r w:rsidR="00276BD7">
        <w:rPr>
          <w:rFonts w:ascii="Times New Roman" w:hAnsi="Times New Roman"/>
          <w:sz w:val="28"/>
          <w:szCs w:val="28"/>
        </w:rPr>
        <w:br/>
      </w:r>
      <w:r w:rsidRPr="00577593">
        <w:rPr>
          <w:rFonts w:ascii="Times New Roman" w:hAnsi="Times New Roman"/>
          <w:sz w:val="28"/>
          <w:szCs w:val="28"/>
        </w:rPr>
        <w:lastRenderedPageBreak/>
        <w:t xml:space="preserve">2015 год </w:t>
      </w:r>
      <w:r w:rsidR="00672709" w:rsidRPr="00577593">
        <w:rPr>
          <w:rFonts w:ascii="Times New Roman" w:hAnsi="Times New Roman"/>
          <w:sz w:val="28"/>
          <w:szCs w:val="28"/>
        </w:rPr>
        <w:t>–</w:t>
      </w:r>
      <w:r w:rsidRPr="00577593">
        <w:rPr>
          <w:rFonts w:ascii="Times New Roman" w:hAnsi="Times New Roman"/>
          <w:sz w:val="28"/>
          <w:szCs w:val="28"/>
        </w:rPr>
        <w:t xml:space="preserve"> 1208). Однако в целом аварийность (количество аварий на линейных объектах инженерной инфраструктуры на</w:t>
      </w:r>
      <w:r w:rsidR="00B23C03" w:rsidRPr="00577593">
        <w:rPr>
          <w:rFonts w:ascii="Times New Roman" w:hAnsi="Times New Roman"/>
          <w:sz w:val="28"/>
          <w:szCs w:val="28"/>
        </w:rPr>
        <w:t> </w:t>
      </w:r>
      <w:r w:rsidRPr="00577593">
        <w:rPr>
          <w:rFonts w:ascii="Times New Roman" w:hAnsi="Times New Roman"/>
          <w:sz w:val="28"/>
          <w:szCs w:val="28"/>
        </w:rPr>
        <w:t>1</w:t>
      </w:r>
      <w:r w:rsidR="00B23C03" w:rsidRPr="00577593">
        <w:rPr>
          <w:rFonts w:ascii="Times New Roman" w:hAnsi="Times New Roman"/>
          <w:sz w:val="28"/>
          <w:szCs w:val="28"/>
        </w:rPr>
        <w:t> </w:t>
      </w:r>
      <w:r w:rsidRPr="00577593">
        <w:rPr>
          <w:rFonts w:ascii="Times New Roman" w:hAnsi="Times New Roman"/>
          <w:sz w:val="28"/>
          <w:szCs w:val="28"/>
        </w:rPr>
        <w:t>км) снизилась с 0,273 в 2015 году до 0,220 в 2024 году. Требуется проведение мероприятий по увеличению объемов капитального ремонта сетей и объектов, так как в год ремонтируется чуть больше 100</w:t>
      </w:r>
      <w:r w:rsidR="00672709" w:rsidRPr="00577593">
        <w:rPr>
          <w:rFonts w:ascii="Times New Roman" w:hAnsi="Times New Roman"/>
          <w:sz w:val="28"/>
          <w:szCs w:val="28"/>
        </w:rPr>
        <w:t>-</w:t>
      </w:r>
      <w:r w:rsidRPr="00577593">
        <w:rPr>
          <w:rFonts w:ascii="Times New Roman" w:hAnsi="Times New Roman"/>
          <w:sz w:val="28"/>
          <w:szCs w:val="28"/>
        </w:rPr>
        <w:t>150 км сетей всех видов при общей протяженности в</w:t>
      </w:r>
      <w:r w:rsidR="00526D28" w:rsidRPr="00577593">
        <w:rPr>
          <w:rFonts w:ascii="Times New Roman" w:hAnsi="Times New Roman"/>
          <w:sz w:val="28"/>
          <w:szCs w:val="28"/>
        </w:rPr>
        <w:t> </w:t>
      </w:r>
      <w:r w:rsidRPr="00577593">
        <w:rPr>
          <w:rFonts w:ascii="Times New Roman" w:hAnsi="Times New Roman"/>
          <w:sz w:val="28"/>
          <w:szCs w:val="28"/>
        </w:rPr>
        <w:t>6000</w:t>
      </w:r>
      <w:r w:rsidR="00526D28" w:rsidRPr="00577593">
        <w:rPr>
          <w:rFonts w:ascii="Times New Roman" w:hAnsi="Times New Roman"/>
          <w:sz w:val="28"/>
          <w:szCs w:val="28"/>
        </w:rPr>
        <w:t> </w:t>
      </w:r>
      <w:r w:rsidRPr="00577593">
        <w:rPr>
          <w:rFonts w:ascii="Times New Roman" w:hAnsi="Times New Roman"/>
          <w:sz w:val="28"/>
          <w:szCs w:val="28"/>
        </w:rPr>
        <w:t>км.</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В 2017 году проведен капитальный ремонт на 101 объекте общей протяженностью 13,482 км. Завершены работы по строительству станции очистки артезианской воды на артезианском водозаборе в п. Ягодном. </w:t>
      </w:r>
    </w:p>
    <w:p w:rsidR="00FC41F4" w:rsidRPr="00577593" w:rsidRDefault="00045158"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В 2018 году</w:t>
      </w:r>
      <w:r w:rsidR="008925FA" w:rsidRPr="00577593">
        <w:rPr>
          <w:rFonts w:ascii="Times New Roman" w:hAnsi="Times New Roman"/>
          <w:sz w:val="28"/>
          <w:szCs w:val="28"/>
        </w:rPr>
        <w:t xml:space="preserve"> установлены системы доочистки питьевой воды </w:t>
      </w:r>
      <w:r w:rsidR="00AE1750" w:rsidRPr="00577593">
        <w:rPr>
          <w:rFonts w:ascii="Times New Roman" w:hAnsi="Times New Roman"/>
          <w:sz w:val="28"/>
          <w:szCs w:val="28"/>
        </w:rPr>
        <w:br/>
      </w:r>
      <w:r w:rsidR="008925FA" w:rsidRPr="00577593">
        <w:rPr>
          <w:rFonts w:ascii="Times New Roman" w:hAnsi="Times New Roman"/>
          <w:sz w:val="28"/>
          <w:szCs w:val="28"/>
        </w:rPr>
        <w:t xml:space="preserve">по адресам: п. Мохнатушка, ул. Нагорная, 26 и п. Черницк, </w:t>
      </w:r>
      <w:r w:rsidR="00AE1750" w:rsidRPr="00577593">
        <w:rPr>
          <w:rFonts w:ascii="Times New Roman" w:hAnsi="Times New Roman"/>
          <w:sz w:val="28"/>
          <w:szCs w:val="28"/>
        </w:rPr>
        <w:br/>
      </w:r>
      <w:r w:rsidR="008925FA" w:rsidRPr="00577593">
        <w:rPr>
          <w:rFonts w:ascii="Times New Roman" w:hAnsi="Times New Roman"/>
          <w:sz w:val="28"/>
          <w:szCs w:val="28"/>
        </w:rPr>
        <w:t xml:space="preserve">ул. Школьная, 18а. Завершилась реконструкция хлораторных на ВОС-1 </w:t>
      </w:r>
      <w:r w:rsidR="00AE1750" w:rsidRPr="00577593">
        <w:rPr>
          <w:rFonts w:ascii="Times New Roman" w:hAnsi="Times New Roman"/>
          <w:sz w:val="28"/>
          <w:szCs w:val="28"/>
        </w:rPr>
        <w:br/>
      </w:r>
      <w:r w:rsidR="008925FA" w:rsidRPr="00577593">
        <w:rPr>
          <w:rFonts w:ascii="Times New Roman" w:hAnsi="Times New Roman"/>
          <w:sz w:val="28"/>
          <w:szCs w:val="28"/>
        </w:rPr>
        <w:t xml:space="preserve">и ВОС-2 для получения хлорной воды, на основе биполярных мембранных электролизеров, на обеззараживание питьевой воды. Проведен капитальный ремонт на 26 объектах, в том числе на сетях водоснабжения, теплоснабжения, водоотведения общей протяженностью 13,401 км. </w:t>
      </w:r>
      <w:r w:rsidR="00276BD7">
        <w:rPr>
          <w:rFonts w:ascii="Times New Roman" w:hAnsi="Times New Roman"/>
          <w:sz w:val="28"/>
          <w:szCs w:val="28"/>
        </w:rPr>
        <w:br/>
      </w:r>
      <w:r w:rsidR="008925FA" w:rsidRPr="00577593">
        <w:rPr>
          <w:rFonts w:ascii="Times New Roman" w:hAnsi="Times New Roman"/>
          <w:sz w:val="28"/>
          <w:szCs w:val="28"/>
        </w:rPr>
        <w:t>В рамках инвестиционных программ протяженность отремонтированных линейных объектов составила:</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 xml:space="preserve">ООО «Барнаульская сетевая компания» </w:t>
      </w:r>
      <w:r w:rsidR="00672709" w:rsidRPr="00577593">
        <w:rPr>
          <w:rFonts w:ascii="Times New Roman" w:eastAsia="Times New Roman" w:hAnsi="Times New Roman"/>
          <w:sz w:val="28"/>
          <w:szCs w:val="28"/>
          <w:lang w:eastAsia="ru-RU"/>
        </w:rPr>
        <w:t>–</w:t>
      </w:r>
      <w:r w:rsidRPr="00577593">
        <w:rPr>
          <w:rFonts w:ascii="Times New Roman" w:eastAsia="Times New Roman" w:hAnsi="Times New Roman"/>
          <w:sz w:val="28"/>
          <w:szCs w:val="28"/>
          <w:lang w:eastAsia="ru-RU"/>
        </w:rPr>
        <w:t xml:space="preserve"> 93,1 км;</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 xml:space="preserve">ООО «Барнаульский водоканал» </w:t>
      </w:r>
      <w:r w:rsidR="00672709" w:rsidRPr="00577593">
        <w:rPr>
          <w:rFonts w:ascii="Times New Roman" w:eastAsia="Times New Roman" w:hAnsi="Times New Roman"/>
          <w:sz w:val="28"/>
          <w:szCs w:val="28"/>
          <w:lang w:eastAsia="ru-RU"/>
        </w:rPr>
        <w:t>–</w:t>
      </w:r>
      <w:r w:rsidRPr="00577593">
        <w:rPr>
          <w:rFonts w:ascii="Times New Roman" w:eastAsia="Times New Roman" w:hAnsi="Times New Roman"/>
          <w:sz w:val="28"/>
          <w:szCs w:val="28"/>
          <w:lang w:eastAsia="ru-RU"/>
        </w:rPr>
        <w:t xml:space="preserve"> 2,304 км;</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 xml:space="preserve">АО «БТСК» </w:t>
      </w:r>
      <w:r w:rsidR="00672709" w:rsidRPr="00577593">
        <w:rPr>
          <w:rFonts w:ascii="Times New Roman" w:eastAsia="Times New Roman" w:hAnsi="Times New Roman"/>
          <w:sz w:val="28"/>
          <w:szCs w:val="28"/>
          <w:lang w:eastAsia="ru-RU"/>
        </w:rPr>
        <w:t>–</w:t>
      </w:r>
      <w:r w:rsidRPr="00577593">
        <w:rPr>
          <w:rFonts w:ascii="Times New Roman" w:eastAsia="Times New Roman" w:hAnsi="Times New Roman"/>
          <w:sz w:val="28"/>
          <w:szCs w:val="28"/>
          <w:lang w:eastAsia="ru-RU"/>
        </w:rPr>
        <w:t xml:space="preserve"> 1,326 км;</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 xml:space="preserve">АО «БТМК» </w:t>
      </w:r>
      <w:r w:rsidR="00672709" w:rsidRPr="00577593">
        <w:rPr>
          <w:rFonts w:ascii="Times New Roman" w:eastAsia="Times New Roman" w:hAnsi="Times New Roman"/>
          <w:sz w:val="28"/>
          <w:szCs w:val="28"/>
          <w:lang w:eastAsia="ru-RU"/>
        </w:rPr>
        <w:t>–</w:t>
      </w:r>
      <w:r w:rsidRPr="00577593">
        <w:rPr>
          <w:rFonts w:ascii="Times New Roman" w:eastAsia="Times New Roman" w:hAnsi="Times New Roman"/>
          <w:sz w:val="28"/>
          <w:szCs w:val="28"/>
          <w:lang w:eastAsia="ru-RU"/>
        </w:rPr>
        <w:t xml:space="preserve"> 1,726 км.</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В 2019 году установлена система доочистки питьевой воды </w:t>
      </w:r>
      <w:r w:rsidR="00AE1750" w:rsidRPr="00577593">
        <w:rPr>
          <w:rFonts w:ascii="Times New Roman" w:hAnsi="Times New Roman"/>
          <w:sz w:val="28"/>
          <w:szCs w:val="28"/>
        </w:rPr>
        <w:br/>
      </w:r>
      <w:r w:rsidRPr="00577593">
        <w:rPr>
          <w:rFonts w:ascii="Times New Roman" w:hAnsi="Times New Roman"/>
          <w:sz w:val="28"/>
          <w:szCs w:val="28"/>
        </w:rPr>
        <w:t>на артезианском водозаборе по адресу</w:t>
      </w:r>
      <w:r w:rsidR="00E34218">
        <w:rPr>
          <w:rFonts w:ascii="Times New Roman" w:hAnsi="Times New Roman"/>
          <w:sz w:val="28"/>
          <w:szCs w:val="28"/>
        </w:rPr>
        <w:t>:</w:t>
      </w:r>
      <w:r w:rsidRPr="00577593">
        <w:rPr>
          <w:rFonts w:ascii="Times New Roman" w:hAnsi="Times New Roman"/>
          <w:sz w:val="28"/>
          <w:szCs w:val="28"/>
        </w:rPr>
        <w:t xml:space="preserve"> ул.Обская, 4</w:t>
      </w:r>
      <w:r w:rsidR="004B5922">
        <w:rPr>
          <w:rFonts w:ascii="Times New Roman" w:hAnsi="Times New Roman"/>
          <w:sz w:val="28"/>
          <w:szCs w:val="28"/>
        </w:rPr>
        <w:t xml:space="preserve"> п.</w:t>
      </w:r>
      <w:r w:rsidRPr="00577593">
        <w:rPr>
          <w:rFonts w:ascii="Times New Roman" w:hAnsi="Times New Roman"/>
          <w:sz w:val="28"/>
          <w:szCs w:val="28"/>
        </w:rPr>
        <w:t>Бел</w:t>
      </w:r>
      <w:r w:rsidR="0092055C" w:rsidRPr="00577593">
        <w:rPr>
          <w:rFonts w:ascii="Times New Roman" w:hAnsi="Times New Roman"/>
          <w:sz w:val="28"/>
          <w:szCs w:val="28"/>
        </w:rPr>
        <w:t>ь</w:t>
      </w:r>
      <w:r w:rsidRPr="00577593">
        <w:rPr>
          <w:rFonts w:ascii="Times New Roman" w:hAnsi="Times New Roman"/>
          <w:sz w:val="28"/>
          <w:szCs w:val="28"/>
        </w:rPr>
        <w:t xml:space="preserve">месево. Завершено строительство водопроводной сети от улицы Ржевской по улице Сибирской, улице </w:t>
      </w:r>
      <w:r w:rsidR="004B5922">
        <w:rPr>
          <w:rFonts w:ascii="Times New Roman" w:hAnsi="Times New Roman"/>
          <w:sz w:val="28"/>
          <w:szCs w:val="28"/>
        </w:rPr>
        <w:t>Стрелецкой, улице Волжской в п.</w:t>
      </w:r>
      <w:r w:rsidRPr="00577593">
        <w:rPr>
          <w:rFonts w:ascii="Times New Roman" w:hAnsi="Times New Roman"/>
          <w:sz w:val="28"/>
          <w:szCs w:val="28"/>
        </w:rPr>
        <w:t>Борзовая Заимка города Барнаула. Окончено строительство кольцевой сети водопровода от улицы Бирюзовой, 11а до улицы Нагор</w:t>
      </w:r>
      <w:r w:rsidR="004B5922">
        <w:rPr>
          <w:rFonts w:ascii="Times New Roman" w:hAnsi="Times New Roman"/>
          <w:sz w:val="28"/>
          <w:szCs w:val="28"/>
        </w:rPr>
        <w:t>ной, 32 в п.</w:t>
      </w:r>
      <w:r w:rsidRPr="00577593">
        <w:rPr>
          <w:rFonts w:ascii="Times New Roman" w:hAnsi="Times New Roman"/>
          <w:sz w:val="28"/>
          <w:szCs w:val="28"/>
        </w:rPr>
        <w:t>Новомихайловка города Барнаула. В 2019 году проведен капитальный ремонт на 34 объектах, в том числе на сетях водоснабжения, теплоснабжения, водоотведения, электроснабжения общей протяженностью 15,430 км.</w:t>
      </w:r>
    </w:p>
    <w:p w:rsidR="00FC41F4" w:rsidRPr="00577593" w:rsidRDefault="00045158"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В 2020 году</w:t>
      </w:r>
      <w:r w:rsidR="008925FA" w:rsidRPr="00577593">
        <w:rPr>
          <w:rFonts w:ascii="Times New Roman" w:hAnsi="Times New Roman"/>
          <w:sz w:val="28"/>
          <w:szCs w:val="28"/>
        </w:rPr>
        <w:t xml:space="preserve"> выполнено строительство систем доочистки питьевой воды на артези</w:t>
      </w:r>
      <w:r w:rsidR="004B5922">
        <w:rPr>
          <w:rFonts w:ascii="Times New Roman" w:hAnsi="Times New Roman"/>
          <w:sz w:val="28"/>
          <w:szCs w:val="28"/>
        </w:rPr>
        <w:t>анском водозаборе по адресу: п.</w:t>
      </w:r>
      <w:r w:rsidR="008925FA" w:rsidRPr="00577593">
        <w:rPr>
          <w:rFonts w:ascii="Times New Roman" w:hAnsi="Times New Roman"/>
          <w:sz w:val="28"/>
          <w:szCs w:val="28"/>
        </w:rPr>
        <w:t xml:space="preserve">Бельмесево, ул. Кленовая, 9г. В рамках подготовки городского хозяйства к работе в зимний период </w:t>
      </w:r>
      <w:r w:rsidR="00AE1750" w:rsidRPr="00577593">
        <w:rPr>
          <w:rFonts w:ascii="Times New Roman" w:hAnsi="Times New Roman"/>
          <w:sz w:val="28"/>
          <w:szCs w:val="28"/>
        </w:rPr>
        <w:br/>
      </w:r>
      <w:r w:rsidR="008925FA" w:rsidRPr="00577593">
        <w:rPr>
          <w:rFonts w:ascii="Times New Roman" w:hAnsi="Times New Roman"/>
          <w:sz w:val="28"/>
          <w:szCs w:val="28"/>
        </w:rPr>
        <w:t>2020-2021 годов проведен ремонт на 33 объектах общей протяженностью 8,027 км, из них:</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7,759 км тепловых сетей (тепловые кооперативы по ул. Горно-Алтайской, ул. Харьковской, ул. Ядерной, ул. Станционной, пр-ду Полярный 1-ый, пр-ду Клеверный, пр</w:t>
      </w:r>
      <w:r w:rsidRPr="00577593">
        <w:rPr>
          <w:rFonts w:ascii="Times New Roman" w:eastAsia="Times New Roman" w:hAnsi="Times New Roman"/>
          <w:sz w:val="28"/>
          <w:szCs w:val="28"/>
          <w:lang w:eastAsia="ru-RU"/>
        </w:rPr>
        <w:noBreakHyphen/>
        <w:t>ду Трамвайный);</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0,268 км сетей водоотведения (завершены работы на участке канализационного коллектора № 15 по ул. Красный текстильщик. Данный коллектор является загруженным, транспортирует стоки от потребителей Индустриального и части Железнодорожного районов).</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lastRenderedPageBreak/>
        <w:t xml:space="preserve">Всего в 2021 году выполнен ремонт на 5,45 км инженерных сетей. </w:t>
      </w:r>
      <w:r w:rsidR="00AE1750" w:rsidRPr="00577593">
        <w:rPr>
          <w:rFonts w:ascii="Times New Roman" w:hAnsi="Times New Roman"/>
          <w:sz w:val="28"/>
          <w:szCs w:val="28"/>
        </w:rPr>
        <w:br/>
      </w:r>
      <w:r w:rsidRPr="00577593">
        <w:rPr>
          <w:rFonts w:ascii="Times New Roman" w:hAnsi="Times New Roman"/>
          <w:sz w:val="28"/>
          <w:szCs w:val="28"/>
        </w:rPr>
        <w:t>В 2021 году выполнено строительство следующих объектов:</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«Переключение вод</w:t>
      </w:r>
      <w:r w:rsidR="004B5922">
        <w:rPr>
          <w:rFonts w:ascii="Times New Roman" w:eastAsia="Times New Roman" w:hAnsi="Times New Roman"/>
          <w:sz w:val="28"/>
          <w:szCs w:val="28"/>
          <w:lang w:eastAsia="ru-RU"/>
        </w:rPr>
        <w:t>оснабжения жилой застройки в п.</w:t>
      </w:r>
      <w:r w:rsidRPr="00577593">
        <w:rPr>
          <w:rFonts w:ascii="Times New Roman" w:eastAsia="Times New Roman" w:hAnsi="Times New Roman"/>
          <w:sz w:val="28"/>
          <w:szCs w:val="28"/>
          <w:lang w:eastAsia="ru-RU"/>
        </w:rPr>
        <w:t xml:space="preserve">Лесном </w:t>
      </w:r>
      <w:r w:rsidR="00AE1750" w:rsidRPr="00577593">
        <w:rPr>
          <w:rFonts w:ascii="Times New Roman" w:eastAsia="Times New Roman" w:hAnsi="Times New Roman"/>
          <w:sz w:val="28"/>
          <w:szCs w:val="28"/>
          <w:lang w:eastAsia="ru-RU"/>
        </w:rPr>
        <w:br/>
      </w:r>
      <w:r w:rsidR="00922C6C">
        <w:rPr>
          <w:rFonts w:ascii="Times New Roman" w:eastAsia="Times New Roman" w:hAnsi="Times New Roman"/>
          <w:sz w:val="28"/>
          <w:szCs w:val="28"/>
          <w:lang w:eastAsia="ru-RU"/>
        </w:rPr>
        <w:t>по адресам: п.</w:t>
      </w:r>
      <w:r w:rsidRPr="00577593">
        <w:rPr>
          <w:rFonts w:ascii="Times New Roman" w:eastAsia="Times New Roman" w:hAnsi="Times New Roman"/>
          <w:sz w:val="28"/>
          <w:szCs w:val="28"/>
          <w:lang w:eastAsia="ru-RU"/>
        </w:rPr>
        <w:t>Лесной, 1-15 на артезианский водозабор по ул. Закатной, 28»;</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«Газовая коте</w:t>
      </w:r>
      <w:r w:rsidR="00922C6C">
        <w:rPr>
          <w:rFonts w:ascii="Times New Roman" w:eastAsia="Times New Roman" w:hAnsi="Times New Roman"/>
          <w:sz w:val="28"/>
          <w:szCs w:val="28"/>
          <w:lang w:eastAsia="ru-RU"/>
        </w:rPr>
        <w:t>льная по ул. Промышленной, 3 п.</w:t>
      </w:r>
      <w:r w:rsidRPr="00577593">
        <w:rPr>
          <w:rFonts w:ascii="Times New Roman" w:eastAsia="Times New Roman" w:hAnsi="Times New Roman"/>
          <w:sz w:val="28"/>
          <w:szCs w:val="28"/>
          <w:lang w:eastAsia="ru-RU"/>
        </w:rPr>
        <w:t>Цен</w:t>
      </w:r>
      <w:r w:rsidR="00922C6C">
        <w:rPr>
          <w:rFonts w:ascii="Times New Roman" w:eastAsia="Times New Roman" w:hAnsi="Times New Roman"/>
          <w:sz w:val="28"/>
          <w:szCs w:val="28"/>
          <w:lang w:eastAsia="ru-RU"/>
        </w:rPr>
        <w:t>тральный Центрального района г.</w:t>
      </w:r>
      <w:r w:rsidRPr="00577593">
        <w:rPr>
          <w:rFonts w:ascii="Times New Roman" w:eastAsia="Times New Roman" w:hAnsi="Times New Roman"/>
          <w:sz w:val="28"/>
          <w:szCs w:val="28"/>
          <w:lang w:eastAsia="ru-RU"/>
        </w:rPr>
        <w:t>Барнаула Алтайского края»;</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«Газопровод высокого давления по ул. Полевой в с. Лебяжье г.Барнаула Алтайского края».</w:t>
      </w:r>
    </w:p>
    <w:p w:rsidR="00FC41F4" w:rsidRPr="00577593" w:rsidRDefault="008925FA" w:rsidP="00AB6CD2">
      <w:pPr>
        <w:spacing w:after="0" w:line="330" w:lineRule="exact"/>
        <w:ind w:firstLine="709"/>
        <w:jc w:val="both"/>
        <w:rPr>
          <w:rFonts w:ascii="Times New Roman" w:hAnsi="Times New Roman"/>
          <w:sz w:val="28"/>
          <w:szCs w:val="28"/>
        </w:rPr>
      </w:pPr>
      <w:r w:rsidRPr="00577593">
        <w:rPr>
          <w:rFonts w:ascii="Times New Roman" w:hAnsi="Times New Roman"/>
          <w:sz w:val="28"/>
          <w:szCs w:val="28"/>
        </w:rPr>
        <w:t xml:space="preserve">В 2022 году реконструирован артезианский водозабор </w:t>
      </w:r>
      <w:r w:rsidR="00AE1750" w:rsidRPr="00577593">
        <w:rPr>
          <w:rFonts w:ascii="Times New Roman" w:hAnsi="Times New Roman"/>
          <w:sz w:val="28"/>
          <w:szCs w:val="28"/>
        </w:rPr>
        <w:br/>
      </w:r>
      <w:r w:rsidRPr="00577593">
        <w:rPr>
          <w:rFonts w:ascii="Times New Roman" w:hAnsi="Times New Roman"/>
          <w:sz w:val="28"/>
          <w:szCs w:val="28"/>
        </w:rPr>
        <w:t xml:space="preserve">по ул. Декоративной, 51г в микрорайоне «Спутник». Всего в 2022 году выполнен ремонт на 5,6 км инженерных сетей. </w:t>
      </w:r>
    </w:p>
    <w:p w:rsidR="00FC41F4" w:rsidRPr="00577593" w:rsidRDefault="008925FA" w:rsidP="00AB6CD2">
      <w:pPr>
        <w:spacing w:after="0" w:line="330" w:lineRule="exact"/>
        <w:ind w:firstLine="709"/>
        <w:jc w:val="both"/>
        <w:rPr>
          <w:rFonts w:ascii="Times New Roman" w:hAnsi="Times New Roman"/>
          <w:sz w:val="28"/>
          <w:szCs w:val="28"/>
        </w:rPr>
      </w:pPr>
      <w:r w:rsidRPr="00577593">
        <w:rPr>
          <w:rFonts w:ascii="Times New Roman" w:hAnsi="Times New Roman"/>
          <w:sz w:val="28"/>
          <w:szCs w:val="28"/>
        </w:rPr>
        <w:t xml:space="preserve">Обеспечен инженерной инфраструктурой (водоснабжение, водоотведение, теплоснабжение) квартал 2012 </w:t>
      </w:r>
      <w:r w:rsidR="004B1E0B">
        <w:rPr>
          <w:rFonts w:ascii="Times New Roman" w:hAnsi="Times New Roman"/>
          <w:sz w:val="28"/>
          <w:szCs w:val="28"/>
        </w:rPr>
        <w:t xml:space="preserve">города </w:t>
      </w:r>
      <w:r w:rsidRPr="00577593">
        <w:rPr>
          <w:rFonts w:ascii="Times New Roman" w:hAnsi="Times New Roman"/>
          <w:sz w:val="28"/>
          <w:szCs w:val="28"/>
        </w:rPr>
        <w:t xml:space="preserve">Барнаула. Реконструированы сети водоснабжения и водоотведения в целях обеспечения реализации инфраструктурного проекта «Строительство жилых домов переменной этажности, объектов общественного, коммунального назначения и транспортной инфраструктуры по улице Герцена, 5е в рабочем поселке Южный города Барнаула», «Строительство многоквартирного жилого дома с объектами общественного назначения по адресу: Российская Федерация, Алтайский край, городской округ </w:t>
      </w:r>
      <w:r w:rsidR="00672709" w:rsidRPr="00577593">
        <w:rPr>
          <w:rFonts w:ascii="Times New Roman" w:hAnsi="Times New Roman"/>
          <w:sz w:val="28"/>
          <w:szCs w:val="28"/>
        </w:rPr>
        <w:t>–</w:t>
      </w:r>
      <w:r w:rsidR="00922C6C">
        <w:rPr>
          <w:rFonts w:ascii="Times New Roman" w:hAnsi="Times New Roman"/>
          <w:sz w:val="28"/>
          <w:szCs w:val="28"/>
        </w:rPr>
        <w:t xml:space="preserve"> р.п. Южный, ул.</w:t>
      </w:r>
      <w:r w:rsidRPr="00577593">
        <w:rPr>
          <w:rFonts w:ascii="Times New Roman" w:hAnsi="Times New Roman"/>
          <w:sz w:val="28"/>
          <w:szCs w:val="28"/>
        </w:rPr>
        <w:t>Чайковского, д.35». Начато строительство насосно</w:t>
      </w:r>
      <w:r w:rsidR="00922C6C">
        <w:rPr>
          <w:rFonts w:ascii="Times New Roman" w:hAnsi="Times New Roman"/>
          <w:sz w:val="28"/>
          <w:szCs w:val="28"/>
        </w:rPr>
        <w:t>й станции 3-го подъема по ул.</w:t>
      </w:r>
      <w:r w:rsidRPr="00577593">
        <w:rPr>
          <w:rFonts w:ascii="Times New Roman" w:hAnsi="Times New Roman"/>
          <w:sz w:val="28"/>
          <w:szCs w:val="28"/>
        </w:rPr>
        <w:t>Звездной, 30 и реконструкци</w:t>
      </w:r>
      <w:r w:rsidR="00276BD7">
        <w:rPr>
          <w:rFonts w:ascii="Times New Roman" w:hAnsi="Times New Roman"/>
          <w:sz w:val="28"/>
          <w:szCs w:val="28"/>
        </w:rPr>
        <w:t>я</w:t>
      </w:r>
      <w:r w:rsidRPr="00577593">
        <w:rPr>
          <w:rFonts w:ascii="Times New Roman" w:hAnsi="Times New Roman"/>
          <w:sz w:val="28"/>
          <w:szCs w:val="28"/>
        </w:rPr>
        <w:t xml:space="preserve"> артезианского водозаб</w:t>
      </w:r>
      <w:r w:rsidR="00922C6C">
        <w:rPr>
          <w:rFonts w:ascii="Times New Roman" w:hAnsi="Times New Roman"/>
          <w:sz w:val="28"/>
          <w:szCs w:val="28"/>
        </w:rPr>
        <w:t>ора в п.Казенная Заимка по ул.</w:t>
      </w:r>
      <w:r w:rsidRPr="00577593">
        <w:rPr>
          <w:rFonts w:ascii="Times New Roman" w:hAnsi="Times New Roman"/>
          <w:sz w:val="28"/>
          <w:szCs w:val="28"/>
        </w:rPr>
        <w:t>Соколиной, 55.</w:t>
      </w:r>
    </w:p>
    <w:p w:rsidR="00FC41F4" w:rsidRPr="00577593" w:rsidRDefault="008925FA" w:rsidP="00AB6CD2">
      <w:pPr>
        <w:spacing w:after="0" w:line="330" w:lineRule="exact"/>
        <w:ind w:firstLine="709"/>
        <w:jc w:val="both"/>
        <w:rPr>
          <w:rFonts w:ascii="Times New Roman" w:hAnsi="Times New Roman"/>
          <w:sz w:val="28"/>
          <w:szCs w:val="28"/>
        </w:rPr>
      </w:pPr>
      <w:r w:rsidRPr="00577593">
        <w:rPr>
          <w:rFonts w:ascii="Times New Roman" w:hAnsi="Times New Roman"/>
          <w:sz w:val="28"/>
          <w:szCs w:val="28"/>
        </w:rPr>
        <w:t xml:space="preserve">Всего в 2023 году выполнен ремонт на 4,8 км инженерных сетей. </w:t>
      </w:r>
      <w:r w:rsidR="00AE1750" w:rsidRPr="00577593">
        <w:rPr>
          <w:rFonts w:ascii="Times New Roman" w:hAnsi="Times New Roman"/>
          <w:sz w:val="28"/>
          <w:szCs w:val="28"/>
        </w:rPr>
        <w:br/>
      </w:r>
      <w:r w:rsidRPr="00577593">
        <w:rPr>
          <w:rFonts w:ascii="Times New Roman" w:hAnsi="Times New Roman"/>
          <w:sz w:val="28"/>
          <w:szCs w:val="28"/>
        </w:rPr>
        <w:t xml:space="preserve">По состоянию на конец 2023 года в перечне бесхозяйного имущества находилось 142 бесхозяйных объекта газоснабжения общей протяженностью 117,6 км.  В 2024 году действовало шесть концессионных соглашений, в том числе: три в сфере теплоснабжения с АО «СГК-Алтай», три в сфере водоснабжения с ООО «БАРНАУЛЬСКИЙ ВОДОКАНАЛ». В рамках муниципальной программы «Развитие инженерной инфраструктуры городского округа </w:t>
      </w:r>
      <w:r w:rsidR="00672709" w:rsidRPr="00577593">
        <w:rPr>
          <w:rFonts w:ascii="Times New Roman" w:hAnsi="Times New Roman"/>
          <w:sz w:val="28"/>
          <w:szCs w:val="28"/>
        </w:rPr>
        <w:t>–</w:t>
      </w:r>
      <w:r w:rsidRPr="00577593">
        <w:rPr>
          <w:rFonts w:ascii="Times New Roman" w:hAnsi="Times New Roman"/>
          <w:sz w:val="28"/>
          <w:szCs w:val="28"/>
        </w:rPr>
        <w:t xml:space="preserve"> города Барнаула на 2017</w:t>
      </w:r>
      <w:r w:rsidR="00672709" w:rsidRPr="00577593">
        <w:rPr>
          <w:rFonts w:ascii="Times New Roman" w:hAnsi="Times New Roman"/>
          <w:sz w:val="28"/>
          <w:szCs w:val="28"/>
        </w:rPr>
        <w:t>-</w:t>
      </w:r>
      <w:r w:rsidRPr="00577593">
        <w:rPr>
          <w:rFonts w:ascii="Times New Roman" w:hAnsi="Times New Roman"/>
          <w:sz w:val="28"/>
          <w:szCs w:val="28"/>
        </w:rPr>
        <w:t>2030 годы» ведется строительство и реконструкция объектов водоснабжения и водоотведения пригородной зоны города: реконструкция сетей водоснабжения и водоотведения в рамках инвестпроекта «Меланжист Алтая»; строительство артезианского водозабор</w:t>
      </w:r>
      <w:r w:rsidR="00922C6C">
        <w:rPr>
          <w:rFonts w:ascii="Times New Roman" w:hAnsi="Times New Roman"/>
          <w:sz w:val="28"/>
          <w:szCs w:val="28"/>
        </w:rPr>
        <w:t>а по ул. Белгородской, 27а в п.</w:t>
      </w:r>
      <w:r w:rsidRPr="00577593">
        <w:rPr>
          <w:rFonts w:ascii="Times New Roman" w:hAnsi="Times New Roman"/>
          <w:sz w:val="28"/>
          <w:szCs w:val="28"/>
        </w:rPr>
        <w:t xml:space="preserve">Бельмесево </w:t>
      </w:r>
      <w:r w:rsidRPr="00577593">
        <w:rPr>
          <w:rFonts w:ascii="Times New Roman" w:eastAsia="Times New Roman" w:hAnsi="Times New Roman"/>
          <w:sz w:val="28"/>
          <w:szCs w:val="28"/>
        </w:rPr>
        <w:t>(реализуется в том числе за счет средств федерального проекта «Модернизация коммунальной инфраструктуры»).</w:t>
      </w:r>
    </w:p>
    <w:p w:rsidR="00FC41F4" w:rsidRPr="00577593" w:rsidRDefault="008925FA" w:rsidP="00AB6CD2">
      <w:pPr>
        <w:spacing w:after="0" w:line="330" w:lineRule="exact"/>
        <w:ind w:firstLine="709"/>
        <w:jc w:val="both"/>
        <w:rPr>
          <w:rFonts w:ascii="Times New Roman" w:hAnsi="Times New Roman"/>
          <w:b/>
          <w:sz w:val="28"/>
          <w:szCs w:val="28"/>
        </w:rPr>
      </w:pPr>
      <w:r w:rsidRPr="00577593">
        <w:rPr>
          <w:rFonts w:ascii="Times New Roman" w:hAnsi="Times New Roman"/>
          <w:b/>
          <w:sz w:val="28"/>
          <w:szCs w:val="28"/>
        </w:rPr>
        <w:t>Теплоснабжение</w:t>
      </w:r>
    </w:p>
    <w:p w:rsidR="00AB6CD2" w:rsidRDefault="008925FA" w:rsidP="00AB6CD2">
      <w:pPr>
        <w:spacing w:after="0" w:line="330" w:lineRule="exact"/>
        <w:ind w:firstLine="709"/>
        <w:jc w:val="both"/>
        <w:rPr>
          <w:rFonts w:ascii="Times New Roman" w:hAnsi="Times New Roman"/>
          <w:sz w:val="28"/>
          <w:szCs w:val="28"/>
        </w:rPr>
      </w:pPr>
      <w:r w:rsidRPr="00577593">
        <w:rPr>
          <w:rFonts w:ascii="Times New Roman" w:hAnsi="Times New Roman"/>
          <w:sz w:val="28"/>
          <w:szCs w:val="28"/>
        </w:rPr>
        <w:t xml:space="preserve">Городской округ </w:t>
      </w:r>
      <w:r w:rsidR="00672709" w:rsidRPr="00577593">
        <w:rPr>
          <w:rFonts w:ascii="Times New Roman" w:hAnsi="Times New Roman"/>
          <w:sz w:val="28"/>
          <w:szCs w:val="28"/>
        </w:rPr>
        <w:t>–</w:t>
      </w:r>
      <w:r w:rsidRPr="00577593">
        <w:rPr>
          <w:rFonts w:ascii="Times New Roman" w:hAnsi="Times New Roman"/>
          <w:sz w:val="28"/>
          <w:szCs w:val="28"/>
        </w:rPr>
        <w:t xml:space="preserve"> город Барнаул Алтайского края отнесен к ценовой зоне теплоснабжения распоряжением Правительства Российской Федерации от 03.08.2019 № 1735-р. Централизованное теплоснабжение есть </w:t>
      </w:r>
      <w:r w:rsidR="00AE1750" w:rsidRPr="00577593">
        <w:rPr>
          <w:rFonts w:ascii="Times New Roman" w:hAnsi="Times New Roman"/>
          <w:sz w:val="28"/>
          <w:szCs w:val="28"/>
        </w:rPr>
        <w:br/>
      </w:r>
      <w:r w:rsidRPr="00577593">
        <w:rPr>
          <w:rFonts w:ascii="Times New Roman" w:hAnsi="Times New Roman"/>
          <w:sz w:val="28"/>
          <w:szCs w:val="28"/>
        </w:rPr>
        <w:t xml:space="preserve">в 11 населенных пунктах городского округа: </w:t>
      </w:r>
      <w:r w:rsidR="00922C6C">
        <w:rPr>
          <w:rFonts w:ascii="Times New Roman" w:hAnsi="Times New Roman"/>
          <w:sz w:val="28"/>
          <w:szCs w:val="28"/>
        </w:rPr>
        <w:t>г.</w:t>
      </w:r>
      <w:r w:rsidRPr="00577593">
        <w:rPr>
          <w:rFonts w:ascii="Times New Roman" w:hAnsi="Times New Roman"/>
          <w:sz w:val="28"/>
          <w:szCs w:val="28"/>
        </w:rPr>
        <w:t xml:space="preserve">Барнаул, </w:t>
      </w:r>
      <w:r w:rsidR="00922C6C">
        <w:rPr>
          <w:rFonts w:ascii="Times New Roman" w:hAnsi="Times New Roman"/>
          <w:sz w:val="28"/>
          <w:szCs w:val="28"/>
        </w:rPr>
        <w:t>п.</w:t>
      </w:r>
      <w:r w:rsidRPr="00577593">
        <w:rPr>
          <w:rFonts w:ascii="Times New Roman" w:hAnsi="Times New Roman"/>
          <w:sz w:val="28"/>
          <w:szCs w:val="28"/>
        </w:rPr>
        <w:t xml:space="preserve">Березовка, </w:t>
      </w:r>
      <w:r w:rsidR="00922C6C">
        <w:rPr>
          <w:rFonts w:ascii="Times New Roman" w:hAnsi="Times New Roman"/>
          <w:sz w:val="28"/>
          <w:szCs w:val="28"/>
        </w:rPr>
        <w:br/>
        <w:t>п.</w:t>
      </w:r>
      <w:r w:rsidRPr="00577593">
        <w:rPr>
          <w:rFonts w:ascii="Times New Roman" w:hAnsi="Times New Roman"/>
          <w:sz w:val="28"/>
          <w:szCs w:val="28"/>
        </w:rPr>
        <w:t xml:space="preserve">Борзовая Заимка, </w:t>
      </w:r>
      <w:r w:rsidR="00922C6C">
        <w:rPr>
          <w:rFonts w:ascii="Times New Roman" w:hAnsi="Times New Roman"/>
          <w:sz w:val="28"/>
          <w:szCs w:val="28"/>
        </w:rPr>
        <w:t>с.</w:t>
      </w:r>
      <w:r w:rsidRPr="00577593">
        <w:rPr>
          <w:rFonts w:ascii="Times New Roman" w:hAnsi="Times New Roman"/>
          <w:sz w:val="28"/>
          <w:szCs w:val="28"/>
        </w:rPr>
        <w:t xml:space="preserve">Власиха, </w:t>
      </w:r>
      <w:r w:rsidR="00922C6C">
        <w:rPr>
          <w:rFonts w:ascii="Times New Roman" w:hAnsi="Times New Roman"/>
          <w:sz w:val="28"/>
          <w:szCs w:val="28"/>
        </w:rPr>
        <w:t>с.</w:t>
      </w:r>
      <w:r w:rsidRPr="00577593">
        <w:rPr>
          <w:rFonts w:ascii="Times New Roman" w:hAnsi="Times New Roman"/>
          <w:sz w:val="28"/>
          <w:szCs w:val="28"/>
        </w:rPr>
        <w:t>Гоньба,</w:t>
      </w:r>
      <w:r w:rsidR="00276BD7">
        <w:rPr>
          <w:rFonts w:ascii="Times New Roman" w:hAnsi="Times New Roman"/>
          <w:sz w:val="28"/>
          <w:szCs w:val="28"/>
        </w:rPr>
        <w:t xml:space="preserve"> с.</w:t>
      </w:r>
      <w:r w:rsidRPr="00577593">
        <w:rPr>
          <w:rFonts w:ascii="Times New Roman" w:hAnsi="Times New Roman"/>
          <w:sz w:val="28"/>
          <w:szCs w:val="28"/>
        </w:rPr>
        <w:t xml:space="preserve">Лебяжье, </w:t>
      </w:r>
      <w:r w:rsidR="00922C6C">
        <w:rPr>
          <w:rFonts w:ascii="Times New Roman" w:hAnsi="Times New Roman"/>
          <w:sz w:val="28"/>
          <w:szCs w:val="28"/>
        </w:rPr>
        <w:t>п.</w:t>
      </w:r>
      <w:r w:rsidRPr="00577593">
        <w:rPr>
          <w:rFonts w:ascii="Times New Roman" w:hAnsi="Times New Roman"/>
          <w:sz w:val="28"/>
          <w:szCs w:val="28"/>
        </w:rPr>
        <w:t xml:space="preserve">Лесной, </w:t>
      </w:r>
      <w:r w:rsidR="00276BD7">
        <w:rPr>
          <w:rFonts w:ascii="Times New Roman" w:hAnsi="Times New Roman"/>
          <w:sz w:val="28"/>
          <w:szCs w:val="28"/>
        </w:rPr>
        <w:br/>
      </w:r>
    </w:p>
    <w:p w:rsidR="00FC41F4" w:rsidRPr="00577593" w:rsidRDefault="00922C6C" w:rsidP="00AB6CD2">
      <w:pPr>
        <w:spacing w:after="0" w:line="330" w:lineRule="exact"/>
        <w:jc w:val="both"/>
        <w:rPr>
          <w:rFonts w:ascii="Times New Roman" w:hAnsi="Times New Roman"/>
          <w:sz w:val="28"/>
          <w:szCs w:val="28"/>
        </w:rPr>
      </w:pPr>
      <w:r>
        <w:rPr>
          <w:rFonts w:ascii="Times New Roman" w:hAnsi="Times New Roman"/>
          <w:sz w:val="28"/>
          <w:szCs w:val="28"/>
        </w:rPr>
        <w:lastRenderedPageBreak/>
        <w:t>п.</w:t>
      </w:r>
      <w:r w:rsidR="008925FA" w:rsidRPr="00577593">
        <w:rPr>
          <w:rFonts w:ascii="Times New Roman" w:hAnsi="Times New Roman"/>
          <w:sz w:val="28"/>
          <w:szCs w:val="28"/>
        </w:rPr>
        <w:t xml:space="preserve">Научный Городок, </w:t>
      </w:r>
      <w:r>
        <w:rPr>
          <w:rFonts w:ascii="Times New Roman" w:hAnsi="Times New Roman"/>
          <w:sz w:val="28"/>
          <w:szCs w:val="28"/>
        </w:rPr>
        <w:t>с.</w:t>
      </w:r>
      <w:r w:rsidR="008925FA" w:rsidRPr="00577593">
        <w:rPr>
          <w:rFonts w:ascii="Times New Roman" w:hAnsi="Times New Roman"/>
          <w:sz w:val="28"/>
          <w:szCs w:val="28"/>
        </w:rPr>
        <w:t xml:space="preserve">Новомихайловка, </w:t>
      </w:r>
      <w:r>
        <w:rPr>
          <w:rFonts w:ascii="Times New Roman" w:hAnsi="Times New Roman"/>
          <w:sz w:val="28"/>
          <w:szCs w:val="28"/>
        </w:rPr>
        <w:t>п.</w:t>
      </w:r>
      <w:r w:rsidR="008925FA" w:rsidRPr="00577593">
        <w:rPr>
          <w:rFonts w:ascii="Times New Roman" w:hAnsi="Times New Roman"/>
          <w:sz w:val="28"/>
          <w:szCs w:val="28"/>
        </w:rPr>
        <w:t xml:space="preserve">Центральный и </w:t>
      </w:r>
      <w:r>
        <w:rPr>
          <w:rFonts w:ascii="Times New Roman" w:hAnsi="Times New Roman"/>
          <w:sz w:val="28"/>
          <w:szCs w:val="28"/>
        </w:rPr>
        <w:t>р.п.</w:t>
      </w:r>
      <w:r w:rsidR="008925FA" w:rsidRPr="00577593">
        <w:rPr>
          <w:rFonts w:ascii="Times New Roman" w:hAnsi="Times New Roman"/>
          <w:sz w:val="28"/>
          <w:szCs w:val="28"/>
        </w:rPr>
        <w:t xml:space="preserve">Южный, </w:t>
      </w:r>
      <w:r w:rsidR="00276BD7">
        <w:rPr>
          <w:rFonts w:ascii="Times New Roman" w:hAnsi="Times New Roman"/>
          <w:sz w:val="28"/>
          <w:szCs w:val="28"/>
        </w:rPr>
        <w:br/>
      </w:r>
      <w:r w:rsidR="008925FA" w:rsidRPr="00577593">
        <w:rPr>
          <w:rFonts w:ascii="Times New Roman" w:hAnsi="Times New Roman"/>
          <w:sz w:val="28"/>
          <w:szCs w:val="28"/>
        </w:rPr>
        <w:t>а отсутствует в 15 населенных пунктах:</w:t>
      </w:r>
      <w:r w:rsidR="00276BD7">
        <w:rPr>
          <w:rFonts w:ascii="Times New Roman" w:hAnsi="Times New Roman"/>
          <w:sz w:val="28"/>
          <w:szCs w:val="28"/>
        </w:rPr>
        <w:t xml:space="preserve"> п.</w:t>
      </w:r>
      <w:r w:rsidR="008925FA" w:rsidRPr="00577593">
        <w:rPr>
          <w:rFonts w:ascii="Times New Roman" w:hAnsi="Times New Roman"/>
          <w:sz w:val="28"/>
          <w:szCs w:val="28"/>
        </w:rPr>
        <w:t xml:space="preserve">Бельмесево, </w:t>
      </w:r>
      <w:r>
        <w:rPr>
          <w:rFonts w:ascii="Times New Roman" w:hAnsi="Times New Roman"/>
          <w:sz w:val="28"/>
          <w:szCs w:val="28"/>
        </w:rPr>
        <w:t>ст.</w:t>
      </w:r>
      <w:r w:rsidR="008925FA" w:rsidRPr="00577593">
        <w:rPr>
          <w:rFonts w:ascii="Times New Roman" w:hAnsi="Times New Roman"/>
          <w:sz w:val="28"/>
          <w:szCs w:val="28"/>
        </w:rPr>
        <w:t xml:space="preserve">Власиха, </w:t>
      </w:r>
      <w:r w:rsidR="00276BD7">
        <w:rPr>
          <w:rFonts w:ascii="Times New Roman" w:hAnsi="Times New Roman"/>
          <w:sz w:val="28"/>
          <w:szCs w:val="28"/>
        </w:rPr>
        <w:br/>
      </w:r>
      <w:r w:rsidR="00276BD7" w:rsidRPr="00276BD7">
        <w:rPr>
          <w:rFonts w:ascii="Times New Roman" w:hAnsi="Times New Roman"/>
          <w:sz w:val="28"/>
          <w:szCs w:val="28"/>
        </w:rPr>
        <w:t>ст.</w:t>
      </w:r>
      <w:r w:rsidR="008925FA" w:rsidRPr="00577593">
        <w:rPr>
          <w:rFonts w:ascii="Times New Roman" w:hAnsi="Times New Roman"/>
          <w:sz w:val="28"/>
          <w:szCs w:val="28"/>
        </w:rPr>
        <w:t xml:space="preserve">Железнодорожная Казарма 242 км, </w:t>
      </w:r>
      <w:r w:rsidR="00276BD7" w:rsidRPr="00276BD7">
        <w:rPr>
          <w:rFonts w:ascii="Times New Roman" w:hAnsi="Times New Roman"/>
          <w:sz w:val="28"/>
          <w:szCs w:val="28"/>
        </w:rPr>
        <w:t>ст.</w:t>
      </w:r>
      <w:r w:rsidR="00276BD7">
        <w:rPr>
          <w:rFonts w:ascii="Times New Roman" w:hAnsi="Times New Roman"/>
          <w:sz w:val="28"/>
          <w:szCs w:val="28"/>
        </w:rPr>
        <w:t xml:space="preserve"> </w:t>
      </w:r>
      <w:r w:rsidR="008925FA" w:rsidRPr="00577593">
        <w:rPr>
          <w:rFonts w:ascii="Times New Roman" w:hAnsi="Times New Roman"/>
          <w:sz w:val="28"/>
          <w:szCs w:val="28"/>
        </w:rPr>
        <w:t xml:space="preserve">Железнодорожная Казарма 250 км, </w:t>
      </w:r>
      <w:r w:rsidR="00276BD7" w:rsidRPr="00276BD7">
        <w:rPr>
          <w:rFonts w:ascii="Times New Roman" w:hAnsi="Times New Roman"/>
          <w:sz w:val="28"/>
          <w:szCs w:val="28"/>
        </w:rPr>
        <w:t>ст.</w:t>
      </w:r>
      <w:r w:rsidR="008925FA" w:rsidRPr="00577593">
        <w:rPr>
          <w:rFonts w:ascii="Times New Roman" w:hAnsi="Times New Roman"/>
          <w:sz w:val="28"/>
          <w:szCs w:val="28"/>
        </w:rPr>
        <w:t xml:space="preserve">Железнодорожная Казарма 253 км, </w:t>
      </w:r>
      <w:r>
        <w:rPr>
          <w:rFonts w:ascii="Times New Roman" w:hAnsi="Times New Roman"/>
          <w:sz w:val="28"/>
          <w:szCs w:val="28"/>
        </w:rPr>
        <w:t>п.</w:t>
      </w:r>
      <w:r w:rsidR="008925FA" w:rsidRPr="00577593">
        <w:rPr>
          <w:rFonts w:ascii="Times New Roman" w:hAnsi="Times New Roman"/>
          <w:sz w:val="28"/>
          <w:szCs w:val="28"/>
        </w:rPr>
        <w:t xml:space="preserve">Землянуха, </w:t>
      </w:r>
      <w:r>
        <w:rPr>
          <w:rFonts w:ascii="Times New Roman" w:hAnsi="Times New Roman"/>
          <w:sz w:val="28"/>
          <w:szCs w:val="28"/>
        </w:rPr>
        <w:t>п.</w:t>
      </w:r>
      <w:r w:rsidR="008925FA" w:rsidRPr="00577593">
        <w:rPr>
          <w:rFonts w:ascii="Times New Roman" w:hAnsi="Times New Roman"/>
          <w:sz w:val="28"/>
          <w:szCs w:val="28"/>
        </w:rPr>
        <w:t xml:space="preserve">Казенная Заимка, </w:t>
      </w:r>
      <w:r>
        <w:rPr>
          <w:rFonts w:ascii="Times New Roman" w:hAnsi="Times New Roman"/>
          <w:sz w:val="28"/>
          <w:szCs w:val="28"/>
        </w:rPr>
        <w:t>п.</w:t>
      </w:r>
      <w:r w:rsidR="008925FA" w:rsidRPr="00577593">
        <w:rPr>
          <w:rFonts w:ascii="Times New Roman" w:hAnsi="Times New Roman"/>
          <w:sz w:val="28"/>
          <w:szCs w:val="28"/>
        </w:rPr>
        <w:t xml:space="preserve">Конюхи, </w:t>
      </w:r>
      <w:r>
        <w:rPr>
          <w:rFonts w:ascii="Times New Roman" w:hAnsi="Times New Roman"/>
          <w:sz w:val="28"/>
          <w:szCs w:val="28"/>
        </w:rPr>
        <w:t>п.</w:t>
      </w:r>
      <w:r w:rsidR="008925FA" w:rsidRPr="00577593">
        <w:rPr>
          <w:rFonts w:ascii="Times New Roman" w:hAnsi="Times New Roman"/>
          <w:sz w:val="28"/>
          <w:szCs w:val="28"/>
        </w:rPr>
        <w:t xml:space="preserve">Мохнатушка, </w:t>
      </w:r>
      <w:r>
        <w:rPr>
          <w:rFonts w:ascii="Times New Roman" w:hAnsi="Times New Roman"/>
          <w:sz w:val="28"/>
          <w:szCs w:val="28"/>
        </w:rPr>
        <w:t>п.</w:t>
      </w:r>
      <w:r w:rsidR="008925FA" w:rsidRPr="00577593">
        <w:rPr>
          <w:rFonts w:ascii="Times New Roman" w:hAnsi="Times New Roman"/>
          <w:sz w:val="28"/>
          <w:szCs w:val="28"/>
        </w:rPr>
        <w:t xml:space="preserve">Плодопитомник, </w:t>
      </w:r>
      <w:r>
        <w:rPr>
          <w:rFonts w:ascii="Times New Roman" w:hAnsi="Times New Roman"/>
          <w:sz w:val="28"/>
          <w:szCs w:val="28"/>
        </w:rPr>
        <w:t>ст.</w:t>
      </w:r>
      <w:r w:rsidR="008925FA" w:rsidRPr="00577593">
        <w:rPr>
          <w:rFonts w:ascii="Times New Roman" w:hAnsi="Times New Roman"/>
          <w:sz w:val="28"/>
          <w:szCs w:val="28"/>
        </w:rPr>
        <w:t xml:space="preserve">Ползуново, </w:t>
      </w:r>
      <w:r>
        <w:rPr>
          <w:rFonts w:ascii="Times New Roman" w:hAnsi="Times New Roman"/>
          <w:sz w:val="28"/>
          <w:szCs w:val="28"/>
        </w:rPr>
        <w:br/>
        <w:t>п.</w:t>
      </w:r>
      <w:r w:rsidR="008925FA" w:rsidRPr="00577593">
        <w:rPr>
          <w:rFonts w:ascii="Times New Roman" w:hAnsi="Times New Roman"/>
          <w:sz w:val="28"/>
          <w:szCs w:val="28"/>
        </w:rPr>
        <w:t xml:space="preserve">Пригородный, </w:t>
      </w:r>
      <w:r>
        <w:rPr>
          <w:rFonts w:ascii="Times New Roman" w:hAnsi="Times New Roman"/>
          <w:sz w:val="28"/>
          <w:szCs w:val="28"/>
        </w:rPr>
        <w:t>п.</w:t>
      </w:r>
      <w:r w:rsidR="008925FA" w:rsidRPr="00577593">
        <w:rPr>
          <w:rFonts w:ascii="Times New Roman" w:hAnsi="Times New Roman"/>
          <w:sz w:val="28"/>
          <w:szCs w:val="28"/>
        </w:rPr>
        <w:t xml:space="preserve">Садоводов, </w:t>
      </w:r>
      <w:r>
        <w:rPr>
          <w:rFonts w:ascii="Times New Roman" w:hAnsi="Times New Roman"/>
          <w:sz w:val="28"/>
          <w:szCs w:val="28"/>
        </w:rPr>
        <w:t>п.</w:t>
      </w:r>
      <w:r w:rsidR="008925FA" w:rsidRPr="00577593">
        <w:rPr>
          <w:rFonts w:ascii="Times New Roman" w:hAnsi="Times New Roman"/>
          <w:sz w:val="28"/>
          <w:szCs w:val="28"/>
        </w:rPr>
        <w:t xml:space="preserve">Черницк, </w:t>
      </w:r>
      <w:r>
        <w:rPr>
          <w:rFonts w:ascii="Times New Roman" w:hAnsi="Times New Roman"/>
          <w:sz w:val="28"/>
          <w:szCs w:val="28"/>
        </w:rPr>
        <w:t>п.</w:t>
      </w:r>
      <w:r w:rsidR="008925FA" w:rsidRPr="00577593">
        <w:rPr>
          <w:rFonts w:ascii="Times New Roman" w:hAnsi="Times New Roman"/>
          <w:sz w:val="28"/>
          <w:szCs w:val="28"/>
        </w:rPr>
        <w:t>Ягодное.</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98,4% всего потребления топлива источниками теплоснабжения приходится на уголь. В городе функционируют 39 крышных котельных многоквартирных жилых домов и торговых центров в основном новой постройки.</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В централизованном теплоснабжении </w:t>
      </w:r>
      <w:r w:rsidR="004B1E0B">
        <w:rPr>
          <w:rFonts w:ascii="Times New Roman" w:hAnsi="Times New Roman"/>
          <w:sz w:val="28"/>
          <w:szCs w:val="28"/>
        </w:rPr>
        <w:t xml:space="preserve">города </w:t>
      </w:r>
      <w:r w:rsidRPr="00577593">
        <w:rPr>
          <w:rFonts w:ascii="Times New Roman" w:hAnsi="Times New Roman"/>
          <w:sz w:val="28"/>
          <w:szCs w:val="28"/>
        </w:rPr>
        <w:t>Барнаула задействованы следующие организации:</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АО «СГК-Алтай» эксплуатирует Барнаульскую ТЭЦ-2 с тепловой установленной мощностью 1148 Гкал/ч и Барнаульск</w:t>
      </w:r>
      <w:r w:rsidR="00276BD7">
        <w:rPr>
          <w:rFonts w:ascii="Times New Roman" w:eastAsia="Times New Roman" w:hAnsi="Times New Roman"/>
          <w:sz w:val="28"/>
          <w:szCs w:val="28"/>
          <w:lang w:eastAsia="ru-RU"/>
        </w:rPr>
        <w:t>ую</w:t>
      </w:r>
      <w:r w:rsidRPr="00577593">
        <w:rPr>
          <w:rFonts w:ascii="Times New Roman" w:eastAsia="Times New Roman" w:hAnsi="Times New Roman"/>
          <w:sz w:val="28"/>
          <w:szCs w:val="28"/>
          <w:lang w:eastAsia="ru-RU"/>
        </w:rPr>
        <w:t xml:space="preserve"> ТЭЦ-3 </w:t>
      </w:r>
      <w:r w:rsidR="00AE1750" w:rsidRPr="00577593">
        <w:rPr>
          <w:rFonts w:ascii="Times New Roman" w:eastAsia="Times New Roman" w:hAnsi="Times New Roman"/>
          <w:sz w:val="28"/>
          <w:szCs w:val="28"/>
          <w:lang w:eastAsia="ru-RU"/>
        </w:rPr>
        <w:br/>
      </w:r>
      <w:r w:rsidRPr="00577593">
        <w:rPr>
          <w:rFonts w:ascii="Times New Roman" w:eastAsia="Times New Roman" w:hAnsi="Times New Roman"/>
          <w:sz w:val="28"/>
          <w:szCs w:val="28"/>
          <w:lang w:eastAsia="ru-RU"/>
        </w:rPr>
        <w:t>с установленной тепловой мощностью 1450</w:t>
      </w:r>
      <w:r w:rsidR="00276BD7">
        <w:rPr>
          <w:rFonts w:ascii="Times New Roman" w:eastAsia="Times New Roman" w:hAnsi="Times New Roman"/>
          <w:sz w:val="28"/>
          <w:szCs w:val="28"/>
          <w:lang w:eastAsia="ru-RU"/>
        </w:rPr>
        <w:t> Гкал/ч;</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Филиал «Барнаульская теплосетевая компания» АО «СГК-Алтай» эксплуатирует собственные тепловые сети, переданные в концессию и арендованные</w:t>
      </w:r>
      <w:r w:rsidR="00276BD7">
        <w:rPr>
          <w:rFonts w:ascii="Times New Roman" w:eastAsia="Times New Roman" w:hAnsi="Times New Roman"/>
          <w:sz w:val="28"/>
          <w:szCs w:val="28"/>
          <w:lang w:eastAsia="ru-RU"/>
        </w:rPr>
        <w:t>;</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 xml:space="preserve">«ООО «Коммунсервис» осуществляет передачу тепловой энергии и теплоносителя от тепловых сетей АО «СГК-Алтай» до потребителей </w:t>
      </w:r>
      <w:r w:rsidR="00AE1750" w:rsidRPr="00577593">
        <w:rPr>
          <w:rFonts w:ascii="Times New Roman" w:eastAsia="Times New Roman" w:hAnsi="Times New Roman"/>
          <w:sz w:val="28"/>
          <w:szCs w:val="28"/>
          <w:lang w:eastAsia="ru-RU"/>
        </w:rPr>
        <w:br/>
      </w:r>
      <w:r w:rsidRPr="00577593">
        <w:rPr>
          <w:rFonts w:ascii="Times New Roman" w:eastAsia="Times New Roman" w:hAnsi="Times New Roman"/>
          <w:sz w:val="28"/>
          <w:szCs w:val="28"/>
          <w:lang w:eastAsia="ru-RU"/>
        </w:rPr>
        <w:t>по эксплуатируемым тепловым сетям (общая протяженность трубопроводов 43,2 км и центр</w:t>
      </w:r>
      <w:r w:rsidR="00276BD7">
        <w:rPr>
          <w:rFonts w:ascii="Times New Roman" w:eastAsia="Times New Roman" w:hAnsi="Times New Roman"/>
          <w:sz w:val="28"/>
          <w:szCs w:val="28"/>
          <w:lang w:eastAsia="ru-RU"/>
        </w:rPr>
        <w:t>альным тепловых пунктам (9 ЦТП);</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 xml:space="preserve">14 прочих теплоснабжающих организаций в статусе ЕТО </w:t>
      </w:r>
      <w:r w:rsidR="00AE1750" w:rsidRPr="00577593">
        <w:rPr>
          <w:rFonts w:ascii="Times New Roman" w:eastAsia="Times New Roman" w:hAnsi="Times New Roman"/>
          <w:sz w:val="28"/>
          <w:szCs w:val="28"/>
          <w:lang w:eastAsia="ru-RU"/>
        </w:rPr>
        <w:br/>
      </w:r>
      <w:r w:rsidRPr="00577593">
        <w:rPr>
          <w:rFonts w:ascii="Times New Roman" w:eastAsia="Times New Roman" w:hAnsi="Times New Roman"/>
          <w:sz w:val="28"/>
          <w:szCs w:val="28"/>
          <w:lang w:eastAsia="ru-RU"/>
        </w:rPr>
        <w:t xml:space="preserve">по состоянию на конец 2023 года, на балансе которых находятся </w:t>
      </w:r>
      <w:r w:rsidR="00AE1750" w:rsidRPr="00577593">
        <w:rPr>
          <w:rFonts w:ascii="Times New Roman" w:eastAsia="Times New Roman" w:hAnsi="Times New Roman"/>
          <w:sz w:val="28"/>
          <w:szCs w:val="28"/>
          <w:lang w:eastAsia="ru-RU"/>
        </w:rPr>
        <w:br/>
      </w:r>
      <w:r w:rsidRPr="00577593">
        <w:rPr>
          <w:rFonts w:ascii="Times New Roman" w:eastAsia="Times New Roman" w:hAnsi="Times New Roman"/>
          <w:sz w:val="28"/>
          <w:szCs w:val="28"/>
          <w:lang w:eastAsia="ru-RU"/>
        </w:rPr>
        <w:t xml:space="preserve">17 котельных </w:t>
      </w:r>
      <w:r w:rsidR="00672709" w:rsidRPr="00577593">
        <w:rPr>
          <w:rFonts w:ascii="Times New Roman" w:eastAsia="Times New Roman" w:hAnsi="Times New Roman"/>
          <w:sz w:val="28"/>
          <w:szCs w:val="28"/>
          <w:lang w:eastAsia="ru-RU"/>
        </w:rPr>
        <w:t>–</w:t>
      </w:r>
      <w:r w:rsidRPr="00577593">
        <w:rPr>
          <w:rFonts w:ascii="Times New Roman" w:eastAsia="Times New Roman" w:hAnsi="Times New Roman"/>
          <w:sz w:val="28"/>
          <w:szCs w:val="28"/>
          <w:lang w:eastAsia="ru-RU"/>
        </w:rPr>
        <w:t xml:space="preserve"> большинство котельных сосредоточе</w:t>
      </w:r>
      <w:r w:rsidR="00276BD7">
        <w:rPr>
          <w:rFonts w:ascii="Times New Roman" w:eastAsia="Times New Roman" w:hAnsi="Times New Roman"/>
          <w:sz w:val="28"/>
          <w:szCs w:val="28"/>
          <w:lang w:eastAsia="ru-RU"/>
        </w:rPr>
        <w:t>ны в историческом центре города.</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Прочие организации, на балансе которых находятся более </w:t>
      </w:r>
      <w:r w:rsidR="00AE1750" w:rsidRPr="00577593">
        <w:rPr>
          <w:rFonts w:ascii="Times New Roman" w:hAnsi="Times New Roman"/>
          <w:sz w:val="28"/>
          <w:szCs w:val="28"/>
        </w:rPr>
        <w:br/>
      </w:r>
      <w:r w:rsidRPr="00577593">
        <w:rPr>
          <w:rFonts w:ascii="Times New Roman" w:hAnsi="Times New Roman"/>
          <w:sz w:val="28"/>
          <w:szCs w:val="28"/>
        </w:rPr>
        <w:t>20 промышленных и ведомственных котельных, обеспечивающих потребность в тепле только собственных абонентов, не осуществляют регулируемой деятельности в сфере теплоснабжения. Установленная мощность источников тепловой энергии составляет более 140 Гкал/ч.</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Индивидуальным отоплением на 2023 год оборудовано </w:t>
      </w:r>
      <w:r w:rsidR="007E541E" w:rsidRPr="00577593">
        <w:rPr>
          <w:rFonts w:ascii="Times New Roman" w:hAnsi="Times New Roman"/>
          <w:sz w:val="28"/>
          <w:szCs w:val="28"/>
        </w:rPr>
        <w:br/>
      </w:r>
      <w:r w:rsidRPr="00577593">
        <w:rPr>
          <w:rFonts w:ascii="Times New Roman" w:hAnsi="Times New Roman"/>
          <w:sz w:val="28"/>
          <w:szCs w:val="28"/>
        </w:rPr>
        <w:t xml:space="preserve">3241,82 тыс. </w:t>
      </w:r>
      <w:r w:rsidR="000F76C4">
        <w:rPr>
          <w:rFonts w:ascii="Times New Roman" w:hAnsi="Times New Roman"/>
          <w:sz w:val="28"/>
          <w:szCs w:val="28"/>
        </w:rPr>
        <w:t>кв. м</w:t>
      </w:r>
      <w:r w:rsidRPr="00577593">
        <w:rPr>
          <w:rFonts w:ascii="Times New Roman" w:hAnsi="Times New Roman"/>
          <w:sz w:val="28"/>
          <w:szCs w:val="28"/>
        </w:rPr>
        <w:t xml:space="preserve"> жилых помещений (в том числе 2209,83 тыс. </w:t>
      </w:r>
      <w:r w:rsidR="000F76C4">
        <w:rPr>
          <w:rFonts w:ascii="Times New Roman" w:hAnsi="Times New Roman"/>
          <w:sz w:val="28"/>
          <w:szCs w:val="28"/>
        </w:rPr>
        <w:t>кв. м</w:t>
      </w:r>
      <w:r w:rsidRPr="00577593">
        <w:rPr>
          <w:rFonts w:ascii="Times New Roman" w:hAnsi="Times New Roman"/>
          <w:sz w:val="28"/>
          <w:szCs w:val="28"/>
        </w:rPr>
        <w:t xml:space="preserve"> </w:t>
      </w:r>
      <w:r w:rsidR="007E541E" w:rsidRPr="00577593">
        <w:rPr>
          <w:rFonts w:ascii="Times New Roman" w:hAnsi="Times New Roman"/>
          <w:sz w:val="28"/>
          <w:szCs w:val="28"/>
        </w:rPr>
        <w:br/>
      </w:r>
      <w:r w:rsidRPr="00577593">
        <w:rPr>
          <w:rFonts w:ascii="Times New Roman" w:hAnsi="Times New Roman"/>
          <w:sz w:val="28"/>
          <w:szCs w:val="28"/>
        </w:rPr>
        <w:t>по административному центру и 1031,99 тыс. </w:t>
      </w:r>
      <w:r w:rsidR="000F76C4">
        <w:rPr>
          <w:rFonts w:ascii="Times New Roman" w:hAnsi="Times New Roman"/>
          <w:sz w:val="28"/>
          <w:szCs w:val="28"/>
        </w:rPr>
        <w:t>кв. м</w:t>
      </w:r>
      <w:r w:rsidRPr="00577593">
        <w:rPr>
          <w:rFonts w:ascii="Times New Roman" w:hAnsi="Times New Roman"/>
          <w:sz w:val="28"/>
          <w:szCs w:val="28"/>
        </w:rPr>
        <w:t xml:space="preserve"> по пригородной зоне), или 16,9% от общей площади жилых помещений всего жилищного фонда.</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По состоянию на 31.12.2023 в </w:t>
      </w:r>
      <w:r w:rsidR="00276BD7">
        <w:rPr>
          <w:rFonts w:ascii="Times New Roman" w:hAnsi="Times New Roman"/>
          <w:sz w:val="28"/>
          <w:szCs w:val="28"/>
        </w:rPr>
        <w:t xml:space="preserve">городе </w:t>
      </w:r>
      <w:r w:rsidRPr="00577593">
        <w:rPr>
          <w:rFonts w:ascii="Times New Roman" w:hAnsi="Times New Roman"/>
          <w:sz w:val="28"/>
          <w:szCs w:val="28"/>
        </w:rPr>
        <w:t xml:space="preserve">Барнауле функционировали два источника комбинированной выработки тепловой и электрической энергии </w:t>
      </w:r>
      <w:r w:rsidR="007E541E" w:rsidRPr="00577593">
        <w:rPr>
          <w:rFonts w:ascii="Times New Roman" w:hAnsi="Times New Roman"/>
          <w:sz w:val="28"/>
          <w:szCs w:val="28"/>
        </w:rPr>
        <w:br/>
      </w:r>
      <w:r w:rsidRPr="00577593">
        <w:rPr>
          <w:rFonts w:ascii="Times New Roman" w:hAnsi="Times New Roman"/>
          <w:sz w:val="28"/>
          <w:szCs w:val="28"/>
        </w:rPr>
        <w:t xml:space="preserve">с суммарной установленной электрической мощностью 745,5 МВт и тепловой </w:t>
      </w:r>
      <w:r w:rsidR="00672709" w:rsidRPr="00577593">
        <w:rPr>
          <w:rFonts w:ascii="Times New Roman" w:hAnsi="Times New Roman"/>
          <w:sz w:val="28"/>
          <w:szCs w:val="28"/>
        </w:rPr>
        <w:t>–</w:t>
      </w:r>
      <w:r w:rsidRPr="00577593">
        <w:rPr>
          <w:rFonts w:ascii="Times New Roman" w:hAnsi="Times New Roman"/>
          <w:sz w:val="28"/>
          <w:szCs w:val="28"/>
        </w:rPr>
        <w:t xml:space="preserve"> 2 598 Гкал/ч, а именно БТЭЦ-2 и БТЭЦ-3, входящие в Группу «Сибирская генерирующая компания».</w:t>
      </w:r>
    </w:p>
    <w:p w:rsidR="00276BD7"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В зону деятельности ЕТО-1 согласно ранее утвержденной схеме теплоснабжения в 2023 году входили 33 системы теплоснабжения. </w:t>
      </w:r>
    </w:p>
    <w:p w:rsidR="00FC41F4" w:rsidRPr="00577593" w:rsidRDefault="00276BD7" w:rsidP="002000D4">
      <w:pPr>
        <w:spacing w:after="0" w:line="240" w:lineRule="auto"/>
        <w:ind w:firstLine="709"/>
        <w:jc w:val="both"/>
        <w:rPr>
          <w:rFonts w:ascii="Times New Roman" w:hAnsi="Times New Roman"/>
          <w:sz w:val="28"/>
          <w:szCs w:val="28"/>
        </w:rPr>
      </w:pPr>
      <w:r>
        <w:rPr>
          <w:rFonts w:ascii="Times New Roman" w:hAnsi="Times New Roman"/>
          <w:sz w:val="28"/>
          <w:szCs w:val="28"/>
        </w:rPr>
        <w:t>И</w:t>
      </w:r>
      <w:r w:rsidR="008925FA" w:rsidRPr="00577593">
        <w:rPr>
          <w:rFonts w:ascii="Times New Roman" w:hAnsi="Times New Roman"/>
          <w:sz w:val="28"/>
          <w:szCs w:val="28"/>
        </w:rPr>
        <w:t>сточники комбинированной выработки тепловой и электрической, в том числе:</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lastRenderedPageBreak/>
        <w:t xml:space="preserve">БТЭЦ-2 АО «Барнаульская генерация» с установленной мощностью </w:t>
      </w:r>
      <w:r w:rsidR="00672709" w:rsidRPr="00577593">
        <w:rPr>
          <w:rFonts w:ascii="Times New Roman" w:eastAsia="Times New Roman" w:hAnsi="Times New Roman"/>
          <w:sz w:val="28"/>
          <w:szCs w:val="28"/>
          <w:lang w:eastAsia="ru-RU"/>
        </w:rPr>
        <w:t>–</w:t>
      </w:r>
      <w:r w:rsidRPr="00577593">
        <w:rPr>
          <w:rFonts w:ascii="Times New Roman" w:eastAsia="Times New Roman" w:hAnsi="Times New Roman"/>
          <w:sz w:val="28"/>
          <w:szCs w:val="28"/>
          <w:lang w:eastAsia="ru-RU"/>
        </w:rPr>
        <w:t xml:space="preserve"> 300,5 МВт электрической и 1148 Гкал/ч тепловой;</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 xml:space="preserve">БТЭЦ-3 </w:t>
      </w:r>
      <w:r w:rsidR="00672709" w:rsidRPr="00577593">
        <w:rPr>
          <w:rFonts w:ascii="Times New Roman" w:eastAsia="Times New Roman" w:hAnsi="Times New Roman"/>
          <w:sz w:val="28"/>
          <w:szCs w:val="28"/>
          <w:lang w:eastAsia="ru-RU"/>
        </w:rPr>
        <w:t>–</w:t>
      </w:r>
      <w:r w:rsidRPr="00577593">
        <w:rPr>
          <w:rFonts w:ascii="Times New Roman" w:eastAsia="Times New Roman" w:hAnsi="Times New Roman"/>
          <w:sz w:val="28"/>
          <w:szCs w:val="28"/>
          <w:lang w:eastAsia="ru-RU"/>
        </w:rPr>
        <w:t xml:space="preserve"> филиал АО «Барнаульская генерация» с установленной мощностью </w:t>
      </w:r>
      <w:r w:rsidR="00672709" w:rsidRPr="00577593">
        <w:rPr>
          <w:rFonts w:ascii="Times New Roman" w:eastAsia="Times New Roman" w:hAnsi="Times New Roman"/>
          <w:sz w:val="28"/>
          <w:szCs w:val="28"/>
          <w:lang w:eastAsia="ru-RU"/>
        </w:rPr>
        <w:t>–</w:t>
      </w:r>
      <w:r w:rsidRPr="00577593">
        <w:rPr>
          <w:rFonts w:ascii="Times New Roman" w:eastAsia="Times New Roman" w:hAnsi="Times New Roman"/>
          <w:sz w:val="28"/>
          <w:szCs w:val="28"/>
          <w:lang w:eastAsia="ru-RU"/>
        </w:rPr>
        <w:t xml:space="preserve"> 445 МВт электрической и 1450 Гкал/ч тепловой.</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Котельные на обслуживании филиала АО «Барнаульская генерация» </w:t>
      </w:r>
      <w:r w:rsidR="00672709" w:rsidRPr="00577593">
        <w:rPr>
          <w:rFonts w:ascii="Times New Roman" w:hAnsi="Times New Roman"/>
          <w:sz w:val="28"/>
          <w:szCs w:val="28"/>
        </w:rPr>
        <w:t>–</w:t>
      </w:r>
      <w:r w:rsidRPr="00577593">
        <w:rPr>
          <w:rFonts w:ascii="Times New Roman" w:hAnsi="Times New Roman"/>
          <w:sz w:val="28"/>
          <w:szCs w:val="28"/>
        </w:rPr>
        <w:t xml:space="preserve"> «Барнаульская теплосетевая компания»:</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 xml:space="preserve">Районная водогрейная котельная в резерве. Потребители находятся </w:t>
      </w:r>
      <w:r w:rsidR="007E541E" w:rsidRPr="00577593">
        <w:rPr>
          <w:rFonts w:ascii="Times New Roman" w:eastAsia="Times New Roman" w:hAnsi="Times New Roman"/>
          <w:sz w:val="28"/>
          <w:szCs w:val="28"/>
          <w:lang w:eastAsia="ru-RU"/>
        </w:rPr>
        <w:br/>
      </w:r>
      <w:r w:rsidRPr="00577593">
        <w:rPr>
          <w:rFonts w:ascii="Times New Roman" w:eastAsia="Times New Roman" w:hAnsi="Times New Roman"/>
          <w:sz w:val="28"/>
          <w:szCs w:val="28"/>
          <w:lang w:eastAsia="ru-RU"/>
        </w:rPr>
        <w:t>в контуре Барнаульской ТЭЦ-2;</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 xml:space="preserve">29 муниципальных котельных, принятых на обслуживание </w:t>
      </w:r>
      <w:r w:rsidR="007E541E" w:rsidRPr="00577593">
        <w:rPr>
          <w:rFonts w:ascii="Times New Roman" w:eastAsia="Times New Roman" w:hAnsi="Times New Roman"/>
          <w:sz w:val="28"/>
          <w:szCs w:val="28"/>
          <w:lang w:eastAsia="ru-RU"/>
        </w:rPr>
        <w:br/>
      </w:r>
      <w:r w:rsidRPr="00577593">
        <w:rPr>
          <w:rFonts w:ascii="Times New Roman" w:eastAsia="Times New Roman" w:hAnsi="Times New Roman"/>
          <w:sz w:val="28"/>
          <w:szCs w:val="28"/>
          <w:lang w:eastAsia="ru-RU"/>
        </w:rPr>
        <w:t>по концессионному соглашению о</w:t>
      </w:r>
      <w:r w:rsidR="008413D1" w:rsidRPr="00577593">
        <w:rPr>
          <w:rFonts w:ascii="Times New Roman" w:eastAsia="Times New Roman" w:hAnsi="Times New Roman"/>
          <w:sz w:val="28"/>
          <w:szCs w:val="28"/>
          <w:lang w:eastAsia="ru-RU"/>
        </w:rPr>
        <w:t>т 23.12.2019</w:t>
      </w:r>
      <w:r w:rsidRPr="00577593">
        <w:rPr>
          <w:rFonts w:ascii="Times New Roman" w:eastAsia="Times New Roman" w:hAnsi="Times New Roman"/>
          <w:sz w:val="28"/>
          <w:szCs w:val="28"/>
          <w:lang w:eastAsia="ru-RU"/>
        </w:rPr>
        <w:t>;</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котельная, Научный городок, 47, принятая на обслуживание с начала ото</w:t>
      </w:r>
      <w:r w:rsidR="008413D1" w:rsidRPr="00577593">
        <w:rPr>
          <w:rFonts w:ascii="Times New Roman" w:eastAsia="Times New Roman" w:hAnsi="Times New Roman"/>
          <w:sz w:val="28"/>
          <w:szCs w:val="28"/>
          <w:lang w:eastAsia="ru-RU"/>
        </w:rPr>
        <w:t>пительного периода 2020/2021 годов</w:t>
      </w:r>
      <w:r w:rsidR="00276BD7">
        <w:rPr>
          <w:rFonts w:ascii="Times New Roman" w:eastAsia="Times New Roman" w:hAnsi="Times New Roman"/>
          <w:sz w:val="28"/>
          <w:szCs w:val="28"/>
          <w:lang w:eastAsia="ru-RU"/>
        </w:rPr>
        <w:t>;</w:t>
      </w:r>
    </w:p>
    <w:p w:rsidR="00FC41F4" w:rsidRPr="00577593" w:rsidRDefault="008925FA" w:rsidP="002000D4">
      <w:pPr>
        <w:pStyle w:val="af5"/>
        <w:numPr>
          <w:ilvl w:val="0"/>
          <w:numId w:val="1"/>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 xml:space="preserve">котельная </w:t>
      </w:r>
      <w:r w:rsidR="004A71A2" w:rsidRPr="004A71A2">
        <w:rPr>
          <w:rFonts w:ascii="Times New Roman" w:eastAsia="Times New Roman" w:hAnsi="Times New Roman"/>
          <w:sz w:val="28"/>
          <w:szCs w:val="28"/>
          <w:lang w:eastAsia="ru-RU"/>
        </w:rPr>
        <w:t>Учреждени</w:t>
      </w:r>
      <w:r w:rsidR="004A71A2">
        <w:rPr>
          <w:rFonts w:ascii="Times New Roman" w:eastAsia="Times New Roman" w:hAnsi="Times New Roman"/>
          <w:sz w:val="28"/>
          <w:szCs w:val="28"/>
          <w:lang w:eastAsia="ru-RU"/>
        </w:rPr>
        <w:t>я</w:t>
      </w:r>
      <w:r w:rsidR="004A71A2" w:rsidRPr="004A71A2">
        <w:rPr>
          <w:rFonts w:ascii="Times New Roman" w:eastAsia="Times New Roman" w:hAnsi="Times New Roman"/>
          <w:sz w:val="28"/>
          <w:szCs w:val="28"/>
          <w:lang w:eastAsia="ru-RU"/>
        </w:rPr>
        <w:t xml:space="preserve"> Алтайского краевого совета профсоюзов санаторий «Барнаульский»</w:t>
      </w:r>
      <w:r w:rsidRPr="00577593">
        <w:rPr>
          <w:rFonts w:ascii="Times New Roman" w:eastAsia="Times New Roman" w:hAnsi="Times New Roman"/>
          <w:sz w:val="28"/>
          <w:szCs w:val="28"/>
          <w:lang w:eastAsia="ru-RU"/>
        </w:rPr>
        <w:t>.</w:t>
      </w:r>
    </w:p>
    <w:p w:rsidR="00FC41F4" w:rsidRPr="00577593" w:rsidRDefault="00EB3FF4" w:rsidP="002000D4">
      <w:pPr>
        <w:spacing w:after="0" w:line="240" w:lineRule="auto"/>
        <w:ind w:firstLine="709"/>
        <w:jc w:val="both"/>
        <w:rPr>
          <w:rFonts w:ascii="Times New Roman" w:hAnsi="Times New Roman"/>
          <w:sz w:val="28"/>
          <w:szCs w:val="28"/>
        </w:rPr>
      </w:pPr>
      <w:r w:rsidRPr="004A71A2">
        <w:rPr>
          <w:rFonts w:ascii="Times New Roman" w:eastAsia="Times New Roman" w:hAnsi="Times New Roman"/>
          <w:sz w:val="28"/>
          <w:szCs w:val="28"/>
          <w:lang w:eastAsia="ru-RU"/>
        </w:rPr>
        <w:t>БТЭЦ-2</w:t>
      </w:r>
      <w:r w:rsidR="008925FA" w:rsidRPr="004A71A2">
        <w:rPr>
          <w:rFonts w:ascii="Times New Roman" w:eastAsia="Times New Roman" w:hAnsi="Times New Roman"/>
          <w:sz w:val="28"/>
          <w:szCs w:val="28"/>
          <w:lang w:eastAsia="ru-RU"/>
        </w:rPr>
        <w:t xml:space="preserve"> введена</w:t>
      </w:r>
      <w:r w:rsidR="008925FA" w:rsidRPr="00577593">
        <w:rPr>
          <w:rFonts w:ascii="Times New Roman" w:hAnsi="Times New Roman"/>
          <w:sz w:val="28"/>
          <w:szCs w:val="28"/>
        </w:rPr>
        <w:t xml:space="preserve"> в эксплуатацию в 1955 году. Она снабжает электроэнергией и теплом около 50% </w:t>
      </w:r>
      <w:r w:rsidR="003F323B">
        <w:rPr>
          <w:rFonts w:ascii="Times New Roman" w:hAnsi="Times New Roman"/>
          <w:sz w:val="28"/>
          <w:szCs w:val="28"/>
        </w:rPr>
        <w:t xml:space="preserve">города </w:t>
      </w:r>
      <w:r w:rsidR="008925FA" w:rsidRPr="00577593">
        <w:rPr>
          <w:rFonts w:ascii="Times New Roman" w:hAnsi="Times New Roman"/>
          <w:sz w:val="28"/>
          <w:szCs w:val="28"/>
        </w:rPr>
        <w:t>Барнаула – в основном его центральную часть</w:t>
      </w:r>
      <w:r w:rsidR="003F323B">
        <w:rPr>
          <w:rFonts w:ascii="Times New Roman" w:hAnsi="Times New Roman"/>
          <w:sz w:val="28"/>
          <w:szCs w:val="28"/>
        </w:rPr>
        <w:t>.</w:t>
      </w:r>
      <w:r w:rsidR="008925FA" w:rsidRPr="00577593">
        <w:rPr>
          <w:rFonts w:ascii="Times New Roman" w:hAnsi="Times New Roman"/>
          <w:sz w:val="28"/>
          <w:szCs w:val="28"/>
        </w:rPr>
        <w:t xml:space="preserve"> Все энергетические котлы станции работают с продленным ресурсом. Ближайшая выработка ресурса работы турбин наступит не ранее 2026 года.</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БТЭЦ-3 </w:t>
      </w:r>
      <w:r w:rsidR="00672709" w:rsidRPr="00577593">
        <w:rPr>
          <w:rFonts w:ascii="Times New Roman" w:hAnsi="Times New Roman"/>
          <w:sz w:val="28"/>
          <w:szCs w:val="28"/>
        </w:rPr>
        <w:t>–</w:t>
      </w:r>
      <w:r w:rsidRPr="00577593">
        <w:rPr>
          <w:rFonts w:ascii="Times New Roman" w:hAnsi="Times New Roman"/>
          <w:sz w:val="28"/>
          <w:szCs w:val="28"/>
        </w:rPr>
        <w:t xml:space="preserve"> самая молодая и современная теплоэлектростанция в Алтайской энергосистеме. Как электростанция БТЭЦ-3 введена в</w:t>
      </w:r>
      <w:r w:rsidR="008413D1" w:rsidRPr="00577593">
        <w:rPr>
          <w:rFonts w:ascii="Times New Roman" w:hAnsi="Times New Roman"/>
          <w:sz w:val="28"/>
          <w:szCs w:val="28"/>
        </w:rPr>
        <w:t xml:space="preserve"> эксплуатацию 19 декабря 1981 года</w:t>
      </w:r>
      <w:r w:rsidRPr="00577593">
        <w:rPr>
          <w:rFonts w:ascii="Times New Roman" w:hAnsi="Times New Roman"/>
          <w:sz w:val="28"/>
          <w:szCs w:val="28"/>
        </w:rPr>
        <w:t xml:space="preserve"> Строительство первой очереди станции закончено в декабре 1986 года с вводом в эксплуатацию пяти энергетических котлов и трех турбин. БТЭЦ-3 обеспечивает теплом порядка 45% потребителей </w:t>
      </w:r>
      <w:r w:rsidR="004B1E0B">
        <w:rPr>
          <w:rFonts w:ascii="Times New Roman" w:hAnsi="Times New Roman"/>
          <w:sz w:val="28"/>
          <w:szCs w:val="28"/>
        </w:rPr>
        <w:t>города</w:t>
      </w:r>
      <w:r w:rsidRPr="00577593">
        <w:rPr>
          <w:rFonts w:ascii="Times New Roman" w:hAnsi="Times New Roman"/>
          <w:sz w:val="28"/>
          <w:szCs w:val="28"/>
        </w:rPr>
        <w:t xml:space="preserve">. На ее долю приходится треть ежегодной выработки электрической энергии в масштабах региона. БТЭЦ-3 отпускает тепловую энергию в горячей воде и паре. Установленная электрическая мощность БТЭЦ-3 на 01.01.2023 составила 445 МВт, тепловая </w:t>
      </w:r>
      <w:r w:rsidR="00672709" w:rsidRPr="00577593">
        <w:rPr>
          <w:rFonts w:ascii="Times New Roman" w:hAnsi="Times New Roman"/>
          <w:sz w:val="28"/>
          <w:szCs w:val="28"/>
        </w:rPr>
        <w:t>–</w:t>
      </w:r>
      <w:r w:rsidRPr="00577593">
        <w:rPr>
          <w:rFonts w:ascii="Times New Roman" w:hAnsi="Times New Roman"/>
          <w:sz w:val="28"/>
          <w:szCs w:val="28"/>
        </w:rPr>
        <w:t xml:space="preserve"> 1450 Гкал/час, в том числе отборов турбоагрегатов </w:t>
      </w:r>
      <w:r w:rsidR="00672709" w:rsidRPr="00577593">
        <w:rPr>
          <w:rFonts w:ascii="Times New Roman" w:hAnsi="Times New Roman"/>
          <w:sz w:val="28"/>
          <w:szCs w:val="28"/>
        </w:rPr>
        <w:t>–</w:t>
      </w:r>
      <w:r w:rsidRPr="00577593">
        <w:rPr>
          <w:rFonts w:ascii="Times New Roman" w:hAnsi="Times New Roman"/>
          <w:sz w:val="28"/>
          <w:szCs w:val="28"/>
        </w:rPr>
        <w:t xml:space="preserve"> 720 Гкал/ч.</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Тепловая мощность муниципальных котельных составляет </w:t>
      </w:r>
      <w:r w:rsidR="007E541E" w:rsidRPr="00577593">
        <w:rPr>
          <w:rFonts w:ascii="Times New Roman" w:hAnsi="Times New Roman"/>
          <w:sz w:val="28"/>
          <w:szCs w:val="28"/>
        </w:rPr>
        <w:br/>
      </w:r>
      <w:r w:rsidRPr="00577593">
        <w:rPr>
          <w:rFonts w:ascii="Times New Roman" w:hAnsi="Times New Roman"/>
          <w:sz w:val="28"/>
          <w:szCs w:val="28"/>
        </w:rPr>
        <w:t xml:space="preserve">79,68 Гкал/ч. Основу тепловой мощности котельных составляет оборудование, введенное с 1980 по 2005 годы. В 2023 году установлено </w:t>
      </w:r>
      <w:r w:rsidR="007E541E" w:rsidRPr="00577593">
        <w:rPr>
          <w:rFonts w:ascii="Times New Roman" w:hAnsi="Times New Roman"/>
          <w:sz w:val="28"/>
          <w:szCs w:val="28"/>
        </w:rPr>
        <w:br/>
      </w:r>
      <w:r w:rsidRPr="00577593">
        <w:rPr>
          <w:rFonts w:ascii="Times New Roman" w:hAnsi="Times New Roman"/>
          <w:sz w:val="28"/>
          <w:szCs w:val="28"/>
        </w:rPr>
        <w:t xml:space="preserve">18 котлов в 7 котельных. Средневзвешенный срок котельного оборудования котельных на конец 2023 года составил 11 лет. 35,5% расхода топлива приходилось на уголь, на газ </w:t>
      </w:r>
      <w:r w:rsidR="00672709" w:rsidRPr="00577593">
        <w:rPr>
          <w:rFonts w:ascii="Times New Roman" w:hAnsi="Times New Roman"/>
          <w:sz w:val="28"/>
          <w:szCs w:val="28"/>
        </w:rPr>
        <w:t>–</w:t>
      </w:r>
      <w:r w:rsidRPr="00577593">
        <w:rPr>
          <w:rFonts w:ascii="Times New Roman" w:hAnsi="Times New Roman"/>
          <w:sz w:val="28"/>
          <w:szCs w:val="28"/>
        </w:rPr>
        <w:t xml:space="preserve"> 64,5%.</w:t>
      </w:r>
    </w:p>
    <w:p w:rsidR="00FC41F4" w:rsidRPr="00577593" w:rsidRDefault="008925FA" w:rsidP="004A71A2">
      <w:pPr>
        <w:spacing w:after="0" w:line="240" w:lineRule="auto"/>
        <w:ind w:firstLine="709"/>
        <w:jc w:val="both"/>
        <w:rPr>
          <w:rFonts w:ascii="Times New Roman" w:hAnsi="Times New Roman"/>
          <w:b/>
          <w:sz w:val="28"/>
          <w:szCs w:val="28"/>
        </w:rPr>
      </w:pPr>
      <w:r w:rsidRPr="00577593">
        <w:rPr>
          <w:rFonts w:ascii="Times New Roman" w:hAnsi="Times New Roman"/>
          <w:b/>
          <w:sz w:val="28"/>
          <w:szCs w:val="28"/>
        </w:rPr>
        <w:t>Твердые коммунальные отходы</w:t>
      </w:r>
    </w:p>
    <w:p w:rsidR="00FC41F4" w:rsidRPr="004A71A2" w:rsidRDefault="008925FA" w:rsidP="004A71A2">
      <w:pPr>
        <w:pStyle w:val="my-2"/>
        <w:spacing w:before="0" w:beforeAutospacing="0" w:after="0" w:afterAutospacing="0"/>
        <w:ind w:firstLine="709"/>
        <w:jc w:val="both"/>
        <w:rPr>
          <w:sz w:val="28"/>
          <w:szCs w:val="28"/>
        </w:rPr>
      </w:pPr>
      <w:r w:rsidRPr="004A71A2">
        <w:rPr>
          <w:sz w:val="28"/>
          <w:szCs w:val="28"/>
        </w:rPr>
        <w:t>В 2013 году администрацией города было создано акционерное общество «ЭКО</w:t>
      </w:r>
      <w:r w:rsidRPr="004A71A2">
        <w:rPr>
          <w:sz w:val="28"/>
          <w:szCs w:val="28"/>
        </w:rPr>
        <w:noBreakHyphen/>
        <w:t xml:space="preserve">Комплекс», которое эксплуатирует единственный в </w:t>
      </w:r>
      <w:r w:rsidR="003F323B" w:rsidRPr="004A71A2">
        <w:rPr>
          <w:sz w:val="28"/>
          <w:szCs w:val="28"/>
        </w:rPr>
        <w:t xml:space="preserve">городе </w:t>
      </w:r>
      <w:r w:rsidRPr="004A71A2">
        <w:rPr>
          <w:sz w:val="28"/>
          <w:szCs w:val="28"/>
        </w:rPr>
        <w:t xml:space="preserve">Барнауле лицензируемый полигон по захоронению ТБО. С 1 января </w:t>
      </w:r>
      <w:r w:rsidR="007E541E" w:rsidRPr="004A71A2">
        <w:rPr>
          <w:sz w:val="28"/>
          <w:szCs w:val="28"/>
        </w:rPr>
        <w:br/>
      </w:r>
      <w:r w:rsidRPr="004A71A2">
        <w:rPr>
          <w:rFonts w:eastAsia="SimSun"/>
          <w:sz w:val="28"/>
          <w:szCs w:val="28"/>
          <w:lang w:eastAsia="en-US"/>
        </w:rPr>
        <w:t xml:space="preserve">2019 года по 1 июня 2021 года «ЭКО-Комплекс» являлось региональным оператором по обращению с ТКО в Барнаульской зоне. </w:t>
      </w:r>
      <w:r w:rsidR="004A71A2" w:rsidRPr="004A71A2">
        <w:rPr>
          <w:rFonts w:eastAsia="SimSun"/>
          <w:sz w:val="28"/>
          <w:szCs w:val="28"/>
          <w:lang w:eastAsia="en-US"/>
        </w:rPr>
        <w:t xml:space="preserve">На краевом уровне планируется актуализация </w:t>
      </w:r>
      <w:r w:rsidR="004A71A2" w:rsidRPr="004A71A2">
        <w:rPr>
          <w:rFonts w:eastAsia="SimSun"/>
          <w:bCs/>
          <w:sz w:val="28"/>
          <w:szCs w:val="28"/>
          <w:lang w:eastAsia="en-US"/>
        </w:rPr>
        <w:t>территориальной схемы обращения с отходами</w:t>
      </w:r>
      <w:r w:rsidR="004A71A2" w:rsidRPr="004A71A2">
        <w:rPr>
          <w:rFonts w:eastAsia="SimSun"/>
          <w:sz w:val="28"/>
          <w:szCs w:val="28"/>
          <w:lang w:eastAsia="en-US"/>
        </w:rPr>
        <w:t xml:space="preserve">, что позволит обеспечить комплексное и системное управление в данной сфере. Отсутствие действующей схемы на текущий момент сдерживает </w:t>
      </w:r>
      <w:r w:rsidR="004A71A2" w:rsidRPr="004A71A2">
        <w:rPr>
          <w:rFonts w:eastAsia="SimSun"/>
          <w:sz w:val="28"/>
          <w:szCs w:val="28"/>
          <w:lang w:eastAsia="en-US"/>
        </w:rPr>
        <w:lastRenderedPageBreak/>
        <w:t>реализацию мероприятий по развитию инфраструктуры обращения с отходами.</w:t>
      </w:r>
    </w:p>
    <w:p w:rsidR="00FC41F4" w:rsidRPr="00577593" w:rsidRDefault="008925FA" w:rsidP="004A71A2">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Эксплуатация полигона, начавшего свою работу в 1974 году, была продлена до конца 2028 года, в 2022 году на нем уже было захоронено около 9 млн тонн, а общая мощность полигона (после продления) </w:t>
      </w:r>
      <w:r w:rsidR="00672709" w:rsidRPr="00577593">
        <w:rPr>
          <w:rFonts w:ascii="Times New Roman" w:hAnsi="Times New Roman"/>
          <w:sz w:val="28"/>
          <w:szCs w:val="28"/>
        </w:rPr>
        <w:t>–</w:t>
      </w:r>
      <w:r w:rsidRPr="00577593">
        <w:rPr>
          <w:rFonts w:ascii="Times New Roman" w:hAnsi="Times New Roman"/>
          <w:sz w:val="28"/>
          <w:szCs w:val="28"/>
        </w:rPr>
        <w:t xml:space="preserve"> 13 млн тонн. В </w:t>
      </w:r>
      <w:r w:rsidR="003F323B">
        <w:rPr>
          <w:rFonts w:ascii="Times New Roman" w:hAnsi="Times New Roman"/>
          <w:sz w:val="28"/>
          <w:szCs w:val="28"/>
        </w:rPr>
        <w:t xml:space="preserve">городе </w:t>
      </w:r>
      <w:r w:rsidRPr="00577593">
        <w:rPr>
          <w:rFonts w:ascii="Times New Roman" w:hAnsi="Times New Roman"/>
          <w:sz w:val="28"/>
          <w:szCs w:val="28"/>
        </w:rPr>
        <w:t xml:space="preserve">Барнауле в год образуется </w:t>
      </w:r>
      <w:r w:rsidR="00C358AE" w:rsidRPr="00577593">
        <w:rPr>
          <w:rFonts w:ascii="Times New Roman" w:hAnsi="Times New Roman"/>
          <w:sz w:val="28"/>
          <w:szCs w:val="28"/>
        </w:rPr>
        <w:t>213,9</w:t>
      </w:r>
      <w:r w:rsidRPr="00577593">
        <w:rPr>
          <w:rFonts w:ascii="Times New Roman" w:hAnsi="Times New Roman"/>
          <w:sz w:val="28"/>
          <w:szCs w:val="28"/>
        </w:rPr>
        <w:t xml:space="preserve"> тыс. тонн ТКО </w:t>
      </w:r>
      <w:r w:rsidR="00672709" w:rsidRPr="00577593">
        <w:rPr>
          <w:rFonts w:ascii="Times New Roman" w:hAnsi="Times New Roman"/>
          <w:sz w:val="28"/>
          <w:szCs w:val="28"/>
        </w:rPr>
        <w:t>–</w:t>
      </w:r>
      <w:r w:rsidRPr="00577593">
        <w:rPr>
          <w:rFonts w:ascii="Times New Roman" w:hAnsi="Times New Roman"/>
          <w:sz w:val="28"/>
          <w:szCs w:val="28"/>
        </w:rPr>
        <w:t xml:space="preserve"> более половины от объема всего Алтайского края. В 2012</w:t>
      </w:r>
      <w:r w:rsidR="008413D1" w:rsidRPr="00577593">
        <w:rPr>
          <w:rFonts w:ascii="Times New Roman" w:hAnsi="Times New Roman"/>
          <w:sz w:val="28"/>
          <w:szCs w:val="28"/>
        </w:rPr>
        <w:t>-2018 годы</w:t>
      </w:r>
      <w:r w:rsidRPr="00577593">
        <w:rPr>
          <w:rFonts w:ascii="Times New Roman" w:hAnsi="Times New Roman"/>
          <w:sz w:val="28"/>
          <w:szCs w:val="28"/>
        </w:rPr>
        <w:t xml:space="preserve"> на полигон вывозилось от 1,68 до 2 млн куб. м ТКО. Ограничением для привлечения инвесторов в эту область является низкий тариф на вывоз мусора (один из самых невысоких в городах Сибири).</w:t>
      </w:r>
    </w:p>
    <w:p w:rsidR="00FC41F4" w:rsidRPr="004A71A2" w:rsidRDefault="008925FA" w:rsidP="002000D4">
      <w:pPr>
        <w:spacing w:after="0" w:line="240" w:lineRule="auto"/>
        <w:ind w:firstLine="709"/>
        <w:jc w:val="both"/>
        <w:rPr>
          <w:rFonts w:ascii="Times New Roman" w:hAnsi="Times New Roman"/>
          <w:b/>
          <w:sz w:val="28"/>
          <w:szCs w:val="28"/>
        </w:rPr>
      </w:pPr>
      <w:r w:rsidRPr="004A71A2">
        <w:rPr>
          <w:rFonts w:ascii="Times New Roman" w:hAnsi="Times New Roman"/>
          <w:b/>
          <w:sz w:val="28"/>
          <w:szCs w:val="28"/>
        </w:rPr>
        <w:t>Электроснабжение</w:t>
      </w:r>
    </w:p>
    <w:p w:rsidR="00264D25" w:rsidRPr="00577593" w:rsidRDefault="003F323B" w:rsidP="002000D4">
      <w:pPr>
        <w:spacing w:after="0" w:line="240" w:lineRule="auto"/>
        <w:ind w:firstLine="709"/>
        <w:jc w:val="both"/>
        <w:rPr>
          <w:rFonts w:ascii="Times New Roman" w:hAnsi="Times New Roman"/>
          <w:sz w:val="28"/>
          <w:szCs w:val="28"/>
        </w:rPr>
      </w:pPr>
      <w:r>
        <w:rPr>
          <w:rFonts w:ascii="Times New Roman" w:hAnsi="Times New Roman"/>
          <w:sz w:val="28"/>
          <w:szCs w:val="28"/>
        </w:rPr>
        <w:t xml:space="preserve">Город </w:t>
      </w:r>
      <w:r w:rsidR="00264D25" w:rsidRPr="00577593">
        <w:rPr>
          <w:rFonts w:ascii="Times New Roman" w:hAnsi="Times New Roman"/>
          <w:sz w:val="28"/>
          <w:szCs w:val="28"/>
        </w:rPr>
        <w:t xml:space="preserve">Барнаул обеспечивают электроэнергией ТЭЦ-2 и ТЭЦ-3, собственником которых является АО «СГК-Алтай», принадлежащая «Сибирской генерирующей компании». Мощность ТЭЦ-2 составляет </w:t>
      </w:r>
      <w:r w:rsidR="007E541E" w:rsidRPr="00577593">
        <w:rPr>
          <w:rFonts w:ascii="Times New Roman" w:hAnsi="Times New Roman"/>
          <w:sz w:val="28"/>
          <w:szCs w:val="28"/>
        </w:rPr>
        <w:br/>
      </w:r>
      <w:r w:rsidR="00264D25" w:rsidRPr="00577593">
        <w:rPr>
          <w:rFonts w:ascii="Times New Roman" w:hAnsi="Times New Roman"/>
          <w:sz w:val="28"/>
          <w:szCs w:val="28"/>
        </w:rPr>
        <w:t xml:space="preserve">300 МВт, ТЭЦ-3 </w:t>
      </w:r>
      <w:r w:rsidR="00327A9B" w:rsidRPr="00577593">
        <w:rPr>
          <w:rFonts w:ascii="Times New Roman" w:hAnsi="Times New Roman"/>
          <w:sz w:val="28"/>
          <w:szCs w:val="28"/>
        </w:rPr>
        <w:t>-</w:t>
      </w:r>
      <w:r w:rsidR="00264D25" w:rsidRPr="00577593">
        <w:rPr>
          <w:rFonts w:ascii="Times New Roman" w:hAnsi="Times New Roman"/>
          <w:sz w:val="28"/>
          <w:szCs w:val="28"/>
        </w:rPr>
        <w:t xml:space="preserve"> 445 МВт. </w:t>
      </w:r>
    </w:p>
    <w:p w:rsidR="00264D25" w:rsidRPr="00577593" w:rsidRDefault="00264D25"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Основные сетевые организации, осуществляющие деятельность </w:t>
      </w:r>
      <w:r w:rsidR="007E541E" w:rsidRPr="00577593">
        <w:rPr>
          <w:rFonts w:ascii="Times New Roman" w:hAnsi="Times New Roman"/>
          <w:sz w:val="28"/>
          <w:szCs w:val="28"/>
        </w:rPr>
        <w:br/>
      </w:r>
      <w:r w:rsidRPr="00577593">
        <w:rPr>
          <w:rFonts w:ascii="Times New Roman" w:hAnsi="Times New Roman"/>
          <w:sz w:val="28"/>
          <w:szCs w:val="28"/>
        </w:rPr>
        <w:t>по передаче электрической энергии на территории город</w:t>
      </w:r>
      <w:r w:rsidR="00327A9B" w:rsidRPr="00577593">
        <w:rPr>
          <w:rFonts w:ascii="Times New Roman" w:hAnsi="Times New Roman"/>
          <w:sz w:val="28"/>
          <w:szCs w:val="28"/>
        </w:rPr>
        <w:t>а</w:t>
      </w:r>
      <w:r w:rsidRPr="00577593">
        <w:rPr>
          <w:rFonts w:ascii="Times New Roman" w:hAnsi="Times New Roman"/>
          <w:sz w:val="28"/>
          <w:szCs w:val="28"/>
        </w:rPr>
        <w:t xml:space="preserve">, </w:t>
      </w:r>
      <w:r w:rsidR="00327A9B" w:rsidRPr="00577593">
        <w:rPr>
          <w:rFonts w:ascii="Times New Roman" w:hAnsi="Times New Roman"/>
          <w:sz w:val="28"/>
          <w:szCs w:val="28"/>
        </w:rPr>
        <w:t>-</w:t>
      </w:r>
      <w:r w:rsidRPr="00577593">
        <w:rPr>
          <w:rFonts w:ascii="Times New Roman" w:hAnsi="Times New Roman"/>
          <w:sz w:val="28"/>
          <w:szCs w:val="28"/>
        </w:rPr>
        <w:t xml:space="preserve"> филиал </w:t>
      </w:r>
      <w:r w:rsidR="007E541E" w:rsidRPr="00577593">
        <w:rPr>
          <w:rFonts w:ascii="Times New Roman" w:hAnsi="Times New Roman"/>
          <w:sz w:val="28"/>
          <w:szCs w:val="28"/>
        </w:rPr>
        <w:br/>
      </w:r>
      <w:r w:rsidRPr="00577593">
        <w:rPr>
          <w:rFonts w:ascii="Times New Roman" w:hAnsi="Times New Roman"/>
          <w:sz w:val="28"/>
          <w:szCs w:val="28"/>
        </w:rPr>
        <w:t xml:space="preserve">ПАО «Россети Сибирь» </w:t>
      </w:r>
      <w:r w:rsidR="00327A9B" w:rsidRPr="00577593">
        <w:rPr>
          <w:rFonts w:ascii="Times New Roman" w:hAnsi="Times New Roman"/>
          <w:sz w:val="28"/>
          <w:szCs w:val="28"/>
        </w:rPr>
        <w:t>-</w:t>
      </w:r>
      <w:r w:rsidRPr="00577593">
        <w:rPr>
          <w:rFonts w:ascii="Times New Roman" w:hAnsi="Times New Roman"/>
          <w:sz w:val="28"/>
          <w:szCs w:val="28"/>
        </w:rPr>
        <w:t xml:space="preserve"> «Алтайэнерго» и ООО «Барнаульская сетевая компания». ПАО «Россети Сибирь» явялется системообразующей территориальной сетевой организацией в Алтайском крае </w:t>
      </w:r>
      <w:r w:rsidR="00327A9B" w:rsidRPr="00577593">
        <w:rPr>
          <w:rFonts w:ascii="Times New Roman" w:hAnsi="Times New Roman"/>
          <w:sz w:val="28"/>
          <w:szCs w:val="28"/>
        </w:rPr>
        <w:br/>
      </w:r>
      <w:r w:rsidRPr="00577593">
        <w:rPr>
          <w:rFonts w:ascii="Times New Roman" w:hAnsi="Times New Roman"/>
          <w:sz w:val="28"/>
          <w:szCs w:val="28"/>
        </w:rPr>
        <w:t xml:space="preserve">и на территории </w:t>
      </w:r>
      <w:r w:rsidR="004B1E0B">
        <w:rPr>
          <w:rFonts w:ascii="Times New Roman" w:hAnsi="Times New Roman"/>
          <w:sz w:val="28"/>
          <w:szCs w:val="28"/>
        </w:rPr>
        <w:t xml:space="preserve">города </w:t>
      </w:r>
      <w:r w:rsidRPr="00577593">
        <w:rPr>
          <w:rFonts w:ascii="Times New Roman" w:hAnsi="Times New Roman"/>
          <w:sz w:val="28"/>
          <w:szCs w:val="28"/>
        </w:rPr>
        <w:t>Б</w:t>
      </w:r>
      <w:r w:rsidR="00327A9B" w:rsidRPr="00577593">
        <w:rPr>
          <w:rFonts w:ascii="Times New Roman" w:hAnsi="Times New Roman"/>
          <w:sz w:val="28"/>
          <w:szCs w:val="28"/>
        </w:rPr>
        <w:t>арнаула (на период 2025-2029 годов</w:t>
      </w:r>
      <w:r w:rsidRPr="00577593">
        <w:rPr>
          <w:rFonts w:ascii="Times New Roman" w:hAnsi="Times New Roman"/>
          <w:sz w:val="28"/>
          <w:szCs w:val="28"/>
        </w:rPr>
        <w:t>).</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Электроснабжение в </w:t>
      </w:r>
      <w:r w:rsidR="003F323B">
        <w:rPr>
          <w:rFonts w:ascii="Times New Roman" w:hAnsi="Times New Roman"/>
          <w:sz w:val="28"/>
          <w:szCs w:val="28"/>
        </w:rPr>
        <w:t xml:space="preserve">городе </w:t>
      </w:r>
      <w:r w:rsidRPr="00577593">
        <w:rPr>
          <w:rFonts w:ascii="Times New Roman" w:hAnsi="Times New Roman"/>
          <w:sz w:val="28"/>
          <w:szCs w:val="28"/>
        </w:rPr>
        <w:t>обеспечивает территориальная сетевая компания ООО «Барнаульская сетевая компания». Общая протяженность электрических сетей, находящихся в эксплуатации компании, составляет 3205,9 км. Компания так же эксплуатирует 1186 трансформаторных подстанций, 57 распределительных пунктов и 5 понизительных подстанций. Объем пропуска электроэнерг</w:t>
      </w:r>
      <w:r w:rsidR="003F323B">
        <w:rPr>
          <w:rFonts w:ascii="Times New Roman" w:hAnsi="Times New Roman"/>
          <w:sz w:val="28"/>
          <w:szCs w:val="28"/>
        </w:rPr>
        <w:t xml:space="preserve">ии по сетям составляет 1,6 млрд </w:t>
      </w:r>
      <w:r w:rsidRPr="00577593">
        <w:rPr>
          <w:rFonts w:ascii="Times New Roman" w:hAnsi="Times New Roman"/>
          <w:sz w:val="28"/>
          <w:szCs w:val="28"/>
        </w:rPr>
        <w:t>кВт.ч.</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К основным проблемам в сфере жилищно-коммунального хозяйства можно отнести:</w:t>
      </w:r>
    </w:p>
    <w:p w:rsidR="00FC41F4" w:rsidRPr="00577593" w:rsidRDefault="008925FA" w:rsidP="002000D4">
      <w:pPr>
        <w:pStyle w:val="af5"/>
        <w:numPr>
          <w:ilvl w:val="0"/>
          <w:numId w:val="22"/>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 xml:space="preserve">отсутствие синхронизации развития инженерной инфраструктуры с новым жилищным строительством; </w:t>
      </w:r>
    </w:p>
    <w:p w:rsidR="00FC41F4" w:rsidRPr="00577593" w:rsidRDefault="008925FA" w:rsidP="002000D4">
      <w:pPr>
        <w:pStyle w:val="af5"/>
        <w:numPr>
          <w:ilvl w:val="0"/>
          <w:numId w:val="22"/>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высокий уровень износа сетевой инфраструктуры;</w:t>
      </w:r>
    </w:p>
    <w:p w:rsidR="00FC41F4" w:rsidRPr="00577593" w:rsidRDefault="008925FA" w:rsidP="002000D4">
      <w:pPr>
        <w:pStyle w:val="af5"/>
        <w:numPr>
          <w:ilvl w:val="0"/>
          <w:numId w:val="22"/>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несоответствие качества воды нормативам в пригородной зоне</w:t>
      </w:r>
      <w:r w:rsidR="003F323B">
        <w:rPr>
          <w:rFonts w:ascii="Times New Roman" w:eastAsia="Times New Roman" w:hAnsi="Times New Roman"/>
          <w:sz w:val="28"/>
          <w:szCs w:val="28"/>
          <w:lang w:eastAsia="ru-RU"/>
        </w:rPr>
        <w:t>;</w:t>
      </w:r>
    </w:p>
    <w:p w:rsidR="00FC41F4" w:rsidRPr="00577593" w:rsidRDefault="008925FA" w:rsidP="002000D4">
      <w:pPr>
        <w:pStyle w:val="af5"/>
        <w:numPr>
          <w:ilvl w:val="0"/>
          <w:numId w:val="22"/>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исчерпание ресурса действующего мусорного полигона.</w:t>
      </w:r>
      <w:bookmarkStart w:id="144" w:name="_Toc190065783"/>
      <w:bookmarkStart w:id="145" w:name="_Toc204923010"/>
      <w:bookmarkStart w:id="146" w:name="_Toc204933344"/>
    </w:p>
    <w:p w:rsidR="00FC41F4" w:rsidRPr="00577593" w:rsidRDefault="008925FA" w:rsidP="002000D4">
      <w:pPr>
        <w:pStyle w:val="3"/>
        <w:spacing w:before="0" w:line="240" w:lineRule="auto"/>
        <w:ind w:firstLine="709"/>
        <w:rPr>
          <w:rFonts w:ascii="Times New Roman" w:hAnsi="Times New Roman"/>
          <w:b/>
          <w:color w:val="auto"/>
          <w:sz w:val="28"/>
          <w:szCs w:val="28"/>
        </w:rPr>
      </w:pPr>
      <w:bookmarkStart w:id="147" w:name="_Toc208496648"/>
      <w:bookmarkStart w:id="148" w:name="_Toc208668930"/>
      <w:bookmarkStart w:id="149" w:name="_Toc212804279"/>
      <w:r w:rsidRPr="00577593">
        <w:rPr>
          <w:rFonts w:ascii="Times New Roman" w:hAnsi="Times New Roman"/>
          <w:b/>
          <w:color w:val="auto"/>
          <w:sz w:val="28"/>
          <w:szCs w:val="28"/>
        </w:rPr>
        <w:t>2.7.3</w:t>
      </w:r>
      <w:r w:rsidR="003F323B">
        <w:rPr>
          <w:rFonts w:ascii="Times New Roman" w:hAnsi="Times New Roman"/>
          <w:b/>
          <w:color w:val="auto"/>
          <w:sz w:val="28"/>
          <w:szCs w:val="28"/>
        </w:rPr>
        <w:t>.</w:t>
      </w:r>
      <w:r w:rsidRPr="00577593">
        <w:rPr>
          <w:rFonts w:ascii="Times New Roman" w:hAnsi="Times New Roman"/>
          <w:b/>
          <w:color w:val="auto"/>
          <w:sz w:val="28"/>
          <w:szCs w:val="28"/>
        </w:rPr>
        <w:t xml:space="preserve"> Городской транспорт и дороги</w:t>
      </w:r>
      <w:bookmarkEnd w:id="144"/>
      <w:bookmarkEnd w:id="145"/>
      <w:bookmarkEnd w:id="146"/>
      <w:bookmarkEnd w:id="147"/>
      <w:bookmarkEnd w:id="148"/>
      <w:bookmarkEnd w:id="149"/>
    </w:p>
    <w:p w:rsidR="00FC41F4" w:rsidRPr="00577593" w:rsidRDefault="008925FA" w:rsidP="002000D4">
      <w:pPr>
        <w:spacing w:after="0" w:line="240" w:lineRule="auto"/>
        <w:ind w:firstLine="709"/>
        <w:jc w:val="both"/>
        <w:rPr>
          <w:rFonts w:ascii="Times New Roman" w:hAnsi="Times New Roman"/>
          <w:b/>
          <w:sz w:val="28"/>
          <w:szCs w:val="28"/>
        </w:rPr>
      </w:pPr>
      <w:r w:rsidRPr="00577593">
        <w:rPr>
          <w:rFonts w:ascii="Times New Roman" w:hAnsi="Times New Roman"/>
          <w:b/>
          <w:bCs/>
          <w:sz w:val="28"/>
          <w:szCs w:val="28"/>
        </w:rPr>
        <w:t>Городской транспорт</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До 2013 года в сфере пассажирских перевозок происходил процесс консолидации рынка, количество частных перевозчиков снизилось с 126 в 2006 г</w:t>
      </w:r>
      <w:r w:rsidR="008413D1" w:rsidRPr="00577593">
        <w:rPr>
          <w:rFonts w:ascii="Times New Roman" w:hAnsi="Times New Roman"/>
          <w:sz w:val="28"/>
          <w:szCs w:val="28"/>
        </w:rPr>
        <w:t>оду до 38 в 2011 году, к 2013 году их стало 26, к концу 2024 года</w:t>
      </w:r>
      <w:r w:rsidRPr="00577593">
        <w:rPr>
          <w:rFonts w:ascii="Times New Roman" w:hAnsi="Times New Roman"/>
          <w:sz w:val="28"/>
          <w:szCs w:val="28"/>
        </w:rPr>
        <w:t xml:space="preserve"> уменьшилось до 23. Перевозку пассажиров на территории города осуществляет также муниципальное унитарное предприятие </w:t>
      </w:r>
      <w:r w:rsidR="003F323B">
        <w:rPr>
          <w:rFonts w:ascii="Times New Roman" w:hAnsi="Times New Roman"/>
          <w:sz w:val="28"/>
          <w:szCs w:val="28"/>
        </w:rPr>
        <w:br/>
      </w:r>
      <w:r w:rsidRPr="00577593">
        <w:rPr>
          <w:rFonts w:ascii="Times New Roman" w:hAnsi="Times New Roman"/>
          <w:sz w:val="28"/>
          <w:szCs w:val="28"/>
        </w:rPr>
        <w:t xml:space="preserve">«Горэлектротранс» г. Барнаула. В 2013 году общественный транспорт города насчитывал 9 трамвайных, 3 троллейбусных, 49 автобусных городских маршрутов, 35 маршрутных такси. В 2025 году на территории городского округа работают 79 маршрутов общественного транспорта, </w:t>
      </w:r>
      <w:r w:rsidR="007E541E" w:rsidRPr="00577593">
        <w:rPr>
          <w:rFonts w:ascii="Times New Roman" w:hAnsi="Times New Roman"/>
          <w:sz w:val="28"/>
          <w:szCs w:val="28"/>
        </w:rPr>
        <w:br/>
      </w:r>
      <w:r w:rsidRPr="00577593">
        <w:rPr>
          <w:rFonts w:ascii="Times New Roman" w:hAnsi="Times New Roman"/>
          <w:sz w:val="28"/>
          <w:szCs w:val="28"/>
        </w:rPr>
        <w:lastRenderedPageBreak/>
        <w:t xml:space="preserve">из них: 11 маршрутов электрического транспорта (8 трамвайных, </w:t>
      </w:r>
      <w:r w:rsidR="007E541E" w:rsidRPr="00577593">
        <w:rPr>
          <w:rFonts w:ascii="Times New Roman" w:hAnsi="Times New Roman"/>
          <w:sz w:val="28"/>
          <w:szCs w:val="28"/>
        </w:rPr>
        <w:br/>
      </w:r>
      <w:r w:rsidRPr="00577593">
        <w:rPr>
          <w:rFonts w:ascii="Times New Roman" w:hAnsi="Times New Roman"/>
          <w:sz w:val="28"/>
          <w:szCs w:val="28"/>
        </w:rPr>
        <w:t xml:space="preserve">3 троллейбусных), 68 автобусных маршрутов. Из 79 маршрутов </w:t>
      </w:r>
      <w:r w:rsidR="007E541E" w:rsidRPr="00577593">
        <w:rPr>
          <w:rFonts w:ascii="Times New Roman" w:hAnsi="Times New Roman"/>
          <w:sz w:val="28"/>
          <w:szCs w:val="28"/>
        </w:rPr>
        <w:br/>
      </w:r>
      <w:r w:rsidRPr="00577593">
        <w:rPr>
          <w:rFonts w:ascii="Times New Roman" w:hAnsi="Times New Roman"/>
          <w:sz w:val="28"/>
          <w:szCs w:val="28"/>
        </w:rPr>
        <w:t xml:space="preserve">по 66 маршрутам перевозки пассажиров осуществляются по регулируемому тарифу, по 13 маршрутам </w:t>
      </w:r>
      <w:r w:rsidR="00672709" w:rsidRPr="00577593">
        <w:rPr>
          <w:rFonts w:ascii="Times New Roman" w:hAnsi="Times New Roman"/>
          <w:sz w:val="28"/>
          <w:szCs w:val="28"/>
        </w:rPr>
        <w:t>–</w:t>
      </w:r>
      <w:r w:rsidRPr="00577593">
        <w:rPr>
          <w:rFonts w:ascii="Times New Roman" w:hAnsi="Times New Roman"/>
          <w:sz w:val="28"/>
          <w:szCs w:val="28"/>
        </w:rPr>
        <w:t xml:space="preserve"> по нерегулируемому тарифу. </w:t>
      </w:r>
      <w:r w:rsidR="007E541E" w:rsidRPr="00577593">
        <w:rPr>
          <w:rFonts w:ascii="Times New Roman" w:hAnsi="Times New Roman"/>
          <w:sz w:val="28"/>
          <w:szCs w:val="28"/>
        </w:rPr>
        <w:br/>
      </w:r>
      <w:r w:rsidRPr="00577593">
        <w:rPr>
          <w:rFonts w:ascii="Times New Roman" w:hAnsi="Times New Roman"/>
          <w:sz w:val="28"/>
          <w:szCs w:val="28"/>
        </w:rPr>
        <w:t>В межмуниципальных маршрутах регулярных перевозок в зоне городского округа действуют 117 автобусных маршрутов.</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Количество единиц подвижного состава также постепенно снижалось </w:t>
      </w:r>
      <w:r w:rsidR="007E541E" w:rsidRPr="00577593">
        <w:rPr>
          <w:rFonts w:ascii="Times New Roman" w:hAnsi="Times New Roman"/>
          <w:sz w:val="28"/>
          <w:szCs w:val="28"/>
        </w:rPr>
        <w:br/>
      </w:r>
      <w:r w:rsidRPr="00577593">
        <w:rPr>
          <w:rFonts w:ascii="Times New Roman" w:hAnsi="Times New Roman"/>
          <w:sz w:val="28"/>
          <w:szCs w:val="28"/>
        </w:rPr>
        <w:t>в течение 2012</w:t>
      </w:r>
      <w:r w:rsidR="00672709" w:rsidRPr="00577593">
        <w:rPr>
          <w:rFonts w:ascii="Times New Roman" w:hAnsi="Times New Roman"/>
          <w:sz w:val="28"/>
          <w:szCs w:val="28"/>
        </w:rPr>
        <w:t>-2024 годов</w:t>
      </w:r>
      <w:r w:rsidRPr="00577593">
        <w:rPr>
          <w:rFonts w:ascii="Times New Roman" w:hAnsi="Times New Roman"/>
          <w:sz w:val="28"/>
          <w:szCs w:val="28"/>
        </w:rPr>
        <w:t>. Если к 2012 году количество единиц подвижного состава уменьшилось до 1012 ед. по сравнению с 1200 ед. в 2006 году, то к 2025 году подвижной состав сократился уже до 625 ед.</w:t>
      </w:r>
    </w:p>
    <w:p w:rsidR="003F323B" w:rsidRPr="00577593" w:rsidRDefault="008925FA" w:rsidP="003F323B">
      <w:pPr>
        <w:spacing w:after="0" w:line="240" w:lineRule="auto"/>
        <w:ind w:firstLine="709"/>
        <w:jc w:val="both"/>
        <w:rPr>
          <w:rFonts w:ascii="Times New Roman" w:hAnsi="Times New Roman"/>
          <w:sz w:val="28"/>
          <w:szCs w:val="28"/>
        </w:rPr>
      </w:pPr>
      <w:r w:rsidRPr="00577593">
        <w:rPr>
          <w:rFonts w:ascii="Times New Roman" w:hAnsi="Times New Roman"/>
          <w:sz w:val="28"/>
          <w:szCs w:val="28"/>
        </w:rPr>
        <w:t>Соотношение структуры подвижного состава</w:t>
      </w:r>
      <w:r w:rsidR="008413D1" w:rsidRPr="00577593">
        <w:rPr>
          <w:rFonts w:ascii="Times New Roman" w:hAnsi="Times New Roman"/>
          <w:sz w:val="28"/>
          <w:szCs w:val="28"/>
        </w:rPr>
        <w:t xml:space="preserve"> и пассажироперевозок </w:t>
      </w:r>
      <w:r w:rsidR="007E541E" w:rsidRPr="00577593">
        <w:rPr>
          <w:rFonts w:ascii="Times New Roman" w:hAnsi="Times New Roman"/>
          <w:sz w:val="28"/>
          <w:szCs w:val="28"/>
        </w:rPr>
        <w:br/>
      </w:r>
      <w:r w:rsidR="008413D1" w:rsidRPr="00577593">
        <w:rPr>
          <w:rFonts w:ascii="Times New Roman" w:hAnsi="Times New Roman"/>
          <w:sz w:val="28"/>
          <w:szCs w:val="28"/>
        </w:rPr>
        <w:t>до 2012 года</w:t>
      </w:r>
      <w:r w:rsidRPr="00577593">
        <w:rPr>
          <w:rFonts w:ascii="Times New Roman" w:hAnsi="Times New Roman"/>
          <w:sz w:val="28"/>
          <w:szCs w:val="28"/>
        </w:rPr>
        <w:t xml:space="preserve"> приведено в</w:t>
      </w:r>
      <w:r w:rsidR="003F323B">
        <w:rPr>
          <w:rFonts w:ascii="Times New Roman" w:hAnsi="Times New Roman"/>
          <w:sz w:val="28"/>
          <w:szCs w:val="28"/>
        </w:rPr>
        <w:t xml:space="preserve"> Таблице 12.</w:t>
      </w:r>
    </w:p>
    <w:p w:rsidR="003F323B" w:rsidRDefault="003F323B" w:rsidP="002000D4">
      <w:pPr>
        <w:spacing w:after="0" w:line="240" w:lineRule="auto"/>
        <w:jc w:val="both"/>
        <w:rPr>
          <w:rFonts w:ascii="Times New Roman" w:hAnsi="Times New Roman"/>
          <w:sz w:val="28"/>
          <w:szCs w:val="28"/>
        </w:rPr>
      </w:pPr>
      <w:bookmarkStart w:id="150" w:name="_Ref199458989"/>
    </w:p>
    <w:p w:rsidR="00FC41F4" w:rsidRPr="00577593" w:rsidRDefault="008925FA" w:rsidP="002000D4">
      <w:pPr>
        <w:spacing w:after="0" w:line="240" w:lineRule="auto"/>
        <w:jc w:val="both"/>
        <w:rPr>
          <w:rFonts w:ascii="Times New Roman" w:hAnsi="Times New Roman"/>
          <w:sz w:val="28"/>
          <w:szCs w:val="28"/>
        </w:rPr>
      </w:pPr>
      <w:r w:rsidRPr="00577593">
        <w:rPr>
          <w:rFonts w:ascii="Times New Roman" w:hAnsi="Times New Roman"/>
          <w:sz w:val="28"/>
          <w:szCs w:val="28"/>
        </w:rPr>
        <w:t xml:space="preserve">Таблица </w:t>
      </w:r>
      <w:r w:rsidR="00074AE5" w:rsidRPr="00577593">
        <w:rPr>
          <w:rFonts w:ascii="Times New Roman" w:hAnsi="Times New Roman"/>
          <w:sz w:val="28"/>
          <w:szCs w:val="28"/>
        </w:rPr>
        <w:fldChar w:fldCharType="begin"/>
      </w:r>
      <w:r w:rsidRPr="00577593">
        <w:rPr>
          <w:rFonts w:ascii="Times New Roman" w:hAnsi="Times New Roman"/>
          <w:sz w:val="28"/>
          <w:szCs w:val="28"/>
        </w:rPr>
        <w:instrText xml:space="preserve"> SEQ Таблица \* ARABIC </w:instrText>
      </w:r>
      <w:r w:rsidR="00074AE5" w:rsidRPr="00577593">
        <w:rPr>
          <w:rFonts w:ascii="Times New Roman" w:hAnsi="Times New Roman"/>
          <w:sz w:val="28"/>
          <w:szCs w:val="28"/>
        </w:rPr>
        <w:fldChar w:fldCharType="separate"/>
      </w:r>
      <w:r w:rsidR="00071499">
        <w:rPr>
          <w:rFonts w:ascii="Times New Roman" w:hAnsi="Times New Roman"/>
          <w:noProof/>
          <w:sz w:val="28"/>
          <w:szCs w:val="28"/>
        </w:rPr>
        <w:t>12</w:t>
      </w:r>
      <w:r w:rsidR="00074AE5" w:rsidRPr="00577593">
        <w:rPr>
          <w:rFonts w:ascii="Times New Roman" w:hAnsi="Times New Roman"/>
          <w:sz w:val="28"/>
          <w:szCs w:val="28"/>
        </w:rPr>
        <w:fldChar w:fldCharType="end"/>
      </w:r>
      <w:bookmarkEnd w:id="150"/>
      <w:r w:rsidRPr="00577593">
        <w:rPr>
          <w:rFonts w:ascii="Times New Roman" w:hAnsi="Times New Roman"/>
          <w:sz w:val="28"/>
          <w:szCs w:val="28"/>
        </w:rPr>
        <w:t xml:space="preserve"> </w:t>
      </w:r>
      <w:r w:rsidR="00672709" w:rsidRPr="00577593">
        <w:rPr>
          <w:rFonts w:ascii="Times New Roman" w:hAnsi="Times New Roman"/>
          <w:sz w:val="28"/>
          <w:szCs w:val="28"/>
        </w:rPr>
        <w:t>–</w:t>
      </w:r>
      <w:r w:rsidR="008413D1" w:rsidRPr="00577593">
        <w:rPr>
          <w:rFonts w:ascii="Times New Roman" w:hAnsi="Times New Roman"/>
          <w:sz w:val="28"/>
          <w:szCs w:val="28"/>
        </w:rPr>
        <w:t xml:space="preserve"> Структура перевозок до 2012 года</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52"/>
        <w:gridCol w:w="3685"/>
        <w:gridCol w:w="3119"/>
      </w:tblGrid>
      <w:tr w:rsidR="00FC41F4" w:rsidRPr="00577593" w:rsidTr="003F323B">
        <w:trPr>
          <w:trHeight w:val="300"/>
          <w:jc w:val="center"/>
        </w:trPr>
        <w:tc>
          <w:tcPr>
            <w:tcW w:w="2552" w:type="dxa"/>
            <w:tcBorders>
              <w:top w:val="single" w:sz="4" w:space="0" w:color="auto"/>
              <w:left w:val="single" w:sz="4" w:space="0" w:color="auto"/>
              <w:bottom w:val="single" w:sz="4" w:space="0" w:color="auto"/>
              <w:right w:val="single" w:sz="4" w:space="0" w:color="auto"/>
            </w:tcBorders>
            <w:vAlign w:val="center"/>
          </w:tcPr>
          <w:p w:rsidR="00FC41F4" w:rsidRPr="00577593" w:rsidRDefault="008925FA"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Вид подвижного состава</w:t>
            </w:r>
          </w:p>
        </w:tc>
        <w:tc>
          <w:tcPr>
            <w:tcW w:w="3685" w:type="dxa"/>
            <w:tcBorders>
              <w:top w:val="single" w:sz="4" w:space="0" w:color="auto"/>
              <w:left w:val="single" w:sz="4" w:space="0" w:color="auto"/>
              <w:bottom w:val="single" w:sz="4" w:space="0" w:color="auto"/>
              <w:right w:val="single" w:sz="4" w:space="0" w:color="auto"/>
            </w:tcBorders>
            <w:vAlign w:val="center"/>
          </w:tcPr>
          <w:p w:rsidR="00FC41F4" w:rsidRPr="00577593" w:rsidRDefault="008925FA" w:rsidP="002000D4">
            <w:pPr>
              <w:spacing w:after="0" w:line="240" w:lineRule="auto"/>
              <w:jc w:val="center"/>
              <w:rPr>
                <w:rFonts w:ascii="Times New Roman" w:eastAsia="Times New Roman" w:hAnsi="Times New Roman"/>
                <w:bCs/>
                <w:sz w:val="20"/>
                <w:szCs w:val="20"/>
                <w:lang w:eastAsia="ru-RU"/>
              </w:rPr>
            </w:pPr>
            <w:r w:rsidRPr="00577593">
              <w:rPr>
                <w:rFonts w:ascii="Times New Roman" w:eastAsia="Times New Roman" w:hAnsi="Times New Roman"/>
                <w:bCs/>
                <w:sz w:val="20"/>
                <w:szCs w:val="20"/>
                <w:lang w:eastAsia="ru-RU"/>
              </w:rPr>
              <w:t xml:space="preserve">Доля в парке подвижного состава </w:t>
            </w:r>
            <w:r w:rsidRPr="00577593">
              <w:rPr>
                <w:rFonts w:ascii="Times New Roman" w:eastAsia="Times New Roman" w:hAnsi="Times New Roman"/>
                <w:bCs/>
                <w:sz w:val="20"/>
                <w:szCs w:val="20"/>
                <w:lang w:eastAsia="ru-RU"/>
              </w:rPr>
              <w:br/>
              <w:t>в 2009 г</w:t>
            </w:r>
            <w:r w:rsidR="008413D1" w:rsidRPr="00577593">
              <w:rPr>
                <w:rFonts w:ascii="Times New Roman" w:eastAsia="Times New Roman" w:hAnsi="Times New Roman"/>
                <w:bCs/>
                <w:sz w:val="20"/>
                <w:szCs w:val="20"/>
                <w:lang w:eastAsia="ru-RU"/>
              </w:rPr>
              <w:t>оду</w:t>
            </w:r>
            <w:r w:rsidR="003D0815" w:rsidRPr="00577593">
              <w:rPr>
                <w:rFonts w:ascii="Times New Roman" w:eastAsia="Times New Roman" w:hAnsi="Times New Roman"/>
                <w:bCs/>
                <w:sz w:val="20"/>
                <w:szCs w:val="20"/>
                <w:lang w:eastAsia="ru-RU"/>
              </w:rPr>
              <w:t>, %</w:t>
            </w:r>
          </w:p>
        </w:tc>
        <w:tc>
          <w:tcPr>
            <w:tcW w:w="3119" w:type="dxa"/>
            <w:tcBorders>
              <w:top w:val="single" w:sz="4" w:space="0" w:color="auto"/>
              <w:left w:val="single" w:sz="4" w:space="0" w:color="auto"/>
              <w:bottom w:val="single" w:sz="4" w:space="0" w:color="auto"/>
              <w:right w:val="single" w:sz="4" w:space="0" w:color="auto"/>
            </w:tcBorders>
            <w:vAlign w:val="center"/>
          </w:tcPr>
          <w:p w:rsidR="00FC41F4" w:rsidRPr="00577593" w:rsidRDefault="008925FA" w:rsidP="002000D4">
            <w:pPr>
              <w:spacing w:after="0" w:line="240" w:lineRule="auto"/>
              <w:jc w:val="center"/>
              <w:rPr>
                <w:rFonts w:ascii="Times New Roman" w:eastAsia="Times New Roman" w:hAnsi="Times New Roman"/>
                <w:bCs/>
                <w:sz w:val="20"/>
                <w:szCs w:val="20"/>
                <w:lang w:eastAsia="ru-RU"/>
              </w:rPr>
            </w:pPr>
            <w:r w:rsidRPr="00577593">
              <w:rPr>
                <w:rFonts w:ascii="Times New Roman" w:eastAsia="Times New Roman" w:hAnsi="Times New Roman"/>
                <w:bCs/>
                <w:sz w:val="20"/>
                <w:szCs w:val="20"/>
                <w:lang w:eastAsia="ru-RU"/>
              </w:rPr>
              <w:t>Объем пассажироперевозок в 2011 г</w:t>
            </w:r>
            <w:r w:rsidR="008413D1" w:rsidRPr="00577593">
              <w:rPr>
                <w:rFonts w:ascii="Times New Roman" w:eastAsia="Times New Roman" w:hAnsi="Times New Roman"/>
                <w:bCs/>
                <w:sz w:val="20"/>
                <w:szCs w:val="20"/>
                <w:lang w:eastAsia="ru-RU"/>
              </w:rPr>
              <w:t>оду</w:t>
            </w:r>
            <w:r w:rsidR="003D0815" w:rsidRPr="00577593">
              <w:rPr>
                <w:rFonts w:ascii="Times New Roman" w:eastAsia="Times New Roman" w:hAnsi="Times New Roman"/>
                <w:bCs/>
                <w:sz w:val="20"/>
                <w:szCs w:val="20"/>
                <w:lang w:eastAsia="ru-RU"/>
              </w:rPr>
              <w:t>, %</w:t>
            </w:r>
          </w:p>
        </w:tc>
      </w:tr>
      <w:tr w:rsidR="00FC41F4" w:rsidRPr="00577593" w:rsidTr="003F323B">
        <w:trPr>
          <w:trHeight w:val="300"/>
          <w:jc w:val="center"/>
        </w:trPr>
        <w:tc>
          <w:tcPr>
            <w:tcW w:w="2552" w:type="dxa"/>
            <w:tcBorders>
              <w:top w:val="single" w:sz="4" w:space="0" w:color="auto"/>
              <w:left w:val="single" w:sz="4" w:space="0" w:color="auto"/>
              <w:bottom w:val="single" w:sz="4" w:space="0" w:color="auto"/>
              <w:right w:val="single" w:sz="4" w:space="0" w:color="auto"/>
            </w:tcBorders>
          </w:tcPr>
          <w:p w:rsidR="00FC41F4" w:rsidRPr="00577593" w:rsidRDefault="008925FA" w:rsidP="002000D4">
            <w:pPr>
              <w:spacing w:after="0" w:line="240" w:lineRule="auto"/>
              <w:jc w:val="both"/>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Трамваи</w:t>
            </w:r>
          </w:p>
        </w:tc>
        <w:tc>
          <w:tcPr>
            <w:tcW w:w="3685" w:type="dxa"/>
            <w:tcBorders>
              <w:top w:val="single" w:sz="4" w:space="0" w:color="auto"/>
              <w:left w:val="single" w:sz="4" w:space="0" w:color="auto"/>
              <w:bottom w:val="single" w:sz="4" w:space="0" w:color="auto"/>
              <w:right w:val="single" w:sz="4" w:space="0" w:color="auto"/>
            </w:tcBorders>
            <w:vAlign w:val="center"/>
          </w:tcPr>
          <w:p w:rsidR="00FC41F4" w:rsidRPr="00577593" w:rsidRDefault="008925FA"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16,3</w:t>
            </w:r>
          </w:p>
        </w:tc>
        <w:tc>
          <w:tcPr>
            <w:tcW w:w="3119" w:type="dxa"/>
            <w:tcBorders>
              <w:top w:val="single" w:sz="4" w:space="0" w:color="auto"/>
              <w:left w:val="single" w:sz="4" w:space="0" w:color="auto"/>
              <w:bottom w:val="single" w:sz="4" w:space="0" w:color="auto"/>
              <w:right w:val="single" w:sz="4" w:space="0" w:color="auto"/>
            </w:tcBorders>
            <w:vAlign w:val="center"/>
          </w:tcPr>
          <w:p w:rsidR="00FC41F4" w:rsidRPr="00577593" w:rsidRDefault="008925FA"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20</w:t>
            </w:r>
          </w:p>
        </w:tc>
      </w:tr>
      <w:tr w:rsidR="00FC41F4" w:rsidRPr="00577593" w:rsidTr="003F323B">
        <w:trPr>
          <w:trHeight w:val="300"/>
          <w:jc w:val="center"/>
        </w:trPr>
        <w:tc>
          <w:tcPr>
            <w:tcW w:w="2552" w:type="dxa"/>
            <w:tcBorders>
              <w:top w:val="single" w:sz="4" w:space="0" w:color="auto"/>
              <w:left w:val="single" w:sz="4" w:space="0" w:color="auto"/>
              <w:bottom w:val="single" w:sz="4" w:space="0" w:color="auto"/>
              <w:right w:val="single" w:sz="4" w:space="0" w:color="auto"/>
            </w:tcBorders>
          </w:tcPr>
          <w:p w:rsidR="00FC41F4" w:rsidRPr="00577593" w:rsidRDefault="008925FA" w:rsidP="002000D4">
            <w:pPr>
              <w:spacing w:after="0" w:line="240" w:lineRule="auto"/>
              <w:jc w:val="both"/>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Троллейбусы</w:t>
            </w:r>
          </w:p>
        </w:tc>
        <w:tc>
          <w:tcPr>
            <w:tcW w:w="3685" w:type="dxa"/>
            <w:tcBorders>
              <w:top w:val="single" w:sz="4" w:space="0" w:color="auto"/>
              <w:left w:val="single" w:sz="4" w:space="0" w:color="auto"/>
              <w:bottom w:val="single" w:sz="4" w:space="0" w:color="auto"/>
              <w:right w:val="single" w:sz="4" w:space="0" w:color="auto"/>
            </w:tcBorders>
            <w:vAlign w:val="center"/>
          </w:tcPr>
          <w:p w:rsidR="00FC41F4" w:rsidRPr="00577593" w:rsidRDefault="008925FA"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4,7</w:t>
            </w:r>
          </w:p>
        </w:tc>
        <w:tc>
          <w:tcPr>
            <w:tcW w:w="3119" w:type="dxa"/>
            <w:tcBorders>
              <w:top w:val="single" w:sz="4" w:space="0" w:color="auto"/>
              <w:left w:val="single" w:sz="4" w:space="0" w:color="auto"/>
              <w:bottom w:val="single" w:sz="4" w:space="0" w:color="auto"/>
              <w:right w:val="single" w:sz="4" w:space="0" w:color="auto"/>
            </w:tcBorders>
            <w:vAlign w:val="center"/>
          </w:tcPr>
          <w:p w:rsidR="00FC41F4" w:rsidRPr="00577593" w:rsidRDefault="008925FA"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9</w:t>
            </w:r>
          </w:p>
        </w:tc>
      </w:tr>
      <w:tr w:rsidR="00FC41F4" w:rsidRPr="00577593" w:rsidTr="003F323B">
        <w:trPr>
          <w:trHeight w:val="300"/>
          <w:jc w:val="center"/>
        </w:trPr>
        <w:tc>
          <w:tcPr>
            <w:tcW w:w="2552" w:type="dxa"/>
            <w:tcBorders>
              <w:top w:val="single" w:sz="4" w:space="0" w:color="auto"/>
              <w:left w:val="single" w:sz="4" w:space="0" w:color="auto"/>
              <w:bottom w:val="single" w:sz="4" w:space="0" w:color="auto"/>
              <w:right w:val="single" w:sz="4" w:space="0" w:color="auto"/>
            </w:tcBorders>
          </w:tcPr>
          <w:p w:rsidR="00FC41F4" w:rsidRPr="00577593" w:rsidRDefault="008925FA" w:rsidP="002000D4">
            <w:pPr>
              <w:spacing w:after="0" w:line="240" w:lineRule="auto"/>
              <w:jc w:val="both"/>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Автобусы большой вместимости</w:t>
            </w:r>
          </w:p>
        </w:tc>
        <w:tc>
          <w:tcPr>
            <w:tcW w:w="3685" w:type="dxa"/>
            <w:tcBorders>
              <w:top w:val="single" w:sz="4" w:space="0" w:color="auto"/>
              <w:left w:val="single" w:sz="4" w:space="0" w:color="auto"/>
              <w:bottom w:val="single" w:sz="4" w:space="0" w:color="auto"/>
              <w:right w:val="single" w:sz="4" w:space="0" w:color="auto"/>
            </w:tcBorders>
            <w:vAlign w:val="center"/>
          </w:tcPr>
          <w:p w:rsidR="00FC41F4" w:rsidRPr="00577593" w:rsidRDefault="008925FA"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39,5</w:t>
            </w:r>
          </w:p>
        </w:tc>
        <w:tc>
          <w:tcPr>
            <w:tcW w:w="3119" w:type="dxa"/>
            <w:tcBorders>
              <w:top w:val="single" w:sz="4" w:space="0" w:color="auto"/>
              <w:left w:val="single" w:sz="4" w:space="0" w:color="auto"/>
              <w:bottom w:val="single" w:sz="4" w:space="0" w:color="auto"/>
              <w:right w:val="single" w:sz="4" w:space="0" w:color="auto"/>
            </w:tcBorders>
            <w:vAlign w:val="center"/>
          </w:tcPr>
          <w:p w:rsidR="00FC41F4" w:rsidRPr="00577593" w:rsidRDefault="008925FA"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44</w:t>
            </w:r>
          </w:p>
        </w:tc>
      </w:tr>
      <w:tr w:rsidR="00FC41F4" w:rsidRPr="00577593" w:rsidTr="003F323B">
        <w:trPr>
          <w:trHeight w:val="300"/>
          <w:jc w:val="center"/>
        </w:trPr>
        <w:tc>
          <w:tcPr>
            <w:tcW w:w="2552" w:type="dxa"/>
            <w:tcBorders>
              <w:top w:val="single" w:sz="4" w:space="0" w:color="auto"/>
              <w:left w:val="single" w:sz="4" w:space="0" w:color="auto"/>
              <w:bottom w:val="single" w:sz="4" w:space="0" w:color="auto"/>
              <w:right w:val="single" w:sz="4" w:space="0" w:color="auto"/>
            </w:tcBorders>
          </w:tcPr>
          <w:p w:rsidR="00FC41F4" w:rsidRPr="00577593" w:rsidRDefault="008925FA" w:rsidP="002000D4">
            <w:pPr>
              <w:spacing w:after="0" w:line="240" w:lineRule="auto"/>
              <w:jc w:val="both"/>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Микроавтобусы</w:t>
            </w:r>
          </w:p>
        </w:tc>
        <w:tc>
          <w:tcPr>
            <w:tcW w:w="3685" w:type="dxa"/>
            <w:tcBorders>
              <w:top w:val="single" w:sz="4" w:space="0" w:color="auto"/>
              <w:left w:val="single" w:sz="4" w:space="0" w:color="auto"/>
              <w:bottom w:val="single" w:sz="4" w:space="0" w:color="auto"/>
              <w:right w:val="single" w:sz="4" w:space="0" w:color="auto"/>
            </w:tcBorders>
            <w:vAlign w:val="center"/>
          </w:tcPr>
          <w:p w:rsidR="00FC41F4" w:rsidRPr="00577593" w:rsidRDefault="008925FA"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39,5</w:t>
            </w:r>
          </w:p>
        </w:tc>
        <w:tc>
          <w:tcPr>
            <w:tcW w:w="3119" w:type="dxa"/>
            <w:tcBorders>
              <w:top w:val="single" w:sz="4" w:space="0" w:color="auto"/>
              <w:left w:val="single" w:sz="4" w:space="0" w:color="auto"/>
              <w:bottom w:val="single" w:sz="4" w:space="0" w:color="auto"/>
              <w:right w:val="single" w:sz="4" w:space="0" w:color="auto"/>
            </w:tcBorders>
            <w:vAlign w:val="center"/>
          </w:tcPr>
          <w:p w:rsidR="00FC41F4" w:rsidRPr="00577593" w:rsidRDefault="008925FA"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27</w:t>
            </w:r>
          </w:p>
        </w:tc>
      </w:tr>
    </w:tbl>
    <w:p w:rsidR="00FC41F4" w:rsidRPr="00577593" w:rsidRDefault="008925FA" w:rsidP="002000D4">
      <w:pPr>
        <w:pStyle w:val="aff9"/>
        <w:ind w:firstLine="709"/>
        <w:jc w:val="both"/>
        <w:rPr>
          <w:rFonts w:ascii="Times New Roman" w:hAnsi="Times New Roman"/>
          <w:i w:val="0"/>
          <w:color w:val="auto"/>
          <w:sz w:val="28"/>
          <w:szCs w:val="28"/>
        </w:rPr>
      </w:pPr>
      <w:r w:rsidRPr="00577593">
        <w:rPr>
          <w:rFonts w:ascii="Times New Roman" w:hAnsi="Times New Roman"/>
          <w:i w:val="0"/>
          <w:iCs w:val="0"/>
          <w:color w:val="auto"/>
          <w:sz w:val="28"/>
          <w:szCs w:val="28"/>
        </w:rPr>
        <w:t xml:space="preserve">Примечание </w:t>
      </w:r>
      <w:r w:rsidR="00672709" w:rsidRPr="00577593">
        <w:rPr>
          <w:rFonts w:ascii="Times New Roman" w:hAnsi="Times New Roman"/>
          <w:i w:val="0"/>
          <w:iCs w:val="0"/>
          <w:color w:val="auto"/>
          <w:sz w:val="28"/>
          <w:szCs w:val="28"/>
        </w:rPr>
        <w:t>–</w:t>
      </w:r>
      <w:r w:rsidRPr="00577593">
        <w:rPr>
          <w:rFonts w:ascii="Times New Roman" w:hAnsi="Times New Roman"/>
          <w:i w:val="0"/>
          <w:iCs w:val="0"/>
          <w:color w:val="auto"/>
          <w:sz w:val="28"/>
          <w:szCs w:val="28"/>
        </w:rPr>
        <w:t xml:space="preserve"> Источник: Стратегия развития городского пассажирского транспорта в городе Барнауле на 2011–2015 годы</w:t>
      </w:r>
    </w:p>
    <w:p w:rsidR="00FC41F4" w:rsidRPr="00577593" w:rsidRDefault="008925FA" w:rsidP="002000D4">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В 2011 году на микроавтобусы приходилось 27% всех перевозок, хотя в структуре парка они з</w:t>
      </w:r>
      <w:r w:rsidR="008413D1" w:rsidRPr="00577593">
        <w:rPr>
          <w:rFonts w:ascii="Times New Roman" w:eastAsia="Times New Roman" w:hAnsi="Times New Roman"/>
          <w:sz w:val="28"/>
          <w:szCs w:val="28"/>
        </w:rPr>
        <w:t>анимали 39,5% (данные на 2009 год</w:t>
      </w:r>
      <w:r w:rsidRPr="00577593">
        <w:rPr>
          <w:rFonts w:ascii="Times New Roman" w:eastAsia="Times New Roman" w:hAnsi="Times New Roman"/>
          <w:sz w:val="28"/>
          <w:szCs w:val="28"/>
        </w:rPr>
        <w:t xml:space="preserve">), на электрический транспорт приходилось 29% перевозок, на обычные автобусы </w:t>
      </w:r>
      <w:r w:rsidR="008413D1" w:rsidRPr="00577593">
        <w:rPr>
          <w:rFonts w:ascii="Times New Roman" w:eastAsia="Times New Roman" w:hAnsi="Times New Roman"/>
          <w:sz w:val="28"/>
          <w:szCs w:val="28"/>
        </w:rPr>
        <w:t>–</w:t>
      </w:r>
      <w:r w:rsidRPr="00577593">
        <w:rPr>
          <w:rFonts w:ascii="Times New Roman" w:eastAsia="Times New Roman" w:hAnsi="Times New Roman"/>
          <w:sz w:val="28"/>
          <w:szCs w:val="28"/>
        </w:rPr>
        <w:t xml:space="preserve"> 44%. Как видно из таблицы 13, самым эффективным видом транспорта оказался троллейбус. Производительность общественного транспорта </w:t>
      </w:r>
      <w:r w:rsidR="004B1E0B">
        <w:rPr>
          <w:rFonts w:ascii="Times New Roman" w:eastAsia="Times New Roman" w:hAnsi="Times New Roman"/>
          <w:sz w:val="28"/>
          <w:szCs w:val="28"/>
        </w:rPr>
        <w:t xml:space="preserve">города </w:t>
      </w:r>
      <w:r w:rsidRPr="00577593">
        <w:rPr>
          <w:rFonts w:ascii="Times New Roman" w:eastAsia="Times New Roman" w:hAnsi="Times New Roman"/>
          <w:sz w:val="28"/>
          <w:szCs w:val="28"/>
        </w:rPr>
        <w:t xml:space="preserve">Барнаула в 2021 году составила по видам общественного транспорта: 63,8% </w:t>
      </w:r>
      <w:r w:rsidR="008413D1" w:rsidRPr="00577593">
        <w:rPr>
          <w:rFonts w:ascii="Times New Roman" w:eastAsia="Times New Roman" w:hAnsi="Times New Roman"/>
          <w:sz w:val="28"/>
          <w:szCs w:val="28"/>
        </w:rPr>
        <w:t>–</w:t>
      </w:r>
      <w:r w:rsidRPr="00577593">
        <w:rPr>
          <w:rFonts w:ascii="Times New Roman" w:eastAsia="Times New Roman" w:hAnsi="Times New Roman"/>
          <w:sz w:val="28"/>
          <w:szCs w:val="28"/>
        </w:rPr>
        <w:t xml:space="preserve"> автобус (вместе с микроавтобусами), 25,6% </w:t>
      </w:r>
      <w:r w:rsidR="008413D1" w:rsidRPr="00577593">
        <w:rPr>
          <w:rFonts w:ascii="Times New Roman" w:eastAsia="Times New Roman" w:hAnsi="Times New Roman"/>
          <w:sz w:val="28"/>
          <w:szCs w:val="28"/>
        </w:rPr>
        <w:t>–</w:t>
      </w:r>
      <w:r w:rsidRPr="00577593">
        <w:rPr>
          <w:rFonts w:ascii="Times New Roman" w:eastAsia="Times New Roman" w:hAnsi="Times New Roman"/>
          <w:sz w:val="28"/>
          <w:szCs w:val="28"/>
        </w:rPr>
        <w:t xml:space="preserve"> трамвай, 10,6% </w:t>
      </w:r>
      <w:r w:rsidR="008413D1" w:rsidRPr="00577593">
        <w:rPr>
          <w:rFonts w:ascii="Times New Roman" w:eastAsia="Times New Roman" w:hAnsi="Times New Roman"/>
          <w:sz w:val="28"/>
          <w:szCs w:val="28"/>
        </w:rPr>
        <w:t>–</w:t>
      </w:r>
      <w:r w:rsidRPr="00577593">
        <w:rPr>
          <w:rFonts w:ascii="Times New Roman" w:eastAsia="Times New Roman" w:hAnsi="Times New Roman"/>
          <w:sz w:val="28"/>
          <w:szCs w:val="28"/>
        </w:rPr>
        <w:t xml:space="preserve"> троллейбус. Соответственно, объем предложения ме</w:t>
      </w:r>
      <w:r w:rsidR="00D66CCD" w:rsidRPr="00577593">
        <w:rPr>
          <w:rFonts w:ascii="Times New Roman" w:eastAsia="Times New Roman" w:hAnsi="Times New Roman"/>
          <w:sz w:val="28"/>
          <w:szCs w:val="28"/>
        </w:rPr>
        <w:t xml:space="preserve">ст в сутки: автобус </w:t>
      </w:r>
      <w:r w:rsidR="008413D1" w:rsidRPr="00577593">
        <w:rPr>
          <w:rFonts w:ascii="Times New Roman" w:eastAsia="Times New Roman" w:hAnsi="Times New Roman"/>
          <w:sz w:val="28"/>
          <w:szCs w:val="28"/>
        </w:rPr>
        <w:t>–</w:t>
      </w:r>
      <w:r w:rsidR="00D66CCD" w:rsidRPr="00577593">
        <w:rPr>
          <w:rFonts w:ascii="Times New Roman" w:eastAsia="Times New Roman" w:hAnsi="Times New Roman"/>
          <w:sz w:val="28"/>
          <w:szCs w:val="28"/>
        </w:rPr>
        <w:t xml:space="preserve"> 287,5 тысячи мест, трамвай </w:t>
      </w:r>
      <w:r w:rsidR="008413D1" w:rsidRPr="00577593">
        <w:rPr>
          <w:rFonts w:ascii="Times New Roman" w:eastAsia="Times New Roman" w:hAnsi="Times New Roman"/>
          <w:sz w:val="28"/>
          <w:szCs w:val="28"/>
        </w:rPr>
        <w:t>–</w:t>
      </w:r>
      <w:r w:rsidR="00D66CCD" w:rsidRPr="00577593">
        <w:rPr>
          <w:rFonts w:ascii="Times New Roman" w:eastAsia="Times New Roman" w:hAnsi="Times New Roman"/>
          <w:sz w:val="28"/>
          <w:szCs w:val="28"/>
        </w:rPr>
        <w:t xml:space="preserve"> 148 тысяч мест, троллейбус </w:t>
      </w:r>
      <w:r w:rsidR="008413D1" w:rsidRPr="00577593">
        <w:rPr>
          <w:rFonts w:ascii="Times New Roman" w:eastAsia="Times New Roman" w:hAnsi="Times New Roman"/>
          <w:sz w:val="28"/>
          <w:szCs w:val="28"/>
        </w:rPr>
        <w:t>–</w:t>
      </w:r>
      <w:r w:rsidR="00D66CCD" w:rsidRPr="00577593">
        <w:rPr>
          <w:rFonts w:ascii="Times New Roman" w:eastAsia="Times New Roman" w:hAnsi="Times New Roman"/>
          <w:sz w:val="28"/>
          <w:szCs w:val="28"/>
        </w:rPr>
        <w:t xml:space="preserve"> 57 тысяч</w:t>
      </w:r>
      <w:r w:rsidRPr="00577593">
        <w:rPr>
          <w:rFonts w:ascii="Times New Roman" w:eastAsia="Times New Roman" w:hAnsi="Times New Roman"/>
          <w:sz w:val="28"/>
          <w:szCs w:val="28"/>
        </w:rPr>
        <w:t xml:space="preserve"> мест.</w:t>
      </w:r>
    </w:p>
    <w:p w:rsidR="00FC41F4" w:rsidRPr="00577593" w:rsidRDefault="008925FA" w:rsidP="002000D4">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В 2021 году самым многочисленным видом были автобусы малой вместимости, однако на них приходилось всего 21% пассажирских мест. </w:t>
      </w:r>
      <w:r w:rsidR="007E541E" w:rsidRPr="00577593">
        <w:rPr>
          <w:rFonts w:ascii="Times New Roman" w:eastAsia="Times New Roman" w:hAnsi="Times New Roman"/>
          <w:sz w:val="28"/>
          <w:szCs w:val="28"/>
        </w:rPr>
        <w:br/>
      </w:r>
      <w:r w:rsidRPr="00577593">
        <w:rPr>
          <w:rFonts w:ascii="Times New Roman" w:eastAsia="Times New Roman" w:hAnsi="Times New Roman"/>
          <w:sz w:val="28"/>
          <w:szCs w:val="28"/>
        </w:rPr>
        <w:t>При этом на ГЭТ пришлось 36,2% всех перевозок, а объем предложения мест в сутки составляет 205 тыс. мест, что сопоставимо с объемом предложения мест автобусов.</w:t>
      </w:r>
    </w:p>
    <w:p w:rsidR="00C44D3B" w:rsidRPr="00577593" w:rsidRDefault="008925FA" w:rsidP="002000D4">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На 2025 год маршрутной сети города работает до 218 автобусов большого и среднего класса, 290 автобусов малого класса, 90 трамвая, </w:t>
      </w:r>
      <w:r w:rsidR="007E541E" w:rsidRPr="00577593">
        <w:rPr>
          <w:rFonts w:ascii="Times New Roman" w:eastAsia="Times New Roman" w:hAnsi="Times New Roman"/>
          <w:sz w:val="28"/>
          <w:szCs w:val="28"/>
        </w:rPr>
        <w:br/>
      </w:r>
      <w:r w:rsidRPr="00577593">
        <w:rPr>
          <w:rFonts w:ascii="Times New Roman" w:eastAsia="Times New Roman" w:hAnsi="Times New Roman"/>
          <w:sz w:val="28"/>
          <w:szCs w:val="28"/>
        </w:rPr>
        <w:t>27 троллейбуса. На линию выходит около 235 низкопольных автобусов, а также 13 трамваев и 15 троллейбусов, оборудованных для перевозки лиц с ограниченными возможностями здоровья и других маломобильных групп населения. Характеристика парка автобусов по состоянию</w:t>
      </w:r>
      <w:r w:rsidR="007E541E" w:rsidRPr="00577593">
        <w:rPr>
          <w:rFonts w:ascii="Times New Roman" w:eastAsia="Times New Roman" w:hAnsi="Times New Roman"/>
          <w:sz w:val="28"/>
          <w:szCs w:val="28"/>
        </w:rPr>
        <w:t xml:space="preserve"> </w:t>
      </w:r>
      <w:r w:rsidRPr="00577593">
        <w:rPr>
          <w:rFonts w:ascii="Times New Roman" w:eastAsia="Times New Roman" w:hAnsi="Times New Roman"/>
          <w:sz w:val="28"/>
          <w:szCs w:val="28"/>
        </w:rPr>
        <w:t>на 202</w:t>
      </w:r>
      <w:r w:rsidR="00125D12" w:rsidRPr="00577593">
        <w:rPr>
          <w:rFonts w:ascii="Times New Roman" w:eastAsia="Times New Roman" w:hAnsi="Times New Roman"/>
          <w:sz w:val="28"/>
          <w:szCs w:val="28"/>
        </w:rPr>
        <w:t>5</w:t>
      </w:r>
      <w:r w:rsidRPr="00577593">
        <w:rPr>
          <w:rFonts w:ascii="Times New Roman" w:eastAsia="Times New Roman" w:hAnsi="Times New Roman"/>
          <w:sz w:val="28"/>
          <w:szCs w:val="28"/>
        </w:rPr>
        <w:t xml:space="preserve"> год приве</w:t>
      </w:r>
      <w:r w:rsidR="00C44D3B">
        <w:rPr>
          <w:rFonts w:ascii="Times New Roman" w:eastAsia="Times New Roman" w:hAnsi="Times New Roman"/>
          <w:sz w:val="28"/>
          <w:szCs w:val="28"/>
        </w:rPr>
        <w:t>дена в Т</w:t>
      </w:r>
      <w:r w:rsidRPr="00577593">
        <w:rPr>
          <w:rFonts w:ascii="Times New Roman" w:eastAsia="Times New Roman" w:hAnsi="Times New Roman"/>
          <w:sz w:val="28"/>
          <w:szCs w:val="28"/>
        </w:rPr>
        <w:t>аблице 1</w:t>
      </w:r>
      <w:r w:rsidR="003F323B">
        <w:rPr>
          <w:rFonts w:ascii="Times New Roman" w:eastAsia="Times New Roman" w:hAnsi="Times New Roman"/>
          <w:sz w:val="28"/>
          <w:szCs w:val="28"/>
        </w:rPr>
        <w:t>3</w:t>
      </w:r>
      <w:r w:rsidRPr="00577593">
        <w:rPr>
          <w:rFonts w:ascii="Times New Roman" w:eastAsia="Times New Roman" w:hAnsi="Times New Roman"/>
          <w:sz w:val="28"/>
          <w:szCs w:val="28"/>
        </w:rPr>
        <w:t>.</w:t>
      </w:r>
    </w:p>
    <w:p w:rsidR="00FC41F4" w:rsidRPr="00577593" w:rsidRDefault="008925FA" w:rsidP="002000D4">
      <w:pPr>
        <w:spacing w:after="0" w:line="240" w:lineRule="auto"/>
        <w:jc w:val="both"/>
        <w:rPr>
          <w:rFonts w:ascii="Times New Roman" w:hAnsi="Times New Roman"/>
          <w:sz w:val="28"/>
          <w:szCs w:val="28"/>
        </w:rPr>
      </w:pPr>
      <w:bookmarkStart w:id="151" w:name="_Ref199459757"/>
      <w:r w:rsidRPr="00577593">
        <w:rPr>
          <w:rFonts w:ascii="Times New Roman" w:hAnsi="Times New Roman"/>
          <w:sz w:val="28"/>
          <w:szCs w:val="28"/>
        </w:rPr>
        <w:lastRenderedPageBreak/>
        <w:t xml:space="preserve">Таблица </w:t>
      </w:r>
      <w:r w:rsidR="00074AE5" w:rsidRPr="00577593">
        <w:rPr>
          <w:rFonts w:ascii="Times New Roman" w:hAnsi="Times New Roman"/>
          <w:sz w:val="28"/>
          <w:szCs w:val="28"/>
        </w:rPr>
        <w:fldChar w:fldCharType="begin"/>
      </w:r>
      <w:r w:rsidRPr="00577593">
        <w:rPr>
          <w:rFonts w:ascii="Times New Roman" w:hAnsi="Times New Roman"/>
          <w:sz w:val="28"/>
          <w:szCs w:val="28"/>
        </w:rPr>
        <w:instrText xml:space="preserve"> SEQ Таблица \* ARABIC </w:instrText>
      </w:r>
      <w:r w:rsidR="00074AE5" w:rsidRPr="00577593">
        <w:rPr>
          <w:rFonts w:ascii="Times New Roman" w:hAnsi="Times New Roman"/>
          <w:sz w:val="28"/>
          <w:szCs w:val="28"/>
        </w:rPr>
        <w:fldChar w:fldCharType="separate"/>
      </w:r>
      <w:r w:rsidR="00071499">
        <w:rPr>
          <w:rFonts w:ascii="Times New Roman" w:hAnsi="Times New Roman"/>
          <w:noProof/>
          <w:sz w:val="28"/>
          <w:szCs w:val="28"/>
        </w:rPr>
        <w:t>13</w:t>
      </w:r>
      <w:r w:rsidR="00074AE5" w:rsidRPr="00577593">
        <w:rPr>
          <w:rFonts w:ascii="Times New Roman" w:hAnsi="Times New Roman"/>
          <w:sz w:val="28"/>
          <w:szCs w:val="28"/>
        </w:rPr>
        <w:fldChar w:fldCharType="end"/>
      </w:r>
      <w:bookmarkEnd w:id="151"/>
      <w:r w:rsidRPr="00577593">
        <w:rPr>
          <w:rFonts w:ascii="Times New Roman" w:hAnsi="Times New Roman"/>
          <w:sz w:val="28"/>
          <w:szCs w:val="28"/>
        </w:rPr>
        <w:t xml:space="preserve"> </w:t>
      </w:r>
      <w:r w:rsidR="00672709" w:rsidRPr="00577593">
        <w:rPr>
          <w:rFonts w:ascii="Times New Roman" w:hAnsi="Times New Roman"/>
          <w:sz w:val="28"/>
          <w:szCs w:val="28"/>
        </w:rPr>
        <w:t>–</w:t>
      </w:r>
      <w:r w:rsidRPr="00577593">
        <w:rPr>
          <w:rFonts w:ascii="Times New Roman" w:hAnsi="Times New Roman"/>
          <w:sz w:val="28"/>
          <w:szCs w:val="28"/>
        </w:rPr>
        <w:t xml:space="preserve"> Ха</w:t>
      </w:r>
      <w:r w:rsidR="008413D1" w:rsidRPr="00577593">
        <w:rPr>
          <w:rFonts w:ascii="Times New Roman" w:hAnsi="Times New Roman"/>
          <w:sz w:val="28"/>
          <w:szCs w:val="28"/>
        </w:rPr>
        <w:t>рактеристика автобусов в 2025 году</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15"/>
        <w:gridCol w:w="3115"/>
        <w:gridCol w:w="3115"/>
      </w:tblGrid>
      <w:tr w:rsidR="00FC41F4" w:rsidRPr="00577593" w:rsidTr="003F323B">
        <w:trPr>
          <w:trHeight w:val="300"/>
          <w:jc w:val="center"/>
        </w:trPr>
        <w:tc>
          <w:tcPr>
            <w:tcW w:w="3115" w:type="dxa"/>
            <w:shd w:val="clear" w:color="auto" w:fill="auto"/>
          </w:tcPr>
          <w:p w:rsidR="00FC41F4" w:rsidRPr="00577593" w:rsidRDefault="008925FA" w:rsidP="002000D4">
            <w:pPr>
              <w:spacing w:after="0" w:line="240" w:lineRule="auto"/>
              <w:jc w:val="center"/>
              <w:rPr>
                <w:rFonts w:ascii="Times New Roman" w:hAnsi="Times New Roman"/>
                <w:sz w:val="24"/>
                <w:szCs w:val="24"/>
              </w:rPr>
            </w:pPr>
            <w:r w:rsidRPr="00577593">
              <w:rPr>
                <w:rFonts w:ascii="Times New Roman" w:hAnsi="Times New Roman"/>
                <w:sz w:val="24"/>
                <w:szCs w:val="24"/>
              </w:rPr>
              <w:t>Класс вместимости</w:t>
            </w:r>
          </w:p>
        </w:tc>
        <w:tc>
          <w:tcPr>
            <w:tcW w:w="3115" w:type="dxa"/>
            <w:shd w:val="clear" w:color="auto" w:fill="auto"/>
          </w:tcPr>
          <w:p w:rsidR="00FC41F4" w:rsidRPr="00577593" w:rsidRDefault="008925FA" w:rsidP="002000D4">
            <w:pPr>
              <w:spacing w:after="0" w:line="240" w:lineRule="auto"/>
              <w:jc w:val="center"/>
              <w:rPr>
                <w:rFonts w:ascii="Times New Roman" w:hAnsi="Times New Roman"/>
                <w:sz w:val="24"/>
                <w:szCs w:val="24"/>
              </w:rPr>
            </w:pPr>
            <w:r w:rsidRPr="00577593">
              <w:rPr>
                <w:rFonts w:ascii="Times New Roman" w:hAnsi="Times New Roman"/>
                <w:sz w:val="24"/>
                <w:szCs w:val="24"/>
              </w:rPr>
              <w:t>Количество, ед.</w:t>
            </w:r>
          </w:p>
        </w:tc>
        <w:tc>
          <w:tcPr>
            <w:tcW w:w="3115" w:type="dxa"/>
            <w:shd w:val="clear" w:color="auto" w:fill="auto"/>
          </w:tcPr>
          <w:p w:rsidR="00FC41F4" w:rsidRPr="00577593" w:rsidRDefault="008925FA" w:rsidP="002000D4">
            <w:pPr>
              <w:spacing w:after="0" w:line="240" w:lineRule="auto"/>
              <w:jc w:val="center"/>
              <w:rPr>
                <w:rFonts w:ascii="Times New Roman" w:hAnsi="Times New Roman"/>
                <w:sz w:val="24"/>
                <w:szCs w:val="24"/>
              </w:rPr>
            </w:pPr>
            <w:r w:rsidRPr="00577593">
              <w:rPr>
                <w:rFonts w:ascii="Times New Roman" w:hAnsi="Times New Roman"/>
                <w:sz w:val="24"/>
                <w:szCs w:val="24"/>
              </w:rPr>
              <w:t>Объем предложения, мест</w:t>
            </w:r>
          </w:p>
        </w:tc>
      </w:tr>
      <w:tr w:rsidR="00FC41F4" w:rsidRPr="00577593" w:rsidTr="003F323B">
        <w:trPr>
          <w:trHeight w:val="300"/>
          <w:jc w:val="center"/>
        </w:trPr>
        <w:tc>
          <w:tcPr>
            <w:tcW w:w="3115" w:type="dxa"/>
            <w:shd w:val="clear" w:color="auto" w:fill="auto"/>
          </w:tcPr>
          <w:p w:rsidR="00FC41F4" w:rsidRPr="00577593" w:rsidRDefault="008925FA" w:rsidP="002000D4">
            <w:pPr>
              <w:spacing w:after="0" w:line="240" w:lineRule="auto"/>
              <w:jc w:val="both"/>
              <w:rPr>
                <w:rFonts w:ascii="Times New Roman" w:hAnsi="Times New Roman"/>
                <w:sz w:val="24"/>
                <w:szCs w:val="24"/>
              </w:rPr>
            </w:pPr>
            <w:r w:rsidRPr="00577593">
              <w:rPr>
                <w:rFonts w:ascii="Times New Roman" w:hAnsi="Times New Roman"/>
                <w:sz w:val="24"/>
                <w:szCs w:val="24"/>
              </w:rPr>
              <w:t>Большие</w:t>
            </w:r>
          </w:p>
        </w:tc>
        <w:tc>
          <w:tcPr>
            <w:tcW w:w="3115" w:type="dxa"/>
            <w:shd w:val="clear" w:color="auto" w:fill="auto"/>
          </w:tcPr>
          <w:p w:rsidR="00FC41F4" w:rsidRPr="00577593" w:rsidRDefault="008925FA" w:rsidP="002000D4">
            <w:pPr>
              <w:spacing w:after="0" w:line="240" w:lineRule="auto"/>
              <w:jc w:val="center"/>
              <w:rPr>
                <w:rFonts w:ascii="Times New Roman" w:hAnsi="Times New Roman"/>
                <w:sz w:val="24"/>
                <w:szCs w:val="24"/>
              </w:rPr>
            </w:pPr>
            <w:r w:rsidRPr="00577593">
              <w:rPr>
                <w:rFonts w:ascii="Times New Roman" w:hAnsi="Times New Roman"/>
                <w:sz w:val="24"/>
                <w:szCs w:val="24"/>
              </w:rPr>
              <w:t>132</w:t>
            </w:r>
          </w:p>
        </w:tc>
        <w:tc>
          <w:tcPr>
            <w:tcW w:w="3115" w:type="dxa"/>
            <w:shd w:val="clear" w:color="auto" w:fill="auto"/>
          </w:tcPr>
          <w:p w:rsidR="00FC41F4" w:rsidRPr="00577593" w:rsidRDefault="008925FA" w:rsidP="002000D4">
            <w:pPr>
              <w:spacing w:after="0" w:line="240" w:lineRule="auto"/>
              <w:jc w:val="center"/>
              <w:rPr>
                <w:rFonts w:ascii="Times New Roman" w:hAnsi="Times New Roman"/>
                <w:sz w:val="24"/>
                <w:szCs w:val="24"/>
              </w:rPr>
            </w:pPr>
            <w:r w:rsidRPr="00577593">
              <w:rPr>
                <w:rFonts w:ascii="Times New Roman" w:hAnsi="Times New Roman"/>
                <w:sz w:val="24"/>
                <w:szCs w:val="24"/>
              </w:rPr>
              <w:t>11 880</w:t>
            </w:r>
          </w:p>
        </w:tc>
      </w:tr>
      <w:tr w:rsidR="00FC41F4" w:rsidRPr="00577593" w:rsidTr="003F323B">
        <w:trPr>
          <w:trHeight w:val="300"/>
          <w:jc w:val="center"/>
        </w:trPr>
        <w:tc>
          <w:tcPr>
            <w:tcW w:w="3115" w:type="dxa"/>
            <w:shd w:val="clear" w:color="auto" w:fill="auto"/>
          </w:tcPr>
          <w:p w:rsidR="00FC41F4" w:rsidRPr="00577593" w:rsidRDefault="008925FA" w:rsidP="002000D4">
            <w:pPr>
              <w:spacing w:after="0" w:line="240" w:lineRule="auto"/>
              <w:jc w:val="both"/>
              <w:rPr>
                <w:rFonts w:ascii="Times New Roman" w:hAnsi="Times New Roman"/>
                <w:sz w:val="24"/>
                <w:szCs w:val="24"/>
              </w:rPr>
            </w:pPr>
            <w:r w:rsidRPr="00577593">
              <w:rPr>
                <w:rFonts w:ascii="Times New Roman" w:hAnsi="Times New Roman"/>
                <w:sz w:val="24"/>
                <w:szCs w:val="24"/>
              </w:rPr>
              <w:t>Средние</w:t>
            </w:r>
          </w:p>
        </w:tc>
        <w:tc>
          <w:tcPr>
            <w:tcW w:w="3115" w:type="dxa"/>
            <w:shd w:val="clear" w:color="auto" w:fill="auto"/>
          </w:tcPr>
          <w:p w:rsidR="00FC41F4" w:rsidRPr="00577593" w:rsidRDefault="008925FA" w:rsidP="002000D4">
            <w:pPr>
              <w:spacing w:after="0" w:line="240" w:lineRule="auto"/>
              <w:jc w:val="center"/>
              <w:rPr>
                <w:rFonts w:ascii="Times New Roman" w:hAnsi="Times New Roman"/>
                <w:sz w:val="24"/>
                <w:szCs w:val="24"/>
              </w:rPr>
            </w:pPr>
            <w:r w:rsidRPr="00577593">
              <w:rPr>
                <w:rFonts w:ascii="Times New Roman" w:hAnsi="Times New Roman"/>
                <w:sz w:val="24"/>
                <w:szCs w:val="24"/>
              </w:rPr>
              <w:t>86</w:t>
            </w:r>
          </w:p>
        </w:tc>
        <w:tc>
          <w:tcPr>
            <w:tcW w:w="3115" w:type="dxa"/>
            <w:shd w:val="clear" w:color="auto" w:fill="auto"/>
          </w:tcPr>
          <w:p w:rsidR="00FC41F4" w:rsidRPr="00577593" w:rsidRDefault="008925FA" w:rsidP="002000D4">
            <w:pPr>
              <w:spacing w:after="0" w:line="240" w:lineRule="auto"/>
              <w:jc w:val="center"/>
              <w:rPr>
                <w:rFonts w:ascii="Times New Roman" w:hAnsi="Times New Roman"/>
                <w:sz w:val="24"/>
                <w:szCs w:val="24"/>
              </w:rPr>
            </w:pPr>
            <w:r w:rsidRPr="00577593">
              <w:rPr>
                <w:rFonts w:ascii="Times New Roman" w:hAnsi="Times New Roman"/>
                <w:sz w:val="24"/>
                <w:szCs w:val="24"/>
              </w:rPr>
              <w:t>4 300</w:t>
            </w:r>
          </w:p>
        </w:tc>
      </w:tr>
      <w:tr w:rsidR="00FC41F4" w:rsidRPr="00577593" w:rsidTr="003F323B">
        <w:trPr>
          <w:trHeight w:val="300"/>
          <w:jc w:val="center"/>
        </w:trPr>
        <w:tc>
          <w:tcPr>
            <w:tcW w:w="3115" w:type="dxa"/>
            <w:shd w:val="clear" w:color="auto" w:fill="auto"/>
          </w:tcPr>
          <w:p w:rsidR="00FC41F4" w:rsidRPr="00577593" w:rsidRDefault="008925FA" w:rsidP="002000D4">
            <w:pPr>
              <w:spacing w:after="0" w:line="240" w:lineRule="auto"/>
              <w:jc w:val="both"/>
              <w:rPr>
                <w:rFonts w:ascii="Times New Roman" w:hAnsi="Times New Roman"/>
                <w:sz w:val="24"/>
                <w:szCs w:val="24"/>
              </w:rPr>
            </w:pPr>
            <w:r w:rsidRPr="00577593">
              <w:rPr>
                <w:rFonts w:ascii="Times New Roman" w:hAnsi="Times New Roman"/>
                <w:sz w:val="24"/>
                <w:szCs w:val="24"/>
              </w:rPr>
              <w:t>Малые</w:t>
            </w:r>
          </w:p>
        </w:tc>
        <w:tc>
          <w:tcPr>
            <w:tcW w:w="3115" w:type="dxa"/>
            <w:shd w:val="clear" w:color="auto" w:fill="auto"/>
          </w:tcPr>
          <w:p w:rsidR="00FC41F4" w:rsidRPr="00577593" w:rsidRDefault="008925FA" w:rsidP="002000D4">
            <w:pPr>
              <w:spacing w:after="0" w:line="240" w:lineRule="auto"/>
              <w:jc w:val="center"/>
              <w:rPr>
                <w:rFonts w:ascii="Times New Roman" w:hAnsi="Times New Roman"/>
                <w:sz w:val="24"/>
                <w:szCs w:val="24"/>
              </w:rPr>
            </w:pPr>
            <w:r w:rsidRPr="00577593">
              <w:rPr>
                <w:rFonts w:ascii="Times New Roman" w:hAnsi="Times New Roman"/>
                <w:sz w:val="24"/>
                <w:szCs w:val="24"/>
              </w:rPr>
              <w:t>290</w:t>
            </w:r>
          </w:p>
        </w:tc>
        <w:tc>
          <w:tcPr>
            <w:tcW w:w="3115" w:type="dxa"/>
            <w:shd w:val="clear" w:color="auto" w:fill="auto"/>
          </w:tcPr>
          <w:p w:rsidR="00FC41F4" w:rsidRPr="00577593" w:rsidRDefault="008925FA" w:rsidP="002000D4">
            <w:pPr>
              <w:spacing w:after="0" w:line="240" w:lineRule="auto"/>
              <w:jc w:val="center"/>
              <w:rPr>
                <w:rFonts w:ascii="Times New Roman" w:hAnsi="Times New Roman"/>
                <w:sz w:val="24"/>
                <w:szCs w:val="24"/>
              </w:rPr>
            </w:pPr>
            <w:r w:rsidRPr="00577593">
              <w:rPr>
                <w:rFonts w:ascii="Times New Roman" w:hAnsi="Times New Roman"/>
                <w:sz w:val="24"/>
                <w:szCs w:val="24"/>
              </w:rPr>
              <w:t>10 150</w:t>
            </w:r>
          </w:p>
        </w:tc>
      </w:tr>
    </w:tbl>
    <w:p w:rsidR="00FC41F4" w:rsidRPr="00577593" w:rsidRDefault="008925FA" w:rsidP="002000D4">
      <w:pPr>
        <w:pStyle w:val="aff9"/>
        <w:ind w:firstLine="709"/>
        <w:jc w:val="both"/>
        <w:rPr>
          <w:rFonts w:ascii="Times New Roman" w:hAnsi="Times New Roman"/>
          <w:i w:val="0"/>
          <w:color w:val="auto"/>
          <w:sz w:val="28"/>
          <w:szCs w:val="28"/>
        </w:rPr>
      </w:pPr>
      <w:r w:rsidRPr="00577593">
        <w:rPr>
          <w:rFonts w:ascii="Times New Roman" w:hAnsi="Times New Roman"/>
          <w:i w:val="0"/>
          <w:iCs w:val="0"/>
          <w:color w:val="auto"/>
          <w:sz w:val="28"/>
          <w:szCs w:val="28"/>
        </w:rPr>
        <w:t xml:space="preserve">Примечание </w:t>
      </w:r>
      <w:r w:rsidR="00672709" w:rsidRPr="00577593">
        <w:rPr>
          <w:rFonts w:ascii="Times New Roman" w:hAnsi="Times New Roman"/>
          <w:i w:val="0"/>
          <w:iCs w:val="0"/>
          <w:color w:val="auto"/>
          <w:sz w:val="28"/>
          <w:szCs w:val="28"/>
        </w:rPr>
        <w:t>–</w:t>
      </w:r>
      <w:r w:rsidRPr="00577593">
        <w:rPr>
          <w:rFonts w:ascii="Times New Roman" w:hAnsi="Times New Roman"/>
          <w:i w:val="0"/>
          <w:iCs w:val="0"/>
          <w:color w:val="auto"/>
          <w:sz w:val="28"/>
          <w:szCs w:val="28"/>
        </w:rPr>
        <w:t xml:space="preserve"> Источник: </w:t>
      </w:r>
      <w:r w:rsidR="008413D1" w:rsidRPr="00577593">
        <w:rPr>
          <w:rFonts w:ascii="Times New Roman" w:hAnsi="Times New Roman"/>
          <w:i w:val="0"/>
          <w:color w:val="auto"/>
          <w:sz w:val="28"/>
          <w:szCs w:val="28"/>
        </w:rPr>
        <w:t xml:space="preserve">данные администрации </w:t>
      </w:r>
      <w:r w:rsidR="00B62988">
        <w:rPr>
          <w:rFonts w:ascii="Times New Roman" w:hAnsi="Times New Roman"/>
          <w:i w:val="0"/>
          <w:color w:val="auto"/>
          <w:sz w:val="28"/>
          <w:szCs w:val="28"/>
        </w:rPr>
        <w:t xml:space="preserve">города </w:t>
      </w:r>
      <w:r w:rsidR="008413D1" w:rsidRPr="00577593">
        <w:rPr>
          <w:rFonts w:ascii="Times New Roman" w:hAnsi="Times New Roman"/>
          <w:i w:val="0"/>
          <w:color w:val="auto"/>
          <w:sz w:val="28"/>
          <w:szCs w:val="28"/>
        </w:rPr>
        <w:t>Барнаула</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Объем перевозок </w:t>
      </w:r>
      <w:r w:rsidR="008413D1" w:rsidRPr="00577593">
        <w:rPr>
          <w:rFonts w:ascii="Times New Roman" w:hAnsi="Times New Roman"/>
          <w:sz w:val="28"/>
          <w:szCs w:val="28"/>
        </w:rPr>
        <w:t>с 2015 по 2024 год</w:t>
      </w:r>
      <w:r w:rsidR="00922C6C">
        <w:rPr>
          <w:rFonts w:ascii="Times New Roman" w:hAnsi="Times New Roman"/>
          <w:sz w:val="28"/>
          <w:szCs w:val="28"/>
        </w:rPr>
        <w:t>ы</w:t>
      </w:r>
      <w:r w:rsidRPr="00577593">
        <w:rPr>
          <w:rFonts w:ascii="Times New Roman" w:hAnsi="Times New Roman"/>
          <w:sz w:val="28"/>
          <w:szCs w:val="28"/>
        </w:rPr>
        <w:t xml:space="preserve"> сократился на 55%. Ожидается рост уровня автомобилизации населения городского округа </w:t>
      </w:r>
      <w:r w:rsidR="007E541E" w:rsidRPr="00577593">
        <w:rPr>
          <w:rFonts w:ascii="Times New Roman" w:hAnsi="Times New Roman"/>
          <w:sz w:val="28"/>
          <w:szCs w:val="28"/>
        </w:rPr>
        <w:br/>
      </w:r>
      <w:r w:rsidRPr="00577593">
        <w:rPr>
          <w:rFonts w:ascii="Times New Roman" w:hAnsi="Times New Roman"/>
          <w:sz w:val="28"/>
          <w:szCs w:val="28"/>
        </w:rPr>
        <w:t xml:space="preserve">с 408 автомобилей на 1000 жителей в 2021 году до 450 автомобилей </w:t>
      </w:r>
      <w:r w:rsidR="007E541E" w:rsidRPr="00577593">
        <w:rPr>
          <w:rFonts w:ascii="Times New Roman" w:hAnsi="Times New Roman"/>
          <w:sz w:val="28"/>
          <w:szCs w:val="28"/>
        </w:rPr>
        <w:br/>
      </w:r>
      <w:r w:rsidRPr="00577593">
        <w:rPr>
          <w:rFonts w:ascii="Times New Roman" w:hAnsi="Times New Roman"/>
          <w:sz w:val="28"/>
          <w:szCs w:val="28"/>
        </w:rPr>
        <w:t>на 1000 жителей к 2036 году</w:t>
      </w:r>
      <w:r w:rsidR="003F323B">
        <w:rPr>
          <w:rFonts w:ascii="Times New Roman" w:hAnsi="Times New Roman"/>
          <w:sz w:val="28"/>
          <w:szCs w:val="28"/>
        </w:rPr>
        <w:t>,</w:t>
      </w:r>
      <w:r w:rsidRPr="00577593">
        <w:rPr>
          <w:rFonts w:ascii="Times New Roman" w:hAnsi="Times New Roman"/>
          <w:sz w:val="28"/>
          <w:szCs w:val="28"/>
        </w:rPr>
        <w:t xml:space="preserve"> что будет приводить к дальнейш</w:t>
      </w:r>
      <w:r w:rsidR="003F323B">
        <w:rPr>
          <w:rFonts w:ascii="Times New Roman" w:hAnsi="Times New Roman"/>
          <w:sz w:val="28"/>
          <w:szCs w:val="28"/>
        </w:rPr>
        <w:t>ему снижению объемов перевозок (Таблица 14</w:t>
      </w:r>
      <w:r w:rsidRPr="00577593">
        <w:rPr>
          <w:rFonts w:ascii="Times New Roman" w:hAnsi="Times New Roman"/>
          <w:sz w:val="28"/>
          <w:szCs w:val="28"/>
        </w:rPr>
        <w:t>).</w:t>
      </w:r>
    </w:p>
    <w:p w:rsidR="00A1570C" w:rsidRPr="00577593" w:rsidRDefault="00A1570C" w:rsidP="002000D4">
      <w:pPr>
        <w:spacing w:after="0" w:line="240" w:lineRule="auto"/>
        <w:jc w:val="both"/>
        <w:rPr>
          <w:rFonts w:ascii="Times New Roman" w:hAnsi="Times New Roman"/>
          <w:sz w:val="28"/>
          <w:szCs w:val="28"/>
        </w:rPr>
      </w:pPr>
      <w:bookmarkStart w:id="152" w:name="_Ref199460097"/>
    </w:p>
    <w:p w:rsidR="00FC41F4" w:rsidRPr="00577593" w:rsidRDefault="008925FA" w:rsidP="002000D4">
      <w:pPr>
        <w:spacing w:after="0" w:line="240" w:lineRule="auto"/>
        <w:jc w:val="both"/>
        <w:rPr>
          <w:rFonts w:ascii="Times New Roman" w:hAnsi="Times New Roman"/>
          <w:sz w:val="28"/>
          <w:szCs w:val="28"/>
        </w:rPr>
      </w:pPr>
      <w:r w:rsidRPr="00577593">
        <w:rPr>
          <w:rFonts w:ascii="Times New Roman" w:hAnsi="Times New Roman"/>
          <w:sz w:val="28"/>
          <w:szCs w:val="28"/>
        </w:rPr>
        <w:t xml:space="preserve">Таблица </w:t>
      </w:r>
      <w:r w:rsidR="00074AE5" w:rsidRPr="00577593">
        <w:rPr>
          <w:rFonts w:ascii="Times New Roman" w:hAnsi="Times New Roman"/>
          <w:sz w:val="28"/>
          <w:szCs w:val="28"/>
        </w:rPr>
        <w:fldChar w:fldCharType="begin"/>
      </w:r>
      <w:r w:rsidRPr="00577593">
        <w:rPr>
          <w:rFonts w:ascii="Times New Roman" w:hAnsi="Times New Roman"/>
          <w:sz w:val="28"/>
          <w:szCs w:val="28"/>
        </w:rPr>
        <w:instrText xml:space="preserve"> SEQ Таблица \* ARABIC </w:instrText>
      </w:r>
      <w:r w:rsidR="00074AE5" w:rsidRPr="00577593">
        <w:rPr>
          <w:rFonts w:ascii="Times New Roman" w:hAnsi="Times New Roman"/>
          <w:sz w:val="28"/>
          <w:szCs w:val="28"/>
        </w:rPr>
        <w:fldChar w:fldCharType="separate"/>
      </w:r>
      <w:r w:rsidR="00071499">
        <w:rPr>
          <w:rFonts w:ascii="Times New Roman" w:hAnsi="Times New Roman"/>
          <w:noProof/>
          <w:sz w:val="28"/>
          <w:szCs w:val="28"/>
        </w:rPr>
        <w:t>14</w:t>
      </w:r>
      <w:r w:rsidR="00074AE5" w:rsidRPr="00577593">
        <w:rPr>
          <w:rFonts w:ascii="Times New Roman" w:hAnsi="Times New Roman"/>
          <w:sz w:val="28"/>
          <w:szCs w:val="28"/>
        </w:rPr>
        <w:fldChar w:fldCharType="end"/>
      </w:r>
      <w:bookmarkEnd w:id="152"/>
      <w:r w:rsidRPr="00577593">
        <w:rPr>
          <w:rFonts w:ascii="Times New Roman" w:hAnsi="Times New Roman"/>
          <w:sz w:val="28"/>
          <w:szCs w:val="28"/>
        </w:rPr>
        <w:t xml:space="preserve"> </w:t>
      </w:r>
      <w:r w:rsidR="00672709" w:rsidRPr="00577593">
        <w:rPr>
          <w:rFonts w:ascii="Times New Roman" w:hAnsi="Times New Roman"/>
          <w:sz w:val="28"/>
          <w:szCs w:val="28"/>
        </w:rPr>
        <w:t>–</w:t>
      </w:r>
      <w:r w:rsidRPr="00577593">
        <w:rPr>
          <w:rFonts w:ascii="Times New Roman" w:hAnsi="Times New Roman"/>
          <w:sz w:val="28"/>
          <w:szCs w:val="28"/>
        </w:rPr>
        <w:t xml:space="preserve"> Ежедневный объем </w:t>
      </w:r>
      <w:r w:rsidR="008413D1" w:rsidRPr="00577593">
        <w:rPr>
          <w:rFonts w:ascii="Times New Roman" w:hAnsi="Times New Roman"/>
          <w:sz w:val="28"/>
          <w:szCs w:val="28"/>
        </w:rPr>
        <w:t xml:space="preserve">пассажирских перевозок в 2015 году </w:t>
      </w:r>
      <w:r w:rsidR="007E541E" w:rsidRPr="00577593">
        <w:rPr>
          <w:rFonts w:ascii="Times New Roman" w:hAnsi="Times New Roman"/>
          <w:sz w:val="28"/>
          <w:szCs w:val="28"/>
        </w:rPr>
        <w:br/>
      </w:r>
      <w:r w:rsidR="008413D1" w:rsidRPr="00577593">
        <w:rPr>
          <w:rFonts w:ascii="Times New Roman" w:hAnsi="Times New Roman"/>
          <w:sz w:val="28"/>
          <w:szCs w:val="28"/>
        </w:rPr>
        <w:t>и в 2024 году</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1696"/>
        <w:gridCol w:w="1299"/>
        <w:gridCol w:w="1300"/>
        <w:gridCol w:w="1286"/>
        <w:gridCol w:w="1313"/>
        <w:gridCol w:w="1299"/>
        <w:gridCol w:w="1300"/>
      </w:tblGrid>
      <w:tr w:rsidR="00FC41F4" w:rsidRPr="00577593">
        <w:trPr>
          <w:trHeight w:val="300"/>
          <w:jc w:val="center"/>
        </w:trPr>
        <w:tc>
          <w:tcPr>
            <w:tcW w:w="1696" w:type="dxa"/>
            <w:vMerge w:val="restart"/>
            <w:tcBorders>
              <w:top w:val="single" w:sz="4" w:space="0" w:color="auto"/>
              <w:left w:val="single" w:sz="4" w:space="0" w:color="auto"/>
              <w:bottom w:val="single" w:sz="4" w:space="0" w:color="auto"/>
              <w:right w:val="single" w:sz="4" w:space="0" w:color="auto"/>
            </w:tcBorders>
            <w:vAlign w:val="center"/>
          </w:tcPr>
          <w:p w:rsidR="00FC41F4" w:rsidRPr="00577593" w:rsidRDefault="008925FA" w:rsidP="002000D4">
            <w:pPr>
              <w:pStyle w:val="ConsPlusNormal"/>
              <w:jc w:val="center"/>
              <w:rPr>
                <w:rFonts w:ascii="Times New Roman" w:hAnsi="Times New Roman" w:cs="Times New Roman"/>
                <w:sz w:val="20"/>
                <w:lang w:eastAsia="en-US"/>
              </w:rPr>
            </w:pPr>
            <w:r w:rsidRPr="00577593">
              <w:rPr>
                <w:rFonts w:ascii="Times New Roman" w:hAnsi="Times New Roman" w:cs="Times New Roman"/>
                <w:sz w:val="20"/>
                <w:lang w:eastAsia="en-US"/>
              </w:rPr>
              <w:t>Вид транспортного средства</w:t>
            </w:r>
          </w:p>
        </w:tc>
        <w:tc>
          <w:tcPr>
            <w:tcW w:w="3885" w:type="dxa"/>
            <w:gridSpan w:val="3"/>
            <w:tcBorders>
              <w:top w:val="single" w:sz="4" w:space="0" w:color="auto"/>
              <w:left w:val="single" w:sz="4" w:space="0" w:color="auto"/>
              <w:bottom w:val="single" w:sz="4" w:space="0" w:color="auto"/>
              <w:right w:val="single" w:sz="4" w:space="0" w:color="auto"/>
            </w:tcBorders>
            <w:vAlign w:val="center"/>
          </w:tcPr>
          <w:p w:rsidR="00FC41F4" w:rsidRPr="00577593" w:rsidRDefault="008925FA" w:rsidP="002000D4">
            <w:pPr>
              <w:pStyle w:val="ConsPlusNormal"/>
              <w:jc w:val="center"/>
              <w:rPr>
                <w:rFonts w:ascii="Times New Roman" w:hAnsi="Times New Roman" w:cs="Times New Roman"/>
                <w:sz w:val="20"/>
                <w:lang w:eastAsia="en-US"/>
              </w:rPr>
            </w:pPr>
            <w:r w:rsidRPr="00577593">
              <w:rPr>
                <w:rFonts w:ascii="Times New Roman" w:hAnsi="Times New Roman" w:cs="Times New Roman"/>
                <w:sz w:val="20"/>
                <w:lang w:eastAsia="en-US"/>
              </w:rPr>
              <w:t>2015 г</w:t>
            </w:r>
            <w:r w:rsidR="008413D1" w:rsidRPr="00577593">
              <w:rPr>
                <w:rFonts w:ascii="Times New Roman" w:hAnsi="Times New Roman" w:cs="Times New Roman"/>
                <w:sz w:val="20"/>
                <w:lang w:eastAsia="en-US"/>
              </w:rPr>
              <w:t>.</w:t>
            </w:r>
          </w:p>
        </w:tc>
        <w:tc>
          <w:tcPr>
            <w:tcW w:w="3912" w:type="dxa"/>
            <w:gridSpan w:val="3"/>
            <w:tcBorders>
              <w:top w:val="single" w:sz="4" w:space="0" w:color="auto"/>
              <w:left w:val="single" w:sz="4" w:space="0" w:color="auto"/>
              <w:bottom w:val="single" w:sz="4" w:space="0" w:color="auto"/>
              <w:right w:val="single" w:sz="4" w:space="0" w:color="auto"/>
            </w:tcBorders>
            <w:vAlign w:val="center"/>
          </w:tcPr>
          <w:p w:rsidR="00FC41F4" w:rsidRPr="00577593" w:rsidRDefault="008925FA" w:rsidP="002000D4">
            <w:pPr>
              <w:pStyle w:val="ConsPlusNormal"/>
              <w:jc w:val="center"/>
              <w:rPr>
                <w:rFonts w:ascii="Times New Roman" w:hAnsi="Times New Roman" w:cs="Times New Roman"/>
                <w:sz w:val="20"/>
                <w:lang w:eastAsia="en-US"/>
              </w:rPr>
            </w:pPr>
            <w:r w:rsidRPr="00577593">
              <w:rPr>
                <w:rFonts w:ascii="Times New Roman" w:hAnsi="Times New Roman" w:cs="Times New Roman"/>
                <w:sz w:val="20"/>
                <w:lang w:eastAsia="en-US"/>
              </w:rPr>
              <w:t>2024 г</w:t>
            </w:r>
            <w:r w:rsidR="008413D1" w:rsidRPr="00577593">
              <w:rPr>
                <w:rFonts w:ascii="Times New Roman" w:hAnsi="Times New Roman" w:cs="Times New Roman"/>
                <w:sz w:val="20"/>
                <w:lang w:eastAsia="en-US"/>
              </w:rPr>
              <w:t>.</w:t>
            </w:r>
          </w:p>
        </w:tc>
      </w:tr>
      <w:tr w:rsidR="00FC41F4" w:rsidRPr="00577593">
        <w:trPr>
          <w:trHeight w:val="300"/>
          <w:jc w:val="center"/>
        </w:trPr>
        <w:tc>
          <w:tcPr>
            <w:tcW w:w="1696" w:type="dxa"/>
            <w:vMerge/>
            <w:vAlign w:val="center"/>
          </w:tcPr>
          <w:p w:rsidR="00FC41F4" w:rsidRPr="00577593" w:rsidRDefault="00FC41F4" w:rsidP="002000D4">
            <w:pPr>
              <w:spacing w:after="0" w:line="240" w:lineRule="auto"/>
              <w:rPr>
                <w:rFonts w:ascii="Times New Roman" w:eastAsia="Times New Roman" w:hAnsi="Times New Roman"/>
                <w:sz w:val="20"/>
                <w:szCs w:val="20"/>
              </w:rPr>
            </w:pPr>
          </w:p>
        </w:tc>
        <w:tc>
          <w:tcPr>
            <w:tcW w:w="1299" w:type="dxa"/>
            <w:tcBorders>
              <w:top w:val="single" w:sz="4" w:space="0" w:color="auto"/>
              <w:left w:val="single" w:sz="4" w:space="0" w:color="auto"/>
              <w:bottom w:val="single" w:sz="4" w:space="0" w:color="auto"/>
              <w:right w:val="single" w:sz="4" w:space="0" w:color="auto"/>
            </w:tcBorders>
            <w:vAlign w:val="center"/>
          </w:tcPr>
          <w:p w:rsidR="00FC41F4" w:rsidRPr="00577593" w:rsidRDefault="008925FA" w:rsidP="002000D4">
            <w:pPr>
              <w:pStyle w:val="ConsPlusNormal"/>
              <w:jc w:val="center"/>
              <w:rPr>
                <w:rFonts w:ascii="Times New Roman" w:hAnsi="Times New Roman" w:cs="Times New Roman"/>
                <w:sz w:val="20"/>
                <w:lang w:eastAsia="en-US"/>
              </w:rPr>
            </w:pPr>
            <w:r w:rsidRPr="00577593">
              <w:rPr>
                <w:rFonts w:ascii="Times New Roman" w:hAnsi="Times New Roman" w:cs="Times New Roman"/>
                <w:sz w:val="20"/>
                <w:lang w:eastAsia="en-US"/>
              </w:rPr>
              <w:t>Объем перевозок, чел./день</w:t>
            </w:r>
          </w:p>
        </w:tc>
        <w:tc>
          <w:tcPr>
            <w:tcW w:w="1300" w:type="dxa"/>
            <w:tcBorders>
              <w:top w:val="single" w:sz="4" w:space="0" w:color="auto"/>
              <w:left w:val="single" w:sz="4" w:space="0" w:color="auto"/>
              <w:bottom w:val="single" w:sz="4" w:space="0" w:color="auto"/>
              <w:right w:val="single" w:sz="4" w:space="0" w:color="auto"/>
            </w:tcBorders>
            <w:vAlign w:val="center"/>
          </w:tcPr>
          <w:p w:rsidR="00FC41F4" w:rsidRPr="00577593" w:rsidRDefault="008925FA" w:rsidP="002000D4">
            <w:pPr>
              <w:pStyle w:val="ConsPlusNormal"/>
              <w:jc w:val="center"/>
              <w:rPr>
                <w:rFonts w:ascii="Times New Roman" w:hAnsi="Times New Roman" w:cs="Times New Roman"/>
                <w:sz w:val="20"/>
                <w:lang w:eastAsia="en-US"/>
              </w:rPr>
            </w:pPr>
            <w:r w:rsidRPr="00577593">
              <w:rPr>
                <w:rFonts w:ascii="Times New Roman" w:hAnsi="Times New Roman" w:cs="Times New Roman"/>
                <w:sz w:val="20"/>
                <w:lang w:eastAsia="en-US"/>
              </w:rPr>
              <w:t>Распределение пассажиров по видам транспортных средств, %</w:t>
            </w:r>
          </w:p>
        </w:tc>
        <w:tc>
          <w:tcPr>
            <w:tcW w:w="1286" w:type="dxa"/>
            <w:tcBorders>
              <w:top w:val="single" w:sz="4" w:space="0" w:color="auto"/>
              <w:left w:val="single" w:sz="4" w:space="0" w:color="auto"/>
              <w:bottom w:val="single" w:sz="4" w:space="0" w:color="auto"/>
              <w:right w:val="single" w:sz="4" w:space="0" w:color="auto"/>
            </w:tcBorders>
            <w:vAlign w:val="center"/>
          </w:tcPr>
          <w:p w:rsidR="00FC41F4" w:rsidRPr="00577593" w:rsidRDefault="008925FA" w:rsidP="002000D4">
            <w:pPr>
              <w:pStyle w:val="ConsPlusNormal"/>
              <w:jc w:val="center"/>
              <w:rPr>
                <w:rFonts w:ascii="Times New Roman" w:hAnsi="Times New Roman" w:cs="Times New Roman"/>
                <w:sz w:val="20"/>
                <w:lang w:eastAsia="en-US"/>
              </w:rPr>
            </w:pPr>
            <w:r w:rsidRPr="00577593">
              <w:rPr>
                <w:rFonts w:ascii="Times New Roman" w:hAnsi="Times New Roman" w:cs="Times New Roman"/>
                <w:sz w:val="20"/>
                <w:lang w:eastAsia="en-US"/>
              </w:rPr>
              <w:t xml:space="preserve">Доля льготных пассажиров, </w:t>
            </w:r>
            <w:r w:rsidRPr="00577593">
              <w:rPr>
                <w:rFonts w:ascii="Times New Roman" w:hAnsi="Times New Roman" w:cs="Times New Roman"/>
                <w:sz w:val="20"/>
                <w:lang w:eastAsia="en-US"/>
              </w:rPr>
              <w:br/>
              <w:t>%</w:t>
            </w:r>
          </w:p>
        </w:tc>
        <w:tc>
          <w:tcPr>
            <w:tcW w:w="1313" w:type="dxa"/>
            <w:tcBorders>
              <w:top w:val="single" w:sz="4" w:space="0" w:color="auto"/>
              <w:left w:val="single" w:sz="4" w:space="0" w:color="auto"/>
              <w:bottom w:val="single" w:sz="4" w:space="0" w:color="auto"/>
              <w:right w:val="single" w:sz="4" w:space="0" w:color="auto"/>
            </w:tcBorders>
            <w:vAlign w:val="center"/>
          </w:tcPr>
          <w:p w:rsidR="00FC41F4" w:rsidRPr="00577593" w:rsidRDefault="008925FA" w:rsidP="002000D4">
            <w:pPr>
              <w:pStyle w:val="ConsPlusNormal"/>
              <w:jc w:val="center"/>
              <w:rPr>
                <w:rFonts w:ascii="Times New Roman" w:hAnsi="Times New Roman" w:cs="Times New Roman"/>
                <w:sz w:val="20"/>
                <w:lang w:eastAsia="en-US"/>
              </w:rPr>
            </w:pPr>
            <w:r w:rsidRPr="00577593">
              <w:rPr>
                <w:rFonts w:ascii="Times New Roman" w:hAnsi="Times New Roman" w:cs="Times New Roman"/>
                <w:sz w:val="20"/>
                <w:lang w:eastAsia="en-US"/>
              </w:rPr>
              <w:t>Объем перевозок, чел./день</w:t>
            </w:r>
          </w:p>
        </w:tc>
        <w:tc>
          <w:tcPr>
            <w:tcW w:w="1299" w:type="dxa"/>
            <w:tcBorders>
              <w:top w:val="single" w:sz="4" w:space="0" w:color="auto"/>
              <w:left w:val="single" w:sz="4" w:space="0" w:color="auto"/>
              <w:bottom w:val="single" w:sz="4" w:space="0" w:color="auto"/>
              <w:right w:val="single" w:sz="4" w:space="0" w:color="auto"/>
            </w:tcBorders>
            <w:vAlign w:val="center"/>
          </w:tcPr>
          <w:p w:rsidR="00FC41F4" w:rsidRPr="00577593" w:rsidRDefault="008925FA" w:rsidP="002000D4">
            <w:pPr>
              <w:pStyle w:val="ConsPlusNormal"/>
              <w:jc w:val="center"/>
              <w:rPr>
                <w:rFonts w:ascii="Times New Roman" w:hAnsi="Times New Roman" w:cs="Times New Roman"/>
                <w:sz w:val="20"/>
                <w:lang w:eastAsia="en-US"/>
              </w:rPr>
            </w:pPr>
            <w:r w:rsidRPr="00577593">
              <w:rPr>
                <w:rFonts w:ascii="Times New Roman" w:hAnsi="Times New Roman" w:cs="Times New Roman"/>
                <w:sz w:val="20"/>
                <w:lang w:eastAsia="en-US"/>
              </w:rPr>
              <w:t>Распределение пассажиров по видам транспортных средств, %</w:t>
            </w:r>
          </w:p>
        </w:tc>
        <w:tc>
          <w:tcPr>
            <w:tcW w:w="1300" w:type="dxa"/>
            <w:tcBorders>
              <w:top w:val="single" w:sz="4" w:space="0" w:color="auto"/>
              <w:left w:val="single" w:sz="4" w:space="0" w:color="auto"/>
              <w:bottom w:val="single" w:sz="4" w:space="0" w:color="auto"/>
              <w:right w:val="single" w:sz="4" w:space="0" w:color="auto"/>
            </w:tcBorders>
            <w:vAlign w:val="center"/>
          </w:tcPr>
          <w:p w:rsidR="00FC41F4" w:rsidRPr="00577593" w:rsidRDefault="008925FA" w:rsidP="002000D4">
            <w:pPr>
              <w:pStyle w:val="ConsPlusNormal"/>
              <w:jc w:val="center"/>
              <w:rPr>
                <w:rFonts w:ascii="Times New Roman" w:hAnsi="Times New Roman" w:cs="Times New Roman"/>
                <w:sz w:val="20"/>
                <w:lang w:eastAsia="en-US"/>
              </w:rPr>
            </w:pPr>
            <w:r w:rsidRPr="00577593">
              <w:rPr>
                <w:rFonts w:ascii="Times New Roman" w:hAnsi="Times New Roman" w:cs="Times New Roman"/>
                <w:sz w:val="20"/>
                <w:lang w:eastAsia="en-US"/>
              </w:rPr>
              <w:t>Доля льготных пассажиров, %</w:t>
            </w:r>
          </w:p>
        </w:tc>
      </w:tr>
      <w:tr w:rsidR="00FC41F4" w:rsidRPr="00577593">
        <w:trPr>
          <w:trHeight w:val="300"/>
          <w:jc w:val="center"/>
        </w:trPr>
        <w:tc>
          <w:tcPr>
            <w:tcW w:w="1696" w:type="dxa"/>
            <w:tcBorders>
              <w:top w:val="single" w:sz="4" w:space="0" w:color="auto"/>
              <w:left w:val="single" w:sz="4" w:space="0" w:color="auto"/>
              <w:bottom w:val="single" w:sz="4" w:space="0" w:color="auto"/>
              <w:right w:val="single" w:sz="4" w:space="0" w:color="auto"/>
            </w:tcBorders>
            <w:vAlign w:val="center"/>
          </w:tcPr>
          <w:p w:rsidR="00FC41F4" w:rsidRPr="00577593" w:rsidRDefault="008925FA" w:rsidP="002000D4">
            <w:pPr>
              <w:pStyle w:val="ConsPlusNormal"/>
              <w:rPr>
                <w:rFonts w:ascii="Times New Roman" w:hAnsi="Times New Roman" w:cs="Times New Roman"/>
                <w:sz w:val="20"/>
                <w:lang w:eastAsia="en-US"/>
              </w:rPr>
            </w:pPr>
            <w:r w:rsidRPr="00577593">
              <w:rPr>
                <w:rFonts w:ascii="Times New Roman" w:hAnsi="Times New Roman" w:cs="Times New Roman"/>
                <w:sz w:val="20"/>
                <w:lang w:eastAsia="en-US"/>
              </w:rPr>
              <w:t>Автобусы большого и среднего класса</w:t>
            </w:r>
          </w:p>
        </w:tc>
        <w:tc>
          <w:tcPr>
            <w:tcW w:w="1299" w:type="dxa"/>
            <w:tcBorders>
              <w:top w:val="single" w:sz="4" w:space="0" w:color="auto"/>
              <w:left w:val="single" w:sz="4" w:space="0" w:color="auto"/>
              <w:bottom w:val="single" w:sz="4" w:space="0" w:color="auto"/>
              <w:right w:val="single" w:sz="4" w:space="0" w:color="auto"/>
            </w:tcBorders>
            <w:vAlign w:val="center"/>
          </w:tcPr>
          <w:p w:rsidR="00FC41F4" w:rsidRPr="00577593" w:rsidRDefault="008925FA" w:rsidP="002000D4">
            <w:pPr>
              <w:pStyle w:val="ConsPlusNormal"/>
              <w:jc w:val="center"/>
              <w:rPr>
                <w:rFonts w:ascii="Times New Roman" w:hAnsi="Times New Roman" w:cs="Times New Roman"/>
                <w:sz w:val="20"/>
                <w:lang w:eastAsia="en-US"/>
              </w:rPr>
            </w:pPr>
            <w:r w:rsidRPr="00577593">
              <w:rPr>
                <w:rFonts w:ascii="Times New Roman" w:hAnsi="Times New Roman" w:cs="Times New Roman"/>
                <w:sz w:val="20"/>
                <w:lang w:eastAsia="en-US"/>
              </w:rPr>
              <w:t>264 624</w:t>
            </w:r>
          </w:p>
        </w:tc>
        <w:tc>
          <w:tcPr>
            <w:tcW w:w="1300" w:type="dxa"/>
            <w:tcBorders>
              <w:top w:val="single" w:sz="4" w:space="0" w:color="auto"/>
              <w:left w:val="single" w:sz="4" w:space="0" w:color="auto"/>
              <w:bottom w:val="single" w:sz="4" w:space="0" w:color="auto"/>
              <w:right w:val="single" w:sz="4" w:space="0" w:color="auto"/>
            </w:tcBorders>
            <w:vAlign w:val="center"/>
          </w:tcPr>
          <w:p w:rsidR="00FC41F4" w:rsidRPr="00577593" w:rsidRDefault="008925FA" w:rsidP="002000D4">
            <w:pPr>
              <w:pStyle w:val="ConsPlusNormal"/>
              <w:jc w:val="center"/>
              <w:rPr>
                <w:rFonts w:ascii="Times New Roman" w:hAnsi="Times New Roman" w:cs="Times New Roman"/>
                <w:sz w:val="20"/>
                <w:lang w:eastAsia="en-US"/>
              </w:rPr>
            </w:pPr>
            <w:r w:rsidRPr="00577593">
              <w:rPr>
                <w:rFonts w:ascii="Times New Roman" w:hAnsi="Times New Roman" w:cs="Times New Roman"/>
                <w:sz w:val="20"/>
                <w:lang w:eastAsia="en-US"/>
              </w:rPr>
              <w:t>43,3</w:t>
            </w:r>
          </w:p>
        </w:tc>
        <w:tc>
          <w:tcPr>
            <w:tcW w:w="1286" w:type="dxa"/>
            <w:tcBorders>
              <w:top w:val="single" w:sz="4" w:space="0" w:color="auto"/>
              <w:left w:val="single" w:sz="4" w:space="0" w:color="auto"/>
              <w:bottom w:val="single" w:sz="4" w:space="0" w:color="auto"/>
              <w:right w:val="single" w:sz="4" w:space="0" w:color="auto"/>
            </w:tcBorders>
            <w:vAlign w:val="center"/>
          </w:tcPr>
          <w:p w:rsidR="00FC41F4" w:rsidRPr="00577593" w:rsidRDefault="008925FA" w:rsidP="002000D4">
            <w:pPr>
              <w:pStyle w:val="ConsPlusNormal"/>
              <w:jc w:val="center"/>
              <w:rPr>
                <w:rFonts w:ascii="Times New Roman" w:hAnsi="Times New Roman" w:cs="Times New Roman"/>
                <w:sz w:val="20"/>
                <w:lang w:eastAsia="en-US"/>
              </w:rPr>
            </w:pPr>
            <w:r w:rsidRPr="00577593">
              <w:rPr>
                <w:rFonts w:ascii="Times New Roman" w:hAnsi="Times New Roman" w:cs="Times New Roman"/>
                <w:sz w:val="20"/>
                <w:lang w:eastAsia="en-US"/>
              </w:rPr>
              <w:t>33,9</w:t>
            </w:r>
          </w:p>
        </w:tc>
        <w:tc>
          <w:tcPr>
            <w:tcW w:w="1313" w:type="dxa"/>
            <w:tcBorders>
              <w:top w:val="single" w:sz="4" w:space="0" w:color="auto"/>
              <w:left w:val="single" w:sz="4" w:space="0" w:color="auto"/>
              <w:bottom w:val="single" w:sz="4" w:space="0" w:color="auto"/>
              <w:right w:val="single" w:sz="4" w:space="0" w:color="auto"/>
            </w:tcBorders>
            <w:vAlign w:val="center"/>
          </w:tcPr>
          <w:p w:rsidR="00FC41F4" w:rsidRPr="00577593" w:rsidRDefault="008925FA" w:rsidP="002000D4">
            <w:pPr>
              <w:pStyle w:val="ConsPlusNormal"/>
              <w:jc w:val="center"/>
              <w:rPr>
                <w:rFonts w:ascii="Times New Roman" w:hAnsi="Times New Roman" w:cs="Times New Roman"/>
                <w:sz w:val="20"/>
                <w:lang w:eastAsia="en-US"/>
              </w:rPr>
            </w:pPr>
            <w:r w:rsidRPr="00577593">
              <w:rPr>
                <w:rFonts w:ascii="Times New Roman" w:hAnsi="Times New Roman" w:cs="Times New Roman"/>
                <w:sz w:val="20"/>
                <w:lang w:eastAsia="en-US"/>
              </w:rPr>
              <w:t>143 326</w:t>
            </w:r>
          </w:p>
        </w:tc>
        <w:tc>
          <w:tcPr>
            <w:tcW w:w="1299" w:type="dxa"/>
            <w:tcBorders>
              <w:top w:val="single" w:sz="4" w:space="0" w:color="auto"/>
              <w:left w:val="single" w:sz="4" w:space="0" w:color="auto"/>
              <w:bottom w:val="single" w:sz="4" w:space="0" w:color="auto"/>
              <w:right w:val="single" w:sz="4" w:space="0" w:color="auto"/>
            </w:tcBorders>
            <w:vAlign w:val="center"/>
          </w:tcPr>
          <w:p w:rsidR="00FC41F4" w:rsidRPr="00577593" w:rsidRDefault="008925FA" w:rsidP="002000D4">
            <w:pPr>
              <w:pStyle w:val="ConsPlusNormal"/>
              <w:jc w:val="center"/>
              <w:rPr>
                <w:rFonts w:ascii="Times New Roman" w:hAnsi="Times New Roman" w:cs="Times New Roman"/>
                <w:sz w:val="20"/>
                <w:lang w:eastAsia="en-US"/>
              </w:rPr>
            </w:pPr>
            <w:r w:rsidRPr="00577593">
              <w:rPr>
                <w:rFonts w:ascii="Times New Roman" w:hAnsi="Times New Roman" w:cs="Times New Roman"/>
                <w:sz w:val="20"/>
                <w:lang w:eastAsia="en-US"/>
              </w:rPr>
              <w:t>42</w:t>
            </w:r>
          </w:p>
        </w:tc>
        <w:tc>
          <w:tcPr>
            <w:tcW w:w="1300" w:type="dxa"/>
            <w:tcBorders>
              <w:top w:val="single" w:sz="4" w:space="0" w:color="auto"/>
              <w:left w:val="single" w:sz="4" w:space="0" w:color="auto"/>
              <w:bottom w:val="single" w:sz="4" w:space="0" w:color="auto"/>
              <w:right w:val="single" w:sz="4" w:space="0" w:color="auto"/>
            </w:tcBorders>
            <w:vAlign w:val="center"/>
          </w:tcPr>
          <w:p w:rsidR="00FC41F4" w:rsidRPr="00577593" w:rsidRDefault="008925FA" w:rsidP="002000D4">
            <w:pPr>
              <w:pStyle w:val="ConsPlusNormal"/>
              <w:jc w:val="center"/>
              <w:rPr>
                <w:rFonts w:ascii="Times New Roman" w:hAnsi="Times New Roman" w:cs="Times New Roman"/>
                <w:sz w:val="20"/>
                <w:lang w:eastAsia="en-US"/>
              </w:rPr>
            </w:pPr>
            <w:r w:rsidRPr="00577593">
              <w:rPr>
                <w:rFonts w:ascii="Times New Roman" w:hAnsi="Times New Roman" w:cs="Times New Roman"/>
                <w:sz w:val="20"/>
                <w:lang w:eastAsia="en-US"/>
              </w:rPr>
              <w:t>35</w:t>
            </w:r>
          </w:p>
        </w:tc>
      </w:tr>
      <w:tr w:rsidR="00FC41F4" w:rsidRPr="00577593">
        <w:trPr>
          <w:trHeight w:val="300"/>
          <w:jc w:val="center"/>
        </w:trPr>
        <w:tc>
          <w:tcPr>
            <w:tcW w:w="1696" w:type="dxa"/>
            <w:tcBorders>
              <w:top w:val="single" w:sz="4" w:space="0" w:color="auto"/>
              <w:left w:val="single" w:sz="4" w:space="0" w:color="auto"/>
              <w:bottom w:val="single" w:sz="4" w:space="0" w:color="auto"/>
              <w:right w:val="single" w:sz="4" w:space="0" w:color="auto"/>
            </w:tcBorders>
            <w:vAlign w:val="center"/>
          </w:tcPr>
          <w:p w:rsidR="00FC41F4" w:rsidRPr="00577593" w:rsidRDefault="008925FA" w:rsidP="002000D4">
            <w:pPr>
              <w:pStyle w:val="ConsPlusNormal"/>
              <w:rPr>
                <w:rFonts w:ascii="Times New Roman" w:hAnsi="Times New Roman" w:cs="Times New Roman"/>
                <w:sz w:val="20"/>
                <w:lang w:eastAsia="en-US"/>
              </w:rPr>
            </w:pPr>
            <w:r w:rsidRPr="00577593">
              <w:rPr>
                <w:rFonts w:ascii="Times New Roman" w:hAnsi="Times New Roman" w:cs="Times New Roman"/>
                <w:sz w:val="20"/>
                <w:lang w:eastAsia="en-US"/>
              </w:rPr>
              <w:t>Электротранспорт</w:t>
            </w:r>
          </w:p>
        </w:tc>
        <w:tc>
          <w:tcPr>
            <w:tcW w:w="1299" w:type="dxa"/>
            <w:tcBorders>
              <w:top w:val="single" w:sz="4" w:space="0" w:color="auto"/>
              <w:left w:val="single" w:sz="4" w:space="0" w:color="auto"/>
              <w:bottom w:val="single" w:sz="4" w:space="0" w:color="auto"/>
              <w:right w:val="single" w:sz="4" w:space="0" w:color="auto"/>
            </w:tcBorders>
            <w:vAlign w:val="center"/>
          </w:tcPr>
          <w:p w:rsidR="00FC41F4" w:rsidRPr="00577593" w:rsidRDefault="008925FA" w:rsidP="002000D4">
            <w:pPr>
              <w:pStyle w:val="ConsPlusNormal"/>
              <w:jc w:val="center"/>
              <w:rPr>
                <w:rFonts w:ascii="Times New Roman" w:hAnsi="Times New Roman" w:cs="Times New Roman"/>
                <w:sz w:val="20"/>
                <w:lang w:eastAsia="en-US"/>
              </w:rPr>
            </w:pPr>
            <w:r w:rsidRPr="00577593">
              <w:rPr>
                <w:rFonts w:ascii="Times New Roman" w:hAnsi="Times New Roman" w:cs="Times New Roman"/>
                <w:sz w:val="20"/>
                <w:lang w:eastAsia="en-US"/>
              </w:rPr>
              <w:t>212 479</w:t>
            </w:r>
          </w:p>
        </w:tc>
        <w:tc>
          <w:tcPr>
            <w:tcW w:w="1300" w:type="dxa"/>
            <w:tcBorders>
              <w:top w:val="single" w:sz="4" w:space="0" w:color="auto"/>
              <w:left w:val="single" w:sz="4" w:space="0" w:color="auto"/>
              <w:bottom w:val="single" w:sz="4" w:space="0" w:color="auto"/>
              <w:right w:val="single" w:sz="4" w:space="0" w:color="auto"/>
            </w:tcBorders>
            <w:vAlign w:val="center"/>
          </w:tcPr>
          <w:p w:rsidR="00FC41F4" w:rsidRPr="00577593" w:rsidRDefault="008925FA" w:rsidP="002000D4">
            <w:pPr>
              <w:pStyle w:val="ConsPlusNormal"/>
              <w:jc w:val="center"/>
              <w:rPr>
                <w:rFonts w:ascii="Times New Roman" w:hAnsi="Times New Roman" w:cs="Times New Roman"/>
                <w:sz w:val="20"/>
                <w:lang w:eastAsia="en-US"/>
              </w:rPr>
            </w:pPr>
            <w:r w:rsidRPr="00577593">
              <w:rPr>
                <w:rFonts w:ascii="Times New Roman" w:hAnsi="Times New Roman" w:cs="Times New Roman"/>
                <w:sz w:val="20"/>
                <w:lang w:eastAsia="en-US"/>
              </w:rPr>
              <w:t>34,7</w:t>
            </w:r>
          </w:p>
        </w:tc>
        <w:tc>
          <w:tcPr>
            <w:tcW w:w="1286" w:type="dxa"/>
            <w:tcBorders>
              <w:top w:val="single" w:sz="4" w:space="0" w:color="auto"/>
              <w:left w:val="single" w:sz="4" w:space="0" w:color="auto"/>
              <w:bottom w:val="single" w:sz="4" w:space="0" w:color="auto"/>
              <w:right w:val="single" w:sz="4" w:space="0" w:color="auto"/>
            </w:tcBorders>
            <w:vAlign w:val="center"/>
          </w:tcPr>
          <w:p w:rsidR="00FC41F4" w:rsidRPr="00577593" w:rsidRDefault="008925FA" w:rsidP="002000D4">
            <w:pPr>
              <w:pStyle w:val="ConsPlusNormal"/>
              <w:jc w:val="center"/>
              <w:rPr>
                <w:rFonts w:ascii="Times New Roman" w:hAnsi="Times New Roman" w:cs="Times New Roman"/>
                <w:sz w:val="20"/>
                <w:lang w:eastAsia="en-US"/>
              </w:rPr>
            </w:pPr>
            <w:r w:rsidRPr="00577593">
              <w:rPr>
                <w:rFonts w:ascii="Times New Roman" w:hAnsi="Times New Roman" w:cs="Times New Roman"/>
                <w:sz w:val="20"/>
                <w:lang w:eastAsia="en-US"/>
              </w:rPr>
              <w:t>45,2</w:t>
            </w:r>
          </w:p>
        </w:tc>
        <w:tc>
          <w:tcPr>
            <w:tcW w:w="1313" w:type="dxa"/>
            <w:tcBorders>
              <w:top w:val="single" w:sz="4" w:space="0" w:color="auto"/>
              <w:left w:val="single" w:sz="4" w:space="0" w:color="auto"/>
              <w:bottom w:val="single" w:sz="4" w:space="0" w:color="auto"/>
              <w:right w:val="single" w:sz="4" w:space="0" w:color="auto"/>
            </w:tcBorders>
            <w:vAlign w:val="center"/>
          </w:tcPr>
          <w:p w:rsidR="00FC41F4" w:rsidRPr="00577593" w:rsidRDefault="008925FA" w:rsidP="002000D4">
            <w:pPr>
              <w:pStyle w:val="ConsPlusNormal"/>
              <w:jc w:val="center"/>
              <w:rPr>
                <w:rFonts w:ascii="Times New Roman" w:hAnsi="Times New Roman" w:cs="Times New Roman"/>
                <w:sz w:val="20"/>
                <w:lang w:eastAsia="en-US"/>
              </w:rPr>
            </w:pPr>
            <w:r w:rsidRPr="00577593">
              <w:rPr>
                <w:rFonts w:ascii="Times New Roman" w:hAnsi="Times New Roman" w:cs="Times New Roman"/>
                <w:sz w:val="20"/>
                <w:lang w:eastAsia="en-US"/>
              </w:rPr>
              <w:t>115 403</w:t>
            </w:r>
          </w:p>
        </w:tc>
        <w:tc>
          <w:tcPr>
            <w:tcW w:w="1299" w:type="dxa"/>
            <w:tcBorders>
              <w:top w:val="single" w:sz="4" w:space="0" w:color="auto"/>
              <w:left w:val="single" w:sz="4" w:space="0" w:color="auto"/>
              <w:bottom w:val="single" w:sz="4" w:space="0" w:color="auto"/>
              <w:right w:val="single" w:sz="4" w:space="0" w:color="auto"/>
            </w:tcBorders>
            <w:vAlign w:val="center"/>
          </w:tcPr>
          <w:p w:rsidR="00FC41F4" w:rsidRPr="00577593" w:rsidRDefault="008925FA" w:rsidP="002000D4">
            <w:pPr>
              <w:pStyle w:val="ConsPlusNormal"/>
              <w:jc w:val="center"/>
              <w:rPr>
                <w:rFonts w:ascii="Times New Roman" w:hAnsi="Times New Roman" w:cs="Times New Roman"/>
                <w:sz w:val="20"/>
                <w:lang w:eastAsia="en-US"/>
              </w:rPr>
            </w:pPr>
            <w:r w:rsidRPr="00577593">
              <w:rPr>
                <w:rFonts w:ascii="Times New Roman" w:hAnsi="Times New Roman" w:cs="Times New Roman"/>
                <w:sz w:val="20"/>
                <w:lang w:eastAsia="en-US"/>
              </w:rPr>
              <w:t>34</w:t>
            </w:r>
          </w:p>
        </w:tc>
        <w:tc>
          <w:tcPr>
            <w:tcW w:w="1300" w:type="dxa"/>
            <w:tcBorders>
              <w:top w:val="single" w:sz="4" w:space="0" w:color="auto"/>
              <w:left w:val="single" w:sz="4" w:space="0" w:color="auto"/>
              <w:bottom w:val="single" w:sz="4" w:space="0" w:color="auto"/>
              <w:right w:val="single" w:sz="4" w:space="0" w:color="auto"/>
            </w:tcBorders>
            <w:vAlign w:val="center"/>
          </w:tcPr>
          <w:p w:rsidR="00FC41F4" w:rsidRPr="00577593" w:rsidRDefault="008925FA" w:rsidP="002000D4">
            <w:pPr>
              <w:pStyle w:val="ConsPlusNormal"/>
              <w:jc w:val="center"/>
              <w:rPr>
                <w:rFonts w:ascii="Times New Roman" w:hAnsi="Times New Roman" w:cs="Times New Roman"/>
                <w:sz w:val="20"/>
                <w:lang w:eastAsia="en-US"/>
              </w:rPr>
            </w:pPr>
            <w:r w:rsidRPr="00577593">
              <w:rPr>
                <w:rFonts w:ascii="Times New Roman" w:hAnsi="Times New Roman" w:cs="Times New Roman"/>
                <w:sz w:val="20"/>
                <w:lang w:eastAsia="en-US"/>
              </w:rPr>
              <w:t>50</w:t>
            </w:r>
          </w:p>
        </w:tc>
      </w:tr>
      <w:tr w:rsidR="00FC41F4" w:rsidRPr="00577593">
        <w:trPr>
          <w:trHeight w:val="300"/>
          <w:jc w:val="center"/>
        </w:trPr>
        <w:tc>
          <w:tcPr>
            <w:tcW w:w="1696" w:type="dxa"/>
            <w:tcBorders>
              <w:top w:val="single" w:sz="4" w:space="0" w:color="auto"/>
              <w:left w:val="single" w:sz="4" w:space="0" w:color="auto"/>
              <w:bottom w:val="single" w:sz="4" w:space="0" w:color="auto"/>
              <w:right w:val="single" w:sz="4" w:space="0" w:color="auto"/>
            </w:tcBorders>
            <w:vAlign w:val="center"/>
          </w:tcPr>
          <w:p w:rsidR="00FC41F4" w:rsidRPr="00577593" w:rsidRDefault="008925FA" w:rsidP="002000D4">
            <w:pPr>
              <w:pStyle w:val="ConsPlusNormal"/>
              <w:rPr>
                <w:rFonts w:ascii="Times New Roman" w:hAnsi="Times New Roman" w:cs="Times New Roman"/>
                <w:sz w:val="20"/>
                <w:lang w:eastAsia="en-US"/>
              </w:rPr>
            </w:pPr>
            <w:r w:rsidRPr="00577593">
              <w:rPr>
                <w:rFonts w:ascii="Times New Roman" w:hAnsi="Times New Roman" w:cs="Times New Roman"/>
                <w:sz w:val="20"/>
                <w:lang w:eastAsia="en-US"/>
              </w:rPr>
              <w:t>Автобусы малого класса</w:t>
            </w:r>
          </w:p>
        </w:tc>
        <w:tc>
          <w:tcPr>
            <w:tcW w:w="1299" w:type="dxa"/>
            <w:tcBorders>
              <w:top w:val="single" w:sz="4" w:space="0" w:color="auto"/>
              <w:left w:val="single" w:sz="4" w:space="0" w:color="auto"/>
              <w:bottom w:val="single" w:sz="4" w:space="0" w:color="auto"/>
              <w:right w:val="single" w:sz="4" w:space="0" w:color="auto"/>
            </w:tcBorders>
            <w:vAlign w:val="center"/>
          </w:tcPr>
          <w:p w:rsidR="00FC41F4" w:rsidRPr="00577593" w:rsidRDefault="008925FA" w:rsidP="002000D4">
            <w:pPr>
              <w:pStyle w:val="ConsPlusNormal"/>
              <w:jc w:val="center"/>
              <w:rPr>
                <w:rFonts w:ascii="Times New Roman" w:hAnsi="Times New Roman" w:cs="Times New Roman"/>
                <w:sz w:val="20"/>
                <w:lang w:eastAsia="en-US"/>
              </w:rPr>
            </w:pPr>
            <w:r w:rsidRPr="00577593">
              <w:rPr>
                <w:rFonts w:ascii="Times New Roman" w:hAnsi="Times New Roman" w:cs="Times New Roman"/>
                <w:sz w:val="20"/>
                <w:lang w:eastAsia="en-US"/>
              </w:rPr>
              <w:t>134 482</w:t>
            </w:r>
          </w:p>
        </w:tc>
        <w:tc>
          <w:tcPr>
            <w:tcW w:w="1300" w:type="dxa"/>
            <w:tcBorders>
              <w:top w:val="single" w:sz="4" w:space="0" w:color="auto"/>
              <w:left w:val="single" w:sz="4" w:space="0" w:color="auto"/>
              <w:bottom w:val="single" w:sz="4" w:space="0" w:color="auto"/>
              <w:right w:val="single" w:sz="4" w:space="0" w:color="auto"/>
            </w:tcBorders>
            <w:vAlign w:val="center"/>
          </w:tcPr>
          <w:p w:rsidR="00FC41F4" w:rsidRPr="00577593" w:rsidRDefault="008925FA" w:rsidP="002000D4">
            <w:pPr>
              <w:pStyle w:val="ConsPlusNormal"/>
              <w:jc w:val="center"/>
              <w:rPr>
                <w:rFonts w:ascii="Times New Roman" w:hAnsi="Times New Roman" w:cs="Times New Roman"/>
                <w:sz w:val="20"/>
                <w:lang w:eastAsia="en-US"/>
              </w:rPr>
            </w:pPr>
            <w:r w:rsidRPr="00577593">
              <w:rPr>
                <w:rFonts w:ascii="Times New Roman" w:hAnsi="Times New Roman" w:cs="Times New Roman"/>
                <w:sz w:val="20"/>
                <w:lang w:eastAsia="en-US"/>
              </w:rPr>
              <w:t>22,0</w:t>
            </w:r>
          </w:p>
        </w:tc>
        <w:tc>
          <w:tcPr>
            <w:tcW w:w="1286" w:type="dxa"/>
            <w:tcBorders>
              <w:top w:val="single" w:sz="4" w:space="0" w:color="auto"/>
              <w:left w:val="single" w:sz="4" w:space="0" w:color="auto"/>
              <w:bottom w:val="single" w:sz="4" w:space="0" w:color="auto"/>
              <w:right w:val="single" w:sz="4" w:space="0" w:color="auto"/>
            </w:tcBorders>
            <w:vAlign w:val="center"/>
          </w:tcPr>
          <w:p w:rsidR="00FC41F4" w:rsidRPr="00577593" w:rsidRDefault="008925FA" w:rsidP="002000D4">
            <w:pPr>
              <w:pStyle w:val="ConsPlusNormal"/>
              <w:jc w:val="center"/>
              <w:rPr>
                <w:rFonts w:ascii="Times New Roman" w:hAnsi="Times New Roman" w:cs="Times New Roman"/>
                <w:sz w:val="20"/>
                <w:lang w:eastAsia="en-US"/>
              </w:rPr>
            </w:pPr>
            <w:r w:rsidRPr="00577593">
              <w:rPr>
                <w:rFonts w:ascii="Times New Roman" w:hAnsi="Times New Roman" w:cs="Times New Roman"/>
                <w:sz w:val="20"/>
                <w:lang w:eastAsia="en-US"/>
              </w:rPr>
              <w:t>-</w:t>
            </w:r>
          </w:p>
        </w:tc>
        <w:tc>
          <w:tcPr>
            <w:tcW w:w="1313" w:type="dxa"/>
            <w:tcBorders>
              <w:top w:val="single" w:sz="4" w:space="0" w:color="auto"/>
              <w:left w:val="single" w:sz="4" w:space="0" w:color="auto"/>
              <w:bottom w:val="single" w:sz="4" w:space="0" w:color="auto"/>
              <w:right w:val="single" w:sz="4" w:space="0" w:color="auto"/>
            </w:tcBorders>
            <w:vAlign w:val="center"/>
          </w:tcPr>
          <w:p w:rsidR="00FC41F4" w:rsidRPr="00577593" w:rsidRDefault="008925FA" w:rsidP="002000D4">
            <w:pPr>
              <w:pStyle w:val="ConsPlusNormal"/>
              <w:jc w:val="center"/>
              <w:rPr>
                <w:rFonts w:ascii="Times New Roman" w:hAnsi="Times New Roman" w:cs="Times New Roman"/>
                <w:sz w:val="20"/>
                <w:lang w:eastAsia="en-US"/>
              </w:rPr>
            </w:pPr>
            <w:r w:rsidRPr="00577593">
              <w:rPr>
                <w:rFonts w:ascii="Times New Roman" w:hAnsi="Times New Roman" w:cs="Times New Roman"/>
                <w:sz w:val="20"/>
                <w:lang w:eastAsia="en-US"/>
              </w:rPr>
              <w:t>77 619</w:t>
            </w:r>
          </w:p>
        </w:tc>
        <w:tc>
          <w:tcPr>
            <w:tcW w:w="1299" w:type="dxa"/>
            <w:tcBorders>
              <w:top w:val="single" w:sz="4" w:space="0" w:color="auto"/>
              <w:left w:val="single" w:sz="4" w:space="0" w:color="auto"/>
              <w:bottom w:val="single" w:sz="4" w:space="0" w:color="auto"/>
              <w:right w:val="single" w:sz="4" w:space="0" w:color="auto"/>
            </w:tcBorders>
            <w:vAlign w:val="center"/>
          </w:tcPr>
          <w:p w:rsidR="00FC41F4" w:rsidRPr="00577593" w:rsidRDefault="008925FA" w:rsidP="002000D4">
            <w:pPr>
              <w:pStyle w:val="ConsPlusNormal"/>
              <w:jc w:val="center"/>
              <w:rPr>
                <w:rFonts w:ascii="Times New Roman" w:hAnsi="Times New Roman" w:cs="Times New Roman"/>
                <w:sz w:val="20"/>
                <w:lang w:eastAsia="en-US"/>
              </w:rPr>
            </w:pPr>
            <w:r w:rsidRPr="00577593">
              <w:rPr>
                <w:rFonts w:ascii="Times New Roman" w:hAnsi="Times New Roman" w:cs="Times New Roman"/>
                <w:sz w:val="20"/>
                <w:lang w:eastAsia="en-US"/>
              </w:rPr>
              <w:t>24</w:t>
            </w:r>
          </w:p>
        </w:tc>
        <w:tc>
          <w:tcPr>
            <w:tcW w:w="1300" w:type="dxa"/>
            <w:tcBorders>
              <w:top w:val="single" w:sz="4" w:space="0" w:color="auto"/>
              <w:left w:val="single" w:sz="4" w:space="0" w:color="auto"/>
              <w:bottom w:val="single" w:sz="4" w:space="0" w:color="auto"/>
              <w:right w:val="single" w:sz="4" w:space="0" w:color="auto"/>
            </w:tcBorders>
            <w:vAlign w:val="center"/>
          </w:tcPr>
          <w:p w:rsidR="00FC41F4" w:rsidRPr="00577593" w:rsidRDefault="008925FA" w:rsidP="002000D4">
            <w:pPr>
              <w:pStyle w:val="ConsPlusNormal"/>
              <w:jc w:val="center"/>
              <w:rPr>
                <w:rFonts w:ascii="Times New Roman" w:hAnsi="Times New Roman" w:cs="Times New Roman"/>
                <w:sz w:val="20"/>
                <w:lang w:eastAsia="en-US"/>
              </w:rPr>
            </w:pPr>
            <w:r w:rsidRPr="00577593">
              <w:rPr>
                <w:rFonts w:ascii="Times New Roman" w:hAnsi="Times New Roman" w:cs="Times New Roman"/>
                <w:sz w:val="20"/>
                <w:lang w:eastAsia="en-US"/>
              </w:rPr>
              <w:t>15</w:t>
            </w:r>
          </w:p>
        </w:tc>
      </w:tr>
      <w:tr w:rsidR="00FC41F4" w:rsidRPr="00577593">
        <w:trPr>
          <w:trHeight w:val="300"/>
          <w:jc w:val="center"/>
        </w:trPr>
        <w:tc>
          <w:tcPr>
            <w:tcW w:w="1696" w:type="dxa"/>
            <w:tcBorders>
              <w:top w:val="single" w:sz="4" w:space="0" w:color="auto"/>
              <w:left w:val="single" w:sz="4" w:space="0" w:color="auto"/>
              <w:bottom w:val="single" w:sz="4" w:space="0" w:color="auto"/>
              <w:right w:val="single" w:sz="4" w:space="0" w:color="auto"/>
            </w:tcBorders>
            <w:vAlign w:val="center"/>
          </w:tcPr>
          <w:p w:rsidR="00FC41F4" w:rsidRPr="00577593" w:rsidRDefault="008925FA" w:rsidP="002000D4">
            <w:pPr>
              <w:pStyle w:val="ConsPlusNormal"/>
              <w:rPr>
                <w:rFonts w:ascii="Times New Roman" w:hAnsi="Times New Roman" w:cs="Times New Roman"/>
                <w:sz w:val="20"/>
                <w:lang w:eastAsia="en-US"/>
              </w:rPr>
            </w:pPr>
            <w:r w:rsidRPr="00577593">
              <w:rPr>
                <w:rFonts w:ascii="Times New Roman" w:hAnsi="Times New Roman" w:cs="Times New Roman"/>
                <w:sz w:val="20"/>
                <w:lang w:eastAsia="en-US"/>
              </w:rPr>
              <w:t>Итого:</w:t>
            </w:r>
          </w:p>
        </w:tc>
        <w:tc>
          <w:tcPr>
            <w:tcW w:w="1299" w:type="dxa"/>
            <w:tcBorders>
              <w:top w:val="single" w:sz="4" w:space="0" w:color="auto"/>
              <w:left w:val="single" w:sz="4" w:space="0" w:color="auto"/>
              <w:bottom w:val="single" w:sz="4" w:space="0" w:color="auto"/>
              <w:right w:val="single" w:sz="4" w:space="0" w:color="auto"/>
            </w:tcBorders>
            <w:vAlign w:val="center"/>
          </w:tcPr>
          <w:p w:rsidR="00FC41F4" w:rsidRPr="00577593" w:rsidRDefault="008925FA" w:rsidP="002000D4">
            <w:pPr>
              <w:pStyle w:val="ConsPlusNormal"/>
              <w:jc w:val="center"/>
              <w:rPr>
                <w:rFonts w:ascii="Times New Roman" w:hAnsi="Times New Roman" w:cs="Times New Roman"/>
                <w:sz w:val="20"/>
                <w:lang w:eastAsia="en-US"/>
              </w:rPr>
            </w:pPr>
            <w:r w:rsidRPr="00577593">
              <w:rPr>
                <w:rFonts w:ascii="Times New Roman" w:hAnsi="Times New Roman" w:cs="Times New Roman"/>
                <w:sz w:val="20"/>
                <w:lang w:eastAsia="en-US"/>
              </w:rPr>
              <w:t>611 585</w:t>
            </w:r>
          </w:p>
        </w:tc>
        <w:tc>
          <w:tcPr>
            <w:tcW w:w="1300" w:type="dxa"/>
            <w:tcBorders>
              <w:top w:val="single" w:sz="4" w:space="0" w:color="auto"/>
              <w:left w:val="single" w:sz="4" w:space="0" w:color="auto"/>
              <w:bottom w:val="single" w:sz="4" w:space="0" w:color="auto"/>
              <w:right w:val="single" w:sz="4" w:space="0" w:color="auto"/>
            </w:tcBorders>
            <w:vAlign w:val="center"/>
          </w:tcPr>
          <w:p w:rsidR="00FC41F4" w:rsidRPr="00577593" w:rsidRDefault="008925FA" w:rsidP="002000D4">
            <w:pPr>
              <w:pStyle w:val="ConsPlusNormal"/>
              <w:jc w:val="center"/>
              <w:rPr>
                <w:rFonts w:ascii="Times New Roman" w:hAnsi="Times New Roman" w:cs="Times New Roman"/>
                <w:sz w:val="20"/>
                <w:lang w:eastAsia="en-US"/>
              </w:rPr>
            </w:pPr>
            <w:r w:rsidRPr="00577593">
              <w:rPr>
                <w:rFonts w:ascii="Times New Roman" w:hAnsi="Times New Roman" w:cs="Times New Roman"/>
                <w:sz w:val="20"/>
                <w:lang w:eastAsia="en-US"/>
              </w:rPr>
              <w:t>100,0</w:t>
            </w:r>
          </w:p>
        </w:tc>
        <w:tc>
          <w:tcPr>
            <w:tcW w:w="1286" w:type="dxa"/>
            <w:tcBorders>
              <w:top w:val="single" w:sz="4" w:space="0" w:color="auto"/>
              <w:left w:val="single" w:sz="4" w:space="0" w:color="auto"/>
              <w:bottom w:val="single" w:sz="4" w:space="0" w:color="auto"/>
              <w:right w:val="single" w:sz="4" w:space="0" w:color="auto"/>
            </w:tcBorders>
            <w:vAlign w:val="center"/>
          </w:tcPr>
          <w:p w:rsidR="00FC41F4" w:rsidRPr="00577593" w:rsidRDefault="008925FA" w:rsidP="002000D4">
            <w:pPr>
              <w:pStyle w:val="ConsPlusNormal"/>
              <w:jc w:val="center"/>
              <w:rPr>
                <w:rFonts w:ascii="Times New Roman" w:hAnsi="Times New Roman" w:cs="Times New Roman"/>
                <w:sz w:val="20"/>
                <w:lang w:eastAsia="en-US"/>
              </w:rPr>
            </w:pPr>
            <w:r w:rsidRPr="00577593">
              <w:rPr>
                <w:rFonts w:ascii="Times New Roman" w:hAnsi="Times New Roman" w:cs="Times New Roman"/>
                <w:sz w:val="20"/>
                <w:lang w:eastAsia="en-US"/>
              </w:rPr>
              <w:t>-</w:t>
            </w:r>
          </w:p>
        </w:tc>
        <w:tc>
          <w:tcPr>
            <w:tcW w:w="1313" w:type="dxa"/>
            <w:tcBorders>
              <w:top w:val="single" w:sz="4" w:space="0" w:color="auto"/>
              <w:left w:val="single" w:sz="4" w:space="0" w:color="auto"/>
              <w:bottom w:val="single" w:sz="4" w:space="0" w:color="auto"/>
              <w:right w:val="single" w:sz="4" w:space="0" w:color="auto"/>
            </w:tcBorders>
            <w:vAlign w:val="center"/>
          </w:tcPr>
          <w:p w:rsidR="00FC41F4" w:rsidRPr="00577593" w:rsidRDefault="008925FA" w:rsidP="002000D4">
            <w:pPr>
              <w:pStyle w:val="ConsPlusNormal"/>
              <w:jc w:val="center"/>
              <w:rPr>
                <w:rFonts w:ascii="Times New Roman" w:hAnsi="Times New Roman" w:cs="Times New Roman"/>
                <w:sz w:val="20"/>
                <w:lang w:eastAsia="en-US"/>
              </w:rPr>
            </w:pPr>
            <w:r w:rsidRPr="00577593">
              <w:rPr>
                <w:rFonts w:ascii="Times New Roman" w:hAnsi="Times New Roman" w:cs="Times New Roman"/>
                <w:sz w:val="20"/>
                <w:lang w:eastAsia="en-US"/>
              </w:rPr>
              <w:t>336 348</w:t>
            </w:r>
          </w:p>
        </w:tc>
        <w:tc>
          <w:tcPr>
            <w:tcW w:w="1299" w:type="dxa"/>
            <w:tcBorders>
              <w:top w:val="single" w:sz="4" w:space="0" w:color="auto"/>
              <w:left w:val="single" w:sz="4" w:space="0" w:color="auto"/>
              <w:bottom w:val="single" w:sz="4" w:space="0" w:color="auto"/>
              <w:right w:val="single" w:sz="4" w:space="0" w:color="auto"/>
            </w:tcBorders>
            <w:vAlign w:val="center"/>
          </w:tcPr>
          <w:p w:rsidR="00FC41F4" w:rsidRPr="00577593" w:rsidRDefault="008925FA" w:rsidP="002000D4">
            <w:pPr>
              <w:pStyle w:val="ConsPlusNormal"/>
              <w:jc w:val="center"/>
              <w:rPr>
                <w:rFonts w:ascii="Times New Roman" w:hAnsi="Times New Roman" w:cs="Times New Roman"/>
                <w:sz w:val="20"/>
                <w:lang w:eastAsia="en-US"/>
              </w:rPr>
            </w:pPr>
            <w:r w:rsidRPr="00577593">
              <w:rPr>
                <w:rFonts w:ascii="Times New Roman" w:hAnsi="Times New Roman" w:cs="Times New Roman"/>
                <w:sz w:val="20"/>
                <w:lang w:eastAsia="en-US"/>
              </w:rPr>
              <w:t>100</w:t>
            </w:r>
          </w:p>
        </w:tc>
        <w:tc>
          <w:tcPr>
            <w:tcW w:w="1300" w:type="dxa"/>
            <w:tcBorders>
              <w:top w:val="single" w:sz="4" w:space="0" w:color="auto"/>
              <w:left w:val="single" w:sz="4" w:space="0" w:color="auto"/>
              <w:bottom w:val="single" w:sz="4" w:space="0" w:color="auto"/>
              <w:right w:val="single" w:sz="4" w:space="0" w:color="auto"/>
            </w:tcBorders>
            <w:vAlign w:val="center"/>
          </w:tcPr>
          <w:p w:rsidR="00FC41F4" w:rsidRPr="00577593" w:rsidRDefault="008925FA" w:rsidP="002000D4">
            <w:pPr>
              <w:pStyle w:val="ConsPlusNormal"/>
              <w:jc w:val="center"/>
              <w:rPr>
                <w:rFonts w:ascii="Times New Roman" w:hAnsi="Times New Roman" w:cs="Times New Roman"/>
                <w:sz w:val="20"/>
                <w:lang w:eastAsia="en-US"/>
              </w:rPr>
            </w:pPr>
            <w:r w:rsidRPr="00577593">
              <w:rPr>
                <w:rFonts w:ascii="Times New Roman" w:hAnsi="Times New Roman" w:cs="Times New Roman"/>
                <w:sz w:val="20"/>
                <w:lang w:eastAsia="en-US"/>
              </w:rPr>
              <w:t>100</w:t>
            </w:r>
          </w:p>
        </w:tc>
      </w:tr>
    </w:tbl>
    <w:p w:rsidR="00FC41F4" w:rsidRPr="00577593" w:rsidRDefault="008925FA" w:rsidP="002000D4">
      <w:pPr>
        <w:pStyle w:val="aff9"/>
        <w:ind w:firstLine="709"/>
        <w:jc w:val="both"/>
        <w:rPr>
          <w:rFonts w:ascii="Times New Roman" w:hAnsi="Times New Roman"/>
          <w:i w:val="0"/>
          <w:color w:val="auto"/>
          <w:sz w:val="28"/>
          <w:szCs w:val="28"/>
        </w:rPr>
      </w:pPr>
      <w:r w:rsidRPr="00577593">
        <w:rPr>
          <w:rFonts w:ascii="Times New Roman" w:hAnsi="Times New Roman"/>
          <w:i w:val="0"/>
          <w:color w:val="auto"/>
          <w:sz w:val="28"/>
          <w:szCs w:val="28"/>
        </w:rPr>
        <w:t xml:space="preserve">Примечание </w:t>
      </w:r>
      <w:r w:rsidR="00672709" w:rsidRPr="00577593">
        <w:rPr>
          <w:rFonts w:ascii="Times New Roman" w:hAnsi="Times New Roman"/>
          <w:i w:val="0"/>
          <w:color w:val="auto"/>
          <w:sz w:val="28"/>
          <w:szCs w:val="28"/>
        </w:rPr>
        <w:t>–</w:t>
      </w:r>
      <w:r w:rsidRPr="00577593">
        <w:rPr>
          <w:rFonts w:ascii="Times New Roman" w:hAnsi="Times New Roman"/>
          <w:i w:val="0"/>
          <w:color w:val="auto"/>
          <w:sz w:val="28"/>
          <w:szCs w:val="28"/>
        </w:rPr>
        <w:t xml:space="preserve"> Источник: данные администрации </w:t>
      </w:r>
      <w:r w:rsidR="00B62988">
        <w:rPr>
          <w:rFonts w:ascii="Times New Roman" w:hAnsi="Times New Roman"/>
          <w:i w:val="0"/>
          <w:color w:val="auto"/>
          <w:sz w:val="28"/>
          <w:szCs w:val="28"/>
        </w:rPr>
        <w:t xml:space="preserve">города </w:t>
      </w:r>
      <w:r w:rsidRPr="00577593">
        <w:rPr>
          <w:rFonts w:ascii="Times New Roman" w:hAnsi="Times New Roman"/>
          <w:i w:val="0"/>
          <w:color w:val="auto"/>
          <w:sz w:val="28"/>
          <w:szCs w:val="28"/>
        </w:rPr>
        <w:t>Барнаула</w:t>
      </w:r>
    </w:p>
    <w:p w:rsidR="003F323B" w:rsidRDefault="008925FA" w:rsidP="003F323B">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В 2021 году 580 тысяч горожан проживало в 400-метровой доступности до остановок общественного транспорта, 620 тысяч </w:t>
      </w:r>
      <w:r w:rsidR="00672709" w:rsidRPr="00577593">
        <w:rPr>
          <w:rFonts w:ascii="Times New Roman" w:hAnsi="Times New Roman"/>
          <w:sz w:val="28"/>
          <w:szCs w:val="28"/>
        </w:rPr>
        <w:t>–</w:t>
      </w:r>
      <w:r w:rsidRPr="00577593">
        <w:rPr>
          <w:rFonts w:ascii="Times New Roman" w:hAnsi="Times New Roman"/>
          <w:sz w:val="28"/>
          <w:szCs w:val="28"/>
        </w:rPr>
        <w:t xml:space="preserve"> в 640-метровой доступности. Более трети горожан имеют крайне высокую степень обслуживаемости общественным транспортом (</w:t>
      </w:r>
      <w:r w:rsidR="003F323B">
        <w:rPr>
          <w:rFonts w:ascii="Times New Roman" w:hAnsi="Times New Roman"/>
          <w:sz w:val="28"/>
          <w:szCs w:val="28"/>
        </w:rPr>
        <w:t>Таблица 15).</w:t>
      </w:r>
    </w:p>
    <w:p w:rsidR="003F323B" w:rsidRDefault="003F323B" w:rsidP="003F323B">
      <w:pPr>
        <w:spacing w:after="0" w:line="240" w:lineRule="auto"/>
        <w:jc w:val="both"/>
        <w:rPr>
          <w:rFonts w:ascii="Times New Roman" w:hAnsi="Times New Roman"/>
          <w:sz w:val="28"/>
          <w:szCs w:val="28"/>
        </w:rPr>
      </w:pPr>
    </w:p>
    <w:p w:rsidR="003F323B" w:rsidRDefault="003F323B" w:rsidP="003F323B">
      <w:pPr>
        <w:spacing w:after="0" w:line="240" w:lineRule="auto"/>
        <w:jc w:val="both"/>
        <w:rPr>
          <w:rFonts w:ascii="Times New Roman" w:hAnsi="Times New Roman"/>
          <w:sz w:val="28"/>
          <w:szCs w:val="28"/>
        </w:rPr>
      </w:pPr>
      <w:r w:rsidRPr="00577593">
        <w:rPr>
          <w:rFonts w:ascii="Times New Roman" w:hAnsi="Times New Roman"/>
          <w:sz w:val="28"/>
          <w:szCs w:val="28"/>
        </w:rPr>
        <w:t xml:space="preserve">Таблица </w:t>
      </w:r>
      <w:r w:rsidR="00074AE5" w:rsidRPr="00577593">
        <w:rPr>
          <w:rFonts w:ascii="Times New Roman" w:hAnsi="Times New Roman"/>
          <w:sz w:val="28"/>
          <w:szCs w:val="28"/>
        </w:rPr>
        <w:fldChar w:fldCharType="begin"/>
      </w:r>
      <w:r w:rsidRPr="00577593">
        <w:rPr>
          <w:rFonts w:ascii="Times New Roman" w:hAnsi="Times New Roman"/>
          <w:sz w:val="28"/>
          <w:szCs w:val="28"/>
        </w:rPr>
        <w:instrText xml:space="preserve"> SEQ Таблица \* ARABIC </w:instrText>
      </w:r>
      <w:r w:rsidR="00074AE5" w:rsidRPr="00577593">
        <w:rPr>
          <w:rFonts w:ascii="Times New Roman" w:hAnsi="Times New Roman"/>
          <w:sz w:val="28"/>
          <w:szCs w:val="28"/>
        </w:rPr>
        <w:fldChar w:fldCharType="separate"/>
      </w:r>
      <w:r w:rsidR="00071499">
        <w:rPr>
          <w:rFonts w:ascii="Times New Roman" w:hAnsi="Times New Roman"/>
          <w:noProof/>
          <w:sz w:val="28"/>
          <w:szCs w:val="28"/>
        </w:rPr>
        <w:t>15</w:t>
      </w:r>
      <w:r w:rsidR="00074AE5" w:rsidRPr="00577593">
        <w:rPr>
          <w:rFonts w:ascii="Times New Roman" w:hAnsi="Times New Roman"/>
          <w:sz w:val="28"/>
          <w:szCs w:val="28"/>
        </w:rPr>
        <w:fldChar w:fldCharType="end"/>
      </w:r>
      <w:r w:rsidRPr="00577593">
        <w:rPr>
          <w:rFonts w:ascii="Times New Roman" w:hAnsi="Times New Roman"/>
          <w:sz w:val="28"/>
          <w:szCs w:val="28"/>
        </w:rPr>
        <w:t xml:space="preserve"> – Нас</w:t>
      </w:r>
      <w:r>
        <w:rPr>
          <w:rFonts w:ascii="Times New Roman" w:hAnsi="Times New Roman"/>
          <w:sz w:val="28"/>
          <w:szCs w:val="28"/>
        </w:rPr>
        <w:t>еление</w:t>
      </w:r>
      <w:r w:rsidRPr="00577593">
        <w:rPr>
          <w:rFonts w:ascii="Times New Roman" w:hAnsi="Times New Roman"/>
          <w:sz w:val="28"/>
          <w:szCs w:val="28"/>
        </w:rPr>
        <w:t xml:space="preserve"> по уровням обслуживаемости общественным транспортном (% от </w:t>
      </w:r>
      <w:r>
        <w:rPr>
          <w:rFonts w:ascii="Times New Roman" w:hAnsi="Times New Roman"/>
          <w:sz w:val="28"/>
          <w:szCs w:val="28"/>
        </w:rPr>
        <w:t xml:space="preserve">численности населения </w:t>
      </w:r>
      <w:r w:rsidRPr="00577593">
        <w:rPr>
          <w:rFonts w:ascii="Times New Roman" w:hAnsi="Times New Roman"/>
          <w:sz w:val="28"/>
          <w:szCs w:val="28"/>
        </w:rPr>
        <w:t xml:space="preserve">города) </w:t>
      </w:r>
    </w:p>
    <w:tbl>
      <w:tblPr>
        <w:tblW w:w="88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218"/>
        <w:gridCol w:w="3616"/>
      </w:tblGrid>
      <w:tr w:rsidR="003F323B" w:rsidRPr="00577593" w:rsidTr="003F323B">
        <w:trPr>
          <w:trHeight w:val="290"/>
          <w:jc w:val="center"/>
        </w:trPr>
        <w:tc>
          <w:tcPr>
            <w:tcW w:w="5218" w:type="dxa"/>
            <w:shd w:val="clear" w:color="auto" w:fill="auto"/>
          </w:tcPr>
          <w:p w:rsidR="003F323B" w:rsidRPr="00577593" w:rsidRDefault="003F323B" w:rsidP="00B54E09">
            <w:pPr>
              <w:spacing w:after="0" w:line="240" w:lineRule="auto"/>
              <w:jc w:val="center"/>
              <w:rPr>
                <w:rFonts w:ascii="Times New Roman" w:hAnsi="Times New Roman"/>
                <w:sz w:val="20"/>
                <w:szCs w:val="20"/>
              </w:rPr>
            </w:pPr>
            <w:r w:rsidRPr="00577593">
              <w:rPr>
                <w:rFonts w:ascii="Times New Roman" w:hAnsi="Times New Roman"/>
                <w:sz w:val="20"/>
                <w:szCs w:val="20"/>
              </w:rPr>
              <w:t>Уровень обслуживаемости общественным транспортном</w:t>
            </w:r>
          </w:p>
        </w:tc>
        <w:tc>
          <w:tcPr>
            <w:tcW w:w="3616" w:type="dxa"/>
            <w:shd w:val="clear" w:color="auto" w:fill="auto"/>
          </w:tcPr>
          <w:p w:rsidR="003F323B" w:rsidRPr="00577593" w:rsidRDefault="003F323B" w:rsidP="00B54E09">
            <w:pPr>
              <w:spacing w:after="0" w:line="240" w:lineRule="auto"/>
              <w:jc w:val="center"/>
              <w:rPr>
                <w:rFonts w:ascii="Times New Roman" w:hAnsi="Times New Roman"/>
                <w:sz w:val="20"/>
                <w:szCs w:val="20"/>
              </w:rPr>
            </w:pPr>
            <w:r w:rsidRPr="00577593">
              <w:rPr>
                <w:rFonts w:ascii="Times New Roman" w:hAnsi="Times New Roman"/>
                <w:sz w:val="20"/>
                <w:szCs w:val="20"/>
              </w:rPr>
              <w:t>Доля населения, %</w:t>
            </w:r>
          </w:p>
        </w:tc>
      </w:tr>
      <w:tr w:rsidR="003F323B" w:rsidRPr="00577593" w:rsidTr="003F323B">
        <w:trPr>
          <w:trHeight w:val="290"/>
          <w:jc w:val="center"/>
        </w:trPr>
        <w:tc>
          <w:tcPr>
            <w:tcW w:w="5218" w:type="dxa"/>
            <w:shd w:val="clear" w:color="auto" w:fill="auto"/>
          </w:tcPr>
          <w:p w:rsidR="003F323B" w:rsidRPr="00577593" w:rsidRDefault="003F323B" w:rsidP="00B54E09">
            <w:pPr>
              <w:spacing w:after="0" w:line="240" w:lineRule="auto"/>
              <w:jc w:val="center"/>
              <w:rPr>
                <w:rFonts w:ascii="Times New Roman" w:hAnsi="Times New Roman"/>
                <w:sz w:val="20"/>
                <w:szCs w:val="20"/>
              </w:rPr>
            </w:pPr>
            <w:r w:rsidRPr="00577593">
              <w:rPr>
                <w:rFonts w:ascii="Times New Roman" w:hAnsi="Times New Roman"/>
                <w:sz w:val="20"/>
                <w:szCs w:val="20"/>
              </w:rPr>
              <w:t>0</w:t>
            </w:r>
          </w:p>
        </w:tc>
        <w:tc>
          <w:tcPr>
            <w:tcW w:w="3616" w:type="dxa"/>
            <w:shd w:val="clear" w:color="auto" w:fill="auto"/>
          </w:tcPr>
          <w:p w:rsidR="003F323B" w:rsidRPr="00577593" w:rsidRDefault="003F323B" w:rsidP="00B54E09">
            <w:pPr>
              <w:spacing w:after="0" w:line="240" w:lineRule="auto"/>
              <w:jc w:val="center"/>
              <w:rPr>
                <w:rFonts w:ascii="Times New Roman" w:hAnsi="Times New Roman"/>
                <w:sz w:val="20"/>
                <w:szCs w:val="20"/>
              </w:rPr>
            </w:pPr>
            <w:r w:rsidRPr="00577593">
              <w:rPr>
                <w:rFonts w:ascii="Times New Roman" w:hAnsi="Times New Roman"/>
                <w:sz w:val="20"/>
                <w:szCs w:val="20"/>
              </w:rPr>
              <w:t>5,61</w:t>
            </w:r>
          </w:p>
        </w:tc>
      </w:tr>
      <w:tr w:rsidR="003F323B" w:rsidRPr="00577593" w:rsidTr="003F323B">
        <w:trPr>
          <w:trHeight w:val="290"/>
          <w:jc w:val="center"/>
        </w:trPr>
        <w:tc>
          <w:tcPr>
            <w:tcW w:w="5218" w:type="dxa"/>
            <w:shd w:val="clear" w:color="auto" w:fill="auto"/>
          </w:tcPr>
          <w:p w:rsidR="003F323B" w:rsidRPr="00577593" w:rsidRDefault="003F323B" w:rsidP="00B54E09">
            <w:pPr>
              <w:spacing w:after="0" w:line="240" w:lineRule="auto"/>
              <w:jc w:val="center"/>
              <w:rPr>
                <w:rFonts w:ascii="Times New Roman" w:hAnsi="Times New Roman"/>
                <w:sz w:val="20"/>
                <w:szCs w:val="20"/>
              </w:rPr>
            </w:pPr>
            <w:r w:rsidRPr="00577593">
              <w:rPr>
                <w:rFonts w:ascii="Times New Roman" w:hAnsi="Times New Roman"/>
                <w:sz w:val="20"/>
                <w:szCs w:val="20"/>
              </w:rPr>
              <w:t>1а</w:t>
            </w:r>
          </w:p>
        </w:tc>
        <w:tc>
          <w:tcPr>
            <w:tcW w:w="3616" w:type="dxa"/>
            <w:shd w:val="clear" w:color="auto" w:fill="auto"/>
          </w:tcPr>
          <w:p w:rsidR="003F323B" w:rsidRPr="00577593" w:rsidRDefault="003F323B" w:rsidP="00B54E09">
            <w:pPr>
              <w:spacing w:after="0" w:line="240" w:lineRule="auto"/>
              <w:jc w:val="center"/>
              <w:rPr>
                <w:rFonts w:ascii="Times New Roman" w:hAnsi="Times New Roman"/>
                <w:sz w:val="20"/>
                <w:szCs w:val="20"/>
              </w:rPr>
            </w:pPr>
            <w:r w:rsidRPr="00577593">
              <w:rPr>
                <w:rFonts w:ascii="Times New Roman" w:hAnsi="Times New Roman"/>
                <w:sz w:val="20"/>
                <w:szCs w:val="20"/>
              </w:rPr>
              <w:t>3,86</w:t>
            </w:r>
          </w:p>
        </w:tc>
      </w:tr>
      <w:tr w:rsidR="003F323B" w:rsidRPr="00577593" w:rsidTr="003F323B">
        <w:trPr>
          <w:trHeight w:val="290"/>
          <w:jc w:val="center"/>
        </w:trPr>
        <w:tc>
          <w:tcPr>
            <w:tcW w:w="5218" w:type="dxa"/>
            <w:shd w:val="clear" w:color="auto" w:fill="auto"/>
          </w:tcPr>
          <w:p w:rsidR="003F323B" w:rsidRPr="00577593" w:rsidRDefault="003F323B" w:rsidP="00B54E09">
            <w:pPr>
              <w:spacing w:after="0" w:line="240" w:lineRule="auto"/>
              <w:jc w:val="center"/>
              <w:rPr>
                <w:rFonts w:ascii="Times New Roman" w:hAnsi="Times New Roman"/>
                <w:sz w:val="20"/>
                <w:szCs w:val="20"/>
              </w:rPr>
            </w:pPr>
            <w:r w:rsidRPr="00577593">
              <w:rPr>
                <w:rFonts w:ascii="Times New Roman" w:hAnsi="Times New Roman"/>
                <w:sz w:val="20"/>
                <w:szCs w:val="20"/>
              </w:rPr>
              <w:t>1</w:t>
            </w:r>
            <w:r w:rsidRPr="00577593">
              <w:rPr>
                <w:rFonts w:ascii="Times New Roman" w:hAnsi="Times New Roman"/>
                <w:sz w:val="20"/>
                <w:szCs w:val="20"/>
                <w:lang w:val="en-US"/>
              </w:rPr>
              <w:t>b</w:t>
            </w:r>
          </w:p>
        </w:tc>
        <w:tc>
          <w:tcPr>
            <w:tcW w:w="3616" w:type="dxa"/>
            <w:shd w:val="clear" w:color="auto" w:fill="auto"/>
          </w:tcPr>
          <w:p w:rsidR="003F323B" w:rsidRPr="00577593" w:rsidRDefault="003F323B" w:rsidP="00B54E09">
            <w:pPr>
              <w:spacing w:after="0" w:line="240" w:lineRule="auto"/>
              <w:jc w:val="center"/>
              <w:rPr>
                <w:rFonts w:ascii="Times New Roman" w:hAnsi="Times New Roman"/>
                <w:sz w:val="20"/>
                <w:szCs w:val="20"/>
              </w:rPr>
            </w:pPr>
            <w:r w:rsidRPr="00577593">
              <w:rPr>
                <w:rFonts w:ascii="Times New Roman" w:hAnsi="Times New Roman"/>
                <w:sz w:val="20"/>
                <w:szCs w:val="20"/>
              </w:rPr>
              <w:t>5,85</w:t>
            </w:r>
          </w:p>
        </w:tc>
      </w:tr>
      <w:tr w:rsidR="003F323B" w:rsidRPr="00577593" w:rsidTr="003F323B">
        <w:trPr>
          <w:trHeight w:val="290"/>
          <w:jc w:val="center"/>
        </w:trPr>
        <w:tc>
          <w:tcPr>
            <w:tcW w:w="5218" w:type="dxa"/>
            <w:shd w:val="clear" w:color="auto" w:fill="auto"/>
          </w:tcPr>
          <w:p w:rsidR="003F323B" w:rsidRPr="00577593" w:rsidRDefault="003F323B" w:rsidP="00B54E09">
            <w:pPr>
              <w:spacing w:after="0" w:line="240" w:lineRule="auto"/>
              <w:jc w:val="center"/>
              <w:rPr>
                <w:rFonts w:ascii="Times New Roman" w:hAnsi="Times New Roman"/>
                <w:sz w:val="20"/>
                <w:szCs w:val="20"/>
              </w:rPr>
            </w:pPr>
            <w:r w:rsidRPr="00577593">
              <w:rPr>
                <w:rFonts w:ascii="Times New Roman" w:hAnsi="Times New Roman"/>
                <w:sz w:val="20"/>
                <w:szCs w:val="20"/>
              </w:rPr>
              <w:t>2</w:t>
            </w:r>
          </w:p>
        </w:tc>
        <w:tc>
          <w:tcPr>
            <w:tcW w:w="3616" w:type="dxa"/>
            <w:shd w:val="clear" w:color="auto" w:fill="auto"/>
          </w:tcPr>
          <w:p w:rsidR="003F323B" w:rsidRPr="00577593" w:rsidRDefault="003F323B" w:rsidP="00B54E09">
            <w:pPr>
              <w:spacing w:after="0" w:line="240" w:lineRule="auto"/>
              <w:jc w:val="center"/>
              <w:rPr>
                <w:rFonts w:ascii="Times New Roman" w:hAnsi="Times New Roman"/>
                <w:sz w:val="20"/>
                <w:szCs w:val="20"/>
              </w:rPr>
            </w:pPr>
            <w:r w:rsidRPr="00577593">
              <w:rPr>
                <w:rFonts w:ascii="Times New Roman" w:hAnsi="Times New Roman"/>
                <w:sz w:val="20"/>
                <w:szCs w:val="20"/>
              </w:rPr>
              <w:t>14,29</w:t>
            </w:r>
          </w:p>
        </w:tc>
      </w:tr>
      <w:tr w:rsidR="003F323B" w:rsidRPr="00577593" w:rsidTr="003F323B">
        <w:trPr>
          <w:trHeight w:val="290"/>
          <w:jc w:val="center"/>
        </w:trPr>
        <w:tc>
          <w:tcPr>
            <w:tcW w:w="5218" w:type="dxa"/>
            <w:shd w:val="clear" w:color="auto" w:fill="auto"/>
          </w:tcPr>
          <w:p w:rsidR="003F323B" w:rsidRPr="00577593" w:rsidRDefault="003F323B" w:rsidP="00B54E09">
            <w:pPr>
              <w:spacing w:after="0" w:line="240" w:lineRule="auto"/>
              <w:jc w:val="center"/>
              <w:rPr>
                <w:rFonts w:ascii="Times New Roman" w:hAnsi="Times New Roman"/>
                <w:sz w:val="20"/>
                <w:szCs w:val="20"/>
              </w:rPr>
            </w:pPr>
            <w:r w:rsidRPr="00577593">
              <w:rPr>
                <w:rFonts w:ascii="Times New Roman" w:hAnsi="Times New Roman"/>
                <w:sz w:val="20"/>
                <w:szCs w:val="20"/>
              </w:rPr>
              <w:t>3</w:t>
            </w:r>
          </w:p>
        </w:tc>
        <w:tc>
          <w:tcPr>
            <w:tcW w:w="3616" w:type="dxa"/>
            <w:shd w:val="clear" w:color="auto" w:fill="auto"/>
          </w:tcPr>
          <w:p w:rsidR="003F323B" w:rsidRPr="00577593" w:rsidRDefault="003F323B" w:rsidP="00B54E09">
            <w:pPr>
              <w:spacing w:after="0" w:line="240" w:lineRule="auto"/>
              <w:jc w:val="center"/>
              <w:rPr>
                <w:rFonts w:ascii="Times New Roman" w:hAnsi="Times New Roman"/>
                <w:sz w:val="20"/>
                <w:szCs w:val="20"/>
              </w:rPr>
            </w:pPr>
            <w:r w:rsidRPr="00577593">
              <w:rPr>
                <w:rFonts w:ascii="Times New Roman" w:hAnsi="Times New Roman"/>
                <w:sz w:val="20"/>
                <w:szCs w:val="20"/>
              </w:rPr>
              <w:t>13,36</w:t>
            </w:r>
          </w:p>
        </w:tc>
      </w:tr>
      <w:tr w:rsidR="003F323B" w:rsidRPr="00577593" w:rsidTr="003F323B">
        <w:trPr>
          <w:trHeight w:val="290"/>
          <w:jc w:val="center"/>
        </w:trPr>
        <w:tc>
          <w:tcPr>
            <w:tcW w:w="5218" w:type="dxa"/>
            <w:shd w:val="clear" w:color="auto" w:fill="auto"/>
          </w:tcPr>
          <w:p w:rsidR="003F323B" w:rsidRPr="00577593" w:rsidRDefault="003F323B" w:rsidP="00B54E09">
            <w:pPr>
              <w:spacing w:after="0" w:line="240" w:lineRule="auto"/>
              <w:jc w:val="center"/>
              <w:rPr>
                <w:rFonts w:ascii="Times New Roman" w:hAnsi="Times New Roman"/>
                <w:sz w:val="20"/>
                <w:szCs w:val="20"/>
              </w:rPr>
            </w:pPr>
            <w:r w:rsidRPr="00577593">
              <w:rPr>
                <w:rFonts w:ascii="Times New Roman" w:hAnsi="Times New Roman"/>
                <w:sz w:val="20"/>
                <w:szCs w:val="20"/>
              </w:rPr>
              <w:t>4</w:t>
            </w:r>
          </w:p>
        </w:tc>
        <w:tc>
          <w:tcPr>
            <w:tcW w:w="3616" w:type="dxa"/>
            <w:shd w:val="clear" w:color="auto" w:fill="auto"/>
          </w:tcPr>
          <w:p w:rsidR="003F323B" w:rsidRPr="00577593" w:rsidRDefault="003F323B" w:rsidP="00B54E09">
            <w:pPr>
              <w:spacing w:after="0" w:line="240" w:lineRule="auto"/>
              <w:jc w:val="center"/>
              <w:rPr>
                <w:rFonts w:ascii="Times New Roman" w:hAnsi="Times New Roman"/>
                <w:sz w:val="20"/>
                <w:szCs w:val="20"/>
              </w:rPr>
            </w:pPr>
            <w:r w:rsidRPr="00577593">
              <w:rPr>
                <w:rFonts w:ascii="Times New Roman" w:hAnsi="Times New Roman"/>
                <w:sz w:val="20"/>
                <w:szCs w:val="20"/>
              </w:rPr>
              <w:t>10,83</w:t>
            </w:r>
          </w:p>
        </w:tc>
      </w:tr>
      <w:tr w:rsidR="003F323B" w:rsidRPr="00577593" w:rsidTr="003F323B">
        <w:trPr>
          <w:trHeight w:val="290"/>
          <w:jc w:val="center"/>
        </w:trPr>
        <w:tc>
          <w:tcPr>
            <w:tcW w:w="5218" w:type="dxa"/>
            <w:shd w:val="clear" w:color="auto" w:fill="auto"/>
          </w:tcPr>
          <w:p w:rsidR="003F323B" w:rsidRPr="00577593" w:rsidRDefault="003F323B" w:rsidP="00B54E09">
            <w:pPr>
              <w:spacing w:after="0" w:line="240" w:lineRule="auto"/>
              <w:jc w:val="center"/>
              <w:rPr>
                <w:rFonts w:ascii="Times New Roman" w:hAnsi="Times New Roman"/>
                <w:sz w:val="20"/>
                <w:szCs w:val="20"/>
              </w:rPr>
            </w:pPr>
            <w:r w:rsidRPr="00577593">
              <w:rPr>
                <w:rFonts w:ascii="Times New Roman" w:hAnsi="Times New Roman"/>
                <w:sz w:val="20"/>
                <w:szCs w:val="20"/>
              </w:rPr>
              <w:t>5</w:t>
            </w:r>
          </w:p>
        </w:tc>
        <w:tc>
          <w:tcPr>
            <w:tcW w:w="3616" w:type="dxa"/>
            <w:shd w:val="clear" w:color="auto" w:fill="auto"/>
          </w:tcPr>
          <w:p w:rsidR="003F323B" w:rsidRPr="00577593" w:rsidRDefault="003F323B" w:rsidP="00B54E09">
            <w:pPr>
              <w:spacing w:after="0" w:line="240" w:lineRule="auto"/>
              <w:jc w:val="center"/>
              <w:rPr>
                <w:rFonts w:ascii="Times New Roman" w:hAnsi="Times New Roman"/>
                <w:sz w:val="20"/>
                <w:szCs w:val="20"/>
              </w:rPr>
            </w:pPr>
            <w:r w:rsidRPr="00577593">
              <w:rPr>
                <w:rFonts w:ascii="Times New Roman" w:hAnsi="Times New Roman"/>
                <w:sz w:val="20"/>
                <w:szCs w:val="20"/>
              </w:rPr>
              <w:t>12,39</w:t>
            </w:r>
          </w:p>
        </w:tc>
      </w:tr>
      <w:tr w:rsidR="003F323B" w:rsidRPr="00577593" w:rsidTr="003F323B">
        <w:trPr>
          <w:trHeight w:val="290"/>
          <w:jc w:val="center"/>
        </w:trPr>
        <w:tc>
          <w:tcPr>
            <w:tcW w:w="5218" w:type="dxa"/>
            <w:shd w:val="clear" w:color="auto" w:fill="auto"/>
          </w:tcPr>
          <w:p w:rsidR="003F323B" w:rsidRPr="00577593" w:rsidRDefault="003F323B" w:rsidP="00B54E09">
            <w:pPr>
              <w:spacing w:after="0" w:line="240" w:lineRule="auto"/>
              <w:jc w:val="center"/>
              <w:rPr>
                <w:rFonts w:ascii="Times New Roman" w:hAnsi="Times New Roman"/>
                <w:sz w:val="20"/>
                <w:szCs w:val="20"/>
              </w:rPr>
            </w:pPr>
            <w:r w:rsidRPr="00577593">
              <w:rPr>
                <w:rFonts w:ascii="Times New Roman" w:hAnsi="Times New Roman"/>
                <w:sz w:val="20"/>
                <w:szCs w:val="20"/>
              </w:rPr>
              <w:t>6а</w:t>
            </w:r>
          </w:p>
        </w:tc>
        <w:tc>
          <w:tcPr>
            <w:tcW w:w="3616" w:type="dxa"/>
            <w:shd w:val="clear" w:color="auto" w:fill="auto"/>
          </w:tcPr>
          <w:p w:rsidR="003F323B" w:rsidRPr="00577593" w:rsidRDefault="003F323B" w:rsidP="00B54E09">
            <w:pPr>
              <w:spacing w:after="0" w:line="240" w:lineRule="auto"/>
              <w:jc w:val="center"/>
              <w:rPr>
                <w:rFonts w:ascii="Times New Roman" w:hAnsi="Times New Roman"/>
                <w:sz w:val="20"/>
                <w:szCs w:val="20"/>
              </w:rPr>
            </w:pPr>
            <w:r w:rsidRPr="00577593">
              <w:rPr>
                <w:rFonts w:ascii="Times New Roman" w:hAnsi="Times New Roman"/>
                <w:sz w:val="20"/>
                <w:szCs w:val="20"/>
              </w:rPr>
              <w:t>23,57</w:t>
            </w:r>
          </w:p>
        </w:tc>
      </w:tr>
      <w:tr w:rsidR="003F323B" w:rsidRPr="00577593" w:rsidTr="003F323B">
        <w:trPr>
          <w:trHeight w:val="290"/>
          <w:jc w:val="center"/>
        </w:trPr>
        <w:tc>
          <w:tcPr>
            <w:tcW w:w="5218" w:type="dxa"/>
            <w:shd w:val="clear" w:color="auto" w:fill="auto"/>
          </w:tcPr>
          <w:p w:rsidR="003F323B" w:rsidRPr="00577593" w:rsidRDefault="003F323B" w:rsidP="00B54E09">
            <w:pPr>
              <w:spacing w:after="0" w:line="240" w:lineRule="auto"/>
              <w:jc w:val="center"/>
              <w:rPr>
                <w:rFonts w:ascii="Times New Roman" w:hAnsi="Times New Roman"/>
                <w:sz w:val="24"/>
                <w:szCs w:val="24"/>
              </w:rPr>
            </w:pPr>
            <w:r w:rsidRPr="00577593">
              <w:rPr>
                <w:rFonts w:ascii="Times New Roman" w:hAnsi="Times New Roman"/>
                <w:sz w:val="24"/>
                <w:szCs w:val="24"/>
              </w:rPr>
              <w:t>6</w:t>
            </w:r>
            <w:r w:rsidRPr="00577593">
              <w:rPr>
                <w:rFonts w:ascii="Times New Roman" w:hAnsi="Times New Roman"/>
                <w:sz w:val="24"/>
                <w:szCs w:val="24"/>
                <w:lang w:val="en-US"/>
              </w:rPr>
              <w:t>b</w:t>
            </w:r>
          </w:p>
        </w:tc>
        <w:tc>
          <w:tcPr>
            <w:tcW w:w="3616" w:type="dxa"/>
            <w:shd w:val="clear" w:color="auto" w:fill="auto"/>
          </w:tcPr>
          <w:p w:rsidR="003F323B" w:rsidRPr="00577593" w:rsidRDefault="003F323B" w:rsidP="00B54E09">
            <w:pPr>
              <w:spacing w:after="0" w:line="240" w:lineRule="auto"/>
              <w:jc w:val="center"/>
              <w:rPr>
                <w:rFonts w:ascii="Times New Roman" w:hAnsi="Times New Roman"/>
                <w:sz w:val="24"/>
                <w:szCs w:val="24"/>
              </w:rPr>
            </w:pPr>
            <w:r w:rsidRPr="00577593">
              <w:rPr>
                <w:rFonts w:ascii="Times New Roman" w:hAnsi="Times New Roman"/>
                <w:sz w:val="24"/>
                <w:szCs w:val="24"/>
              </w:rPr>
              <w:t>10,24</w:t>
            </w:r>
          </w:p>
        </w:tc>
      </w:tr>
    </w:tbl>
    <w:p w:rsidR="003F323B" w:rsidRPr="003F323B" w:rsidRDefault="003F323B" w:rsidP="003F323B">
      <w:pPr>
        <w:pStyle w:val="aff9"/>
        <w:ind w:firstLine="709"/>
        <w:jc w:val="both"/>
        <w:rPr>
          <w:rFonts w:ascii="Times New Roman" w:hAnsi="Times New Roman"/>
          <w:i w:val="0"/>
          <w:color w:val="auto"/>
          <w:sz w:val="28"/>
          <w:szCs w:val="28"/>
        </w:rPr>
      </w:pPr>
      <w:r w:rsidRPr="00577593">
        <w:rPr>
          <w:rFonts w:ascii="Times New Roman" w:hAnsi="Times New Roman"/>
          <w:i w:val="0"/>
          <w:color w:val="auto"/>
          <w:sz w:val="28"/>
          <w:szCs w:val="28"/>
        </w:rPr>
        <w:t xml:space="preserve">Примечание — Источник: </w:t>
      </w:r>
      <w:r w:rsidRPr="003F323B">
        <w:rPr>
          <w:rFonts w:ascii="Times New Roman" w:hAnsi="Times New Roman"/>
          <w:i w:val="0"/>
          <w:color w:val="auto"/>
          <w:sz w:val="28"/>
          <w:szCs w:val="28"/>
        </w:rPr>
        <w:t xml:space="preserve">данные администрации </w:t>
      </w:r>
      <w:r w:rsidR="00B62988">
        <w:rPr>
          <w:rFonts w:ascii="Times New Roman" w:hAnsi="Times New Roman"/>
          <w:i w:val="0"/>
          <w:color w:val="auto"/>
          <w:sz w:val="28"/>
          <w:szCs w:val="28"/>
        </w:rPr>
        <w:t xml:space="preserve">города </w:t>
      </w:r>
      <w:r w:rsidRPr="003F323B">
        <w:rPr>
          <w:rFonts w:ascii="Times New Roman" w:hAnsi="Times New Roman"/>
          <w:i w:val="0"/>
          <w:color w:val="auto"/>
          <w:sz w:val="28"/>
          <w:szCs w:val="28"/>
        </w:rPr>
        <w:t>Барнаула</w:t>
      </w:r>
    </w:p>
    <w:p w:rsidR="00693A36" w:rsidRPr="003F323B" w:rsidRDefault="008925FA" w:rsidP="003F323B">
      <w:pPr>
        <w:pStyle w:val="aff9"/>
        <w:ind w:firstLine="709"/>
        <w:jc w:val="both"/>
        <w:rPr>
          <w:rFonts w:ascii="Times New Roman" w:hAnsi="Times New Roman"/>
          <w:i w:val="0"/>
          <w:iCs w:val="0"/>
          <w:color w:val="auto"/>
          <w:sz w:val="28"/>
          <w:szCs w:val="28"/>
        </w:rPr>
      </w:pPr>
      <w:r w:rsidRPr="003F323B">
        <w:rPr>
          <w:rFonts w:ascii="Times New Roman" w:hAnsi="Times New Roman"/>
          <w:i w:val="0"/>
          <w:iCs w:val="0"/>
          <w:color w:val="auto"/>
          <w:sz w:val="28"/>
          <w:szCs w:val="28"/>
        </w:rPr>
        <w:lastRenderedPageBreak/>
        <w:t xml:space="preserve">Минимальная обслуживаемость населения фиксируется как в зоне одноэтажной застройки на окраинах города, так и в центре города в зоне малоэтажной застройки вдоль проспекта Коммунаров. Как видно из </w:t>
      </w:r>
      <w:r w:rsidR="003F323B" w:rsidRPr="003F323B">
        <w:rPr>
          <w:rFonts w:ascii="Times New Roman" w:hAnsi="Times New Roman"/>
          <w:i w:val="0"/>
          <w:iCs w:val="0"/>
          <w:color w:val="auto"/>
          <w:sz w:val="28"/>
          <w:szCs w:val="28"/>
        </w:rPr>
        <w:t xml:space="preserve">Рисунка </w:t>
      </w:r>
      <w:r w:rsidR="00CE13E1">
        <w:rPr>
          <w:rFonts w:ascii="Times New Roman" w:hAnsi="Times New Roman"/>
          <w:i w:val="0"/>
          <w:iCs w:val="0"/>
          <w:color w:val="auto"/>
          <w:sz w:val="28"/>
          <w:szCs w:val="28"/>
        </w:rPr>
        <w:t>44</w:t>
      </w:r>
      <w:r w:rsidRPr="003F323B">
        <w:rPr>
          <w:rFonts w:ascii="Times New Roman" w:hAnsi="Times New Roman"/>
          <w:i w:val="0"/>
          <w:iCs w:val="0"/>
          <w:color w:val="auto"/>
          <w:sz w:val="28"/>
          <w:szCs w:val="28"/>
        </w:rPr>
        <w:t>, исторический центр города имеет высокую степень задублированности маршрутов с высокой интенсивностью движения общественного транспорта.</w:t>
      </w:r>
      <w:bookmarkStart w:id="153" w:name="_Ref199461689"/>
    </w:p>
    <w:p w:rsidR="00CC2EB3" w:rsidRPr="00577593" w:rsidRDefault="00CC2EB3" w:rsidP="00C50712">
      <w:pPr>
        <w:spacing w:after="0" w:line="240" w:lineRule="auto"/>
        <w:ind w:firstLine="709"/>
        <w:jc w:val="both"/>
        <w:rPr>
          <w:rFonts w:ascii="Times New Roman" w:hAnsi="Times New Roman"/>
          <w:sz w:val="28"/>
          <w:szCs w:val="28"/>
        </w:rPr>
      </w:pPr>
    </w:p>
    <w:bookmarkEnd w:id="153"/>
    <w:p w:rsidR="00FC41F4" w:rsidRPr="00577593" w:rsidRDefault="000D3F7A" w:rsidP="002000D4">
      <w:pPr>
        <w:spacing w:after="0" w:line="240" w:lineRule="auto"/>
        <w:jc w:val="both"/>
        <w:rPr>
          <w:rFonts w:ascii="Times New Roman" w:hAnsi="Times New Roman"/>
          <w:sz w:val="24"/>
          <w:szCs w:val="24"/>
        </w:rPr>
      </w:pPr>
      <w:r w:rsidRPr="00577593">
        <w:rPr>
          <w:rFonts w:ascii="Times New Roman" w:hAnsi="Times New Roman"/>
          <w:noProof/>
          <w:sz w:val="24"/>
          <w:szCs w:val="24"/>
          <w:lang w:eastAsia="ru-RU"/>
        </w:rPr>
        <w:drawing>
          <wp:inline distT="0" distB="0" distL="0" distR="0">
            <wp:extent cx="5682615" cy="4402455"/>
            <wp:effectExtent l="0" t="0" r="0" b="0"/>
            <wp:docPr id="44" name="Рисунок 6" descr="Изображение выглядит как карта, текст, атлас&#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Изображение выглядит как карта, текст, атлас&#10;&#10;Контент, сгенерированный ИИ, может содержать ошибки."/>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682615" cy="4402455"/>
                    </a:xfrm>
                    <a:prstGeom prst="rect">
                      <a:avLst/>
                    </a:prstGeom>
                    <a:noFill/>
                    <a:ln>
                      <a:noFill/>
                    </a:ln>
                  </pic:spPr>
                </pic:pic>
              </a:graphicData>
            </a:graphic>
          </wp:inline>
        </w:drawing>
      </w:r>
    </w:p>
    <w:p w:rsidR="00FC41F4" w:rsidRPr="00577593" w:rsidRDefault="008925FA" w:rsidP="002000D4">
      <w:pPr>
        <w:spacing w:line="240" w:lineRule="auto"/>
        <w:jc w:val="center"/>
        <w:rPr>
          <w:rFonts w:ascii="Times New Roman" w:hAnsi="Times New Roman"/>
          <w:sz w:val="28"/>
          <w:szCs w:val="28"/>
        </w:rPr>
      </w:pPr>
      <w:bookmarkStart w:id="154" w:name="_Ref199462045"/>
      <w:r w:rsidRPr="00577593">
        <w:rPr>
          <w:rFonts w:ascii="Times New Roman" w:hAnsi="Times New Roman"/>
          <w:sz w:val="28"/>
          <w:szCs w:val="28"/>
        </w:rPr>
        <w:t xml:space="preserve">Рисунок </w:t>
      </w:r>
      <w:bookmarkEnd w:id="154"/>
      <w:r w:rsidR="00CE13E1">
        <w:rPr>
          <w:rFonts w:ascii="Times New Roman" w:hAnsi="Times New Roman"/>
          <w:sz w:val="28"/>
          <w:szCs w:val="28"/>
        </w:rPr>
        <w:t>44</w:t>
      </w:r>
      <w:r w:rsidRPr="00577593">
        <w:rPr>
          <w:rFonts w:ascii="Times New Roman" w:hAnsi="Times New Roman"/>
          <w:sz w:val="28"/>
          <w:szCs w:val="28"/>
        </w:rPr>
        <w:t xml:space="preserve"> </w:t>
      </w:r>
      <w:r w:rsidR="00672709" w:rsidRPr="00577593">
        <w:rPr>
          <w:rFonts w:ascii="Times New Roman" w:hAnsi="Times New Roman"/>
          <w:sz w:val="28"/>
          <w:szCs w:val="28"/>
        </w:rPr>
        <w:t>–</w:t>
      </w:r>
      <w:r w:rsidRPr="00577593">
        <w:rPr>
          <w:rFonts w:ascii="Times New Roman" w:hAnsi="Times New Roman"/>
          <w:sz w:val="28"/>
          <w:szCs w:val="28"/>
        </w:rPr>
        <w:t xml:space="preserve"> Картосхема систем общественного транспорта </w:t>
      </w:r>
      <w:r w:rsidR="004B1E0B">
        <w:rPr>
          <w:rFonts w:ascii="Times New Roman" w:hAnsi="Times New Roman"/>
          <w:sz w:val="28"/>
          <w:szCs w:val="28"/>
        </w:rPr>
        <w:t xml:space="preserve">города </w:t>
      </w:r>
      <w:r w:rsidRPr="00577593">
        <w:rPr>
          <w:rFonts w:ascii="Times New Roman" w:hAnsi="Times New Roman"/>
          <w:sz w:val="28"/>
          <w:szCs w:val="28"/>
        </w:rPr>
        <w:t xml:space="preserve">Барнаула </w:t>
      </w:r>
      <w:r w:rsidR="00C742AD" w:rsidRPr="00577593">
        <w:rPr>
          <w:rFonts w:ascii="Times New Roman" w:hAnsi="Times New Roman"/>
          <w:sz w:val="28"/>
          <w:szCs w:val="28"/>
        </w:rPr>
        <w:t>на 2021 год</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Обособленность трамвайной инфраструктуры </w:t>
      </w:r>
      <w:r w:rsidR="004B1E0B">
        <w:rPr>
          <w:rFonts w:ascii="Times New Roman" w:hAnsi="Times New Roman"/>
          <w:sz w:val="28"/>
          <w:szCs w:val="28"/>
        </w:rPr>
        <w:t xml:space="preserve">города </w:t>
      </w:r>
      <w:r w:rsidRPr="00577593">
        <w:rPr>
          <w:rFonts w:ascii="Times New Roman" w:hAnsi="Times New Roman"/>
          <w:sz w:val="28"/>
          <w:szCs w:val="28"/>
        </w:rPr>
        <w:t xml:space="preserve">Барнаула специалисты НИУ ВШЭ </w:t>
      </w:r>
      <w:r w:rsidR="003F323B" w:rsidRPr="00577593">
        <w:rPr>
          <w:rFonts w:ascii="Times New Roman" w:hAnsi="Times New Roman"/>
          <w:sz w:val="28"/>
          <w:szCs w:val="28"/>
        </w:rPr>
        <w:t>оценивают,</w:t>
      </w:r>
      <w:r w:rsidRPr="00577593">
        <w:rPr>
          <w:rFonts w:ascii="Times New Roman" w:hAnsi="Times New Roman"/>
          <w:sz w:val="28"/>
          <w:szCs w:val="28"/>
        </w:rPr>
        <w:t xml:space="preserve"> как очень высокую </w:t>
      </w:r>
      <w:r w:rsidR="00672709" w:rsidRPr="00577593">
        <w:rPr>
          <w:rFonts w:ascii="Times New Roman" w:hAnsi="Times New Roman"/>
          <w:sz w:val="28"/>
          <w:szCs w:val="28"/>
        </w:rPr>
        <w:t>–</w:t>
      </w:r>
      <w:r w:rsidRPr="00577593">
        <w:rPr>
          <w:rFonts w:ascii="Times New Roman" w:hAnsi="Times New Roman"/>
          <w:sz w:val="28"/>
          <w:szCs w:val="28"/>
        </w:rPr>
        <w:t xml:space="preserve"> 86,4%. </w:t>
      </w:r>
      <w:r w:rsidR="004B1E0B">
        <w:rPr>
          <w:rFonts w:ascii="Times New Roman" w:hAnsi="Times New Roman"/>
          <w:sz w:val="28"/>
          <w:szCs w:val="28"/>
        </w:rPr>
        <w:br/>
      </w:r>
      <w:r w:rsidRPr="00577593">
        <w:rPr>
          <w:rFonts w:ascii="Times New Roman" w:hAnsi="Times New Roman"/>
          <w:sz w:val="28"/>
          <w:szCs w:val="28"/>
        </w:rPr>
        <w:t xml:space="preserve">На не обособленные участки приходится только 13,6%, на остальные классы доступности: В1 </w:t>
      </w:r>
      <w:r w:rsidR="00672709" w:rsidRPr="00577593">
        <w:rPr>
          <w:rFonts w:ascii="Times New Roman" w:hAnsi="Times New Roman"/>
          <w:sz w:val="28"/>
          <w:szCs w:val="28"/>
        </w:rPr>
        <w:t>–</w:t>
      </w:r>
      <w:r w:rsidRPr="00577593">
        <w:rPr>
          <w:rFonts w:ascii="Times New Roman" w:hAnsi="Times New Roman"/>
          <w:sz w:val="28"/>
          <w:szCs w:val="28"/>
        </w:rPr>
        <w:t xml:space="preserve"> 16,6%, В2 </w:t>
      </w:r>
      <w:r w:rsidR="00672709" w:rsidRPr="00577593">
        <w:rPr>
          <w:rFonts w:ascii="Times New Roman" w:hAnsi="Times New Roman"/>
          <w:sz w:val="28"/>
          <w:szCs w:val="28"/>
        </w:rPr>
        <w:t>– 39,3%, В3 –</w:t>
      </w:r>
      <w:r w:rsidRPr="00577593">
        <w:rPr>
          <w:rFonts w:ascii="Times New Roman" w:hAnsi="Times New Roman"/>
          <w:sz w:val="28"/>
          <w:szCs w:val="28"/>
        </w:rPr>
        <w:t xml:space="preserve"> 30,5%. Это объясняет популярность трамваев у горожан и их возрастающую роль </w:t>
      </w:r>
      <w:r w:rsidR="004B1E0B">
        <w:rPr>
          <w:rFonts w:ascii="Times New Roman" w:hAnsi="Times New Roman"/>
          <w:sz w:val="28"/>
          <w:szCs w:val="28"/>
        </w:rPr>
        <w:br/>
      </w:r>
      <w:r w:rsidRPr="00577593">
        <w:rPr>
          <w:rFonts w:ascii="Times New Roman" w:hAnsi="Times New Roman"/>
          <w:sz w:val="28"/>
          <w:szCs w:val="28"/>
        </w:rPr>
        <w:t xml:space="preserve">в </w:t>
      </w:r>
      <w:r w:rsidR="003F323B">
        <w:rPr>
          <w:rFonts w:ascii="Times New Roman" w:hAnsi="Times New Roman"/>
          <w:sz w:val="28"/>
          <w:szCs w:val="28"/>
        </w:rPr>
        <w:t>пассажиро</w:t>
      </w:r>
      <w:r w:rsidRPr="00577593">
        <w:rPr>
          <w:rFonts w:ascii="Times New Roman" w:hAnsi="Times New Roman"/>
          <w:sz w:val="28"/>
          <w:szCs w:val="28"/>
        </w:rPr>
        <w:t>перевозках по сравнению с автобусами.</w:t>
      </w:r>
    </w:p>
    <w:p w:rsidR="00FC41F4" w:rsidRPr="00577593" w:rsidRDefault="008413D1"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В 2011 году</w:t>
      </w:r>
      <w:r w:rsidR="008925FA" w:rsidRPr="00577593">
        <w:rPr>
          <w:rFonts w:ascii="Times New Roman" w:hAnsi="Times New Roman"/>
          <w:sz w:val="28"/>
          <w:szCs w:val="28"/>
        </w:rPr>
        <w:t xml:space="preserve"> регулярность движе</w:t>
      </w:r>
      <w:r w:rsidR="007E541E" w:rsidRPr="00577593">
        <w:rPr>
          <w:rFonts w:ascii="Times New Roman" w:hAnsi="Times New Roman"/>
          <w:sz w:val="28"/>
          <w:szCs w:val="28"/>
        </w:rPr>
        <w:t xml:space="preserve">ния составляла 60,8%, к 2024 году </w:t>
      </w:r>
      <w:r w:rsidR="007E541E" w:rsidRPr="00577593">
        <w:rPr>
          <w:rFonts w:ascii="Times New Roman" w:hAnsi="Times New Roman"/>
          <w:sz w:val="28"/>
          <w:szCs w:val="28"/>
        </w:rPr>
        <w:br/>
      </w:r>
      <w:r w:rsidRPr="00577593">
        <w:rPr>
          <w:rFonts w:ascii="Times New Roman" w:hAnsi="Times New Roman"/>
          <w:sz w:val="28"/>
          <w:szCs w:val="28"/>
        </w:rPr>
        <w:t>она повысилась</w:t>
      </w:r>
      <w:r w:rsidR="007E541E" w:rsidRPr="00577593">
        <w:rPr>
          <w:rFonts w:ascii="Times New Roman" w:hAnsi="Times New Roman"/>
          <w:sz w:val="28"/>
          <w:szCs w:val="28"/>
        </w:rPr>
        <w:t xml:space="preserve"> </w:t>
      </w:r>
      <w:r w:rsidRPr="00577593">
        <w:rPr>
          <w:rFonts w:ascii="Times New Roman" w:hAnsi="Times New Roman"/>
          <w:sz w:val="28"/>
          <w:szCs w:val="28"/>
        </w:rPr>
        <w:t>до 85%. В 2011 году</w:t>
      </w:r>
      <w:r w:rsidR="008925FA" w:rsidRPr="00577593">
        <w:rPr>
          <w:rFonts w:ascii="Times New Roman" w:hAnsi="Times New Roman"/>
          <w:sz w:val="28"/>
          <w:szCs w:val="28"/>
        </w:rPr>
        <w:t xml:space="preserve"> в городе было расположено около </w:t>
      </w:r>
      <w:r w:rsidR="007E541E" w:rsidRPr="00577593">
        <w:rPr>
          <w:rFonts w:ascii="Times New Roman" w:hAnsi="Times New Roman"/>
          <w:sz w:val="28"/>
          <w:szCs w:val="28"/>
        </w:rPr>
        <w:br/>
      </w:r>
      <w:r w:rsidR="008925FA" w:rsidRPr="00577593">
        <w:rPr>
          <w:rFonts w:ascii="Times New Roman" w:hAnsi="Times New Roman"/>
          <w:sz w:val="28"/>
          <w:szCs w:val="28"/>
        </w:rPr>
        <w:t xml:space="preserve">1000 остановок общественного транспорта. В 2025 году насчитывается </w:t>
      </w:r>
      <w:r w:rsidR="007E541E" w:rsidRPr="00577593">
        <w:rPr>
          <w:rFonts w:ascii="Times New Roman" w:hAnsi="Times New Roman"/>
          <w:sz w:val="28"/>
          <w:szCs w:val="28"/>
        </w:rPr>
        <w:br/>
      </w:r>
      <w:r w:rsidR="008925FA" w:rsidRPr="00577593">
        <w:rPr>
          <w:rFonts w:ascii="Times New Roman" w:hAnsi="Times New Roman"/>
          <w:sz w:val="28"/>
          <w:szCs w:val="28"/>
        </w:rPr>
        <w:t xml:space="preserve">1411 остановочных пункта, их них 632 оборудованы остановочными павильонами. </w:t>
      </w:r>
    </w:p>
    <w:p w:rsidR="00FC41F4" w:rsidRPr="00577593" w:rsidRDefault="008925FA" w:rsidP="004A71A2">
      <w:pPr>
        <w:spacing w:after="0" w:line="330" w:lineRule="exact"/>
        <w:ind w:firstLine="709"/>
        <w:jc w:val="both"/>
        <w:rPr>
          <w:rFonts w:ascii="Times New Roman" w:hAnsi="Times New Roman"/>
          <w:sz w:val="28"/>
          <w:szCs w:val="28"/>
        </w:rPr>
      </w:pPr>
      <w:r w:rsidRPr="00577593">
        <w:rPr>
          <w:rFonts w:ascii="Times New Roman" w:hAnsi="Times New Roman"/>
          <w:sz w:val="28"/>
          <w:szCs w:val="28"/>
        </w:rPr>
        <w:t xml:space="preserve">На </w:t>
      </w:r>
      <w:r w:rsidR="008413D1" w:rsidRPr="00577593">
        <w:rPr>
          <w:rFonts w:ascii="Times New Roman" w:hAnsi="Times New Roman"/>
          <w:sz w:val="28"/>
          <w:szCs w:val="28"/>
        </w:rPr>
        <w:t>01.01.2025</w:t>
      </w:r>
      <w:r w:rsidRPr="00577593">
        <w:rPr>
          <w:rFonts w:ascii="Times New Roman" w:hAnsi="Times New Roman"/>
          <w:sz w:val="28"/>
          <w:szCs w:val="28"/>
        </w:rPr>
        <w:t xml:space="preserve"> изношенность трамвайных вагонов достигла 87,2%, тролле</w:t>
      </w:r>
      <w:r w:rsidR="008413D1" w:rsidRPr="00577593">
        <w:rPr>
          <w:rFonts w:ascii="Times New Roman" w:hAnsi="Times New Roman"/>
          <w:sz w:val="28"/>
          <w:szCs w:val="28"/>
        </w:rPr>
        <w:t xml:space="preserve">йбусного парка </w:t>
      </w:r>
      <w:r w:rsidR="00672709" w:rsidRPr="00577593">
        <w:rPr>
          <w:rFonts w:ascii="Times New Roman" w:hAnsi="Times New Roman"/>
          <w:sz w:val="28"/>
          <w:szCs w:val="28"/>
        </w:rPr>
        <w:t>–</w:t>
      </w:r>
      <w:r w:rsidR="008413D1" w:rsidRPr="00577593">
        <w:rPr>
          <w:rFonts w:ascii="Times New Roman" w:hAnsi="Times New Roman"/>
          <w:sz w:val="28"/>
          <w:szCs w:val="28"/>
        </w:rPr>
        <w:t xml:space="preserve"> 100%. В 2024 году</w:t>
      </w:r>
      <w:r w:rsidRPr="00577593">
        <w:rPr>
          <w:rFonts w:ascii="Times New Roman" w:hAnsi="Times New Roman"/>
          <w:sz w:val="28"/>
          <w:szCs w:val="28"/>
        </w:rPr>
        <w:t xml:space="preserve"> определена необходимость в </w:t>
      </w:r>
      <w:r w:rsidRPr="00577593">
        <w:rPr>
          <w:rFonts w:ascii="Times New Roman" w:hAnsi="Times New Roman"/>
          <w:sz w:val="28"/>
          <w:szCs w:val="28"/>
        </w:rPr>
        <w:lastRenderedPageBreak/>
        <w:t>обновлении 552 единиц</w:t>
      </w:r>
      <w:r w:rsidR="004A71A2">
        <w:rPr>
          <w:rFonts w:ascii="Times New Roman" w:hAnsi="Times New Roman"/>
          <w:sz w:val="28"/>
          <w:szCs w:val="28"/>
        </w:rPr>
        <w:t>ы</w:t>
      </w:r>
      <w:r w:rsidRPr="00577593">
        <w:rPr>
          <w:rFonts w:ascii="Times New Roman" w:hAnsi="Times New Roman"/>
          <w:sz w:val="28"/>
          <w:szCs w:val="28"/>
        </w:rPr>
        <w:t xml:space="preserve"> подвижного состава городского общественного транспорта, в том числе 434 автобусов различной вместимости, </w:t>
      </w:r>
      <w:r w:rsidR="007E541E" w:rsidRPr="00577593">
        <w:rPr>
          <w:rFonts w:ascii="Times New Roman" w:hAnsi="Times New Roman"/>
          <w:sz w:val="28"/>
          <w:szCs w:val="28"/>
        </w:rPr>
        <w:br/>
      </w:r>
      <w:r w:rsidRPr="00577593">
        <w:rPr>
          <w:rFonts w:ascii="Times New Roman" w:hAnsi="Times New Roman"/>
          <w:sz w:val="28"/>
          <w:szCs w:val="28"/>
        </w:rPr>
        <w:t xml:space="preserve">29 троллейбусов и 89 трамваев. Обновляется инфраструктура </w:t>
      </w:r>
      <w:r w:rsidR="00602CDF" w:rsidRPr="00577593">
        <w:rPr>
          <w:rFonts w:ascii="Times New Roman" w:hAnsi="Times New Roman"/>
          <w:sz w:val="28"/>
          <w:szCs w:val="28"/>
        </w:rPr>
        <w:t>–</w:t>
      </w:r>
      <w:r w:rsidRPr="00577593">
        <w:rPr>
          <w:rFonts w:ascii="Times New Roman" w:hAnsi="Times New Roman"/>
          <w:sz w:val="28"/>
          <w:szCs w:val="28"/>
        </w:rPr>
        <w:t xml:space="preserve"> 22 тяговые подстанции модернизированы в 2022 г</w:t>
      </w:r>
      <w:r w:rsidR="008413D1" w:rsidRPr="00577593">
        <w:rPr>
          <w:rFonts w:ascii="Times New Roman" w:hAnsi="Times New Roman"/>
          <w:sz w:val="28"/>
          <w:szCs w:val="28"/>
        </w:rPr>
        <w:t>оду.</w:t>
      </w:r>
    </w:p>
    <w:p w:rsidR="00FC41F4" w:rsidRPr="00577593" w:rsidRDefault="008925FA" w:rsidP="004A71A2">
      <w:pPr>
        <w:spacing w:after="0" w:line="330" w:lineRule="exact"/>
        <w:ind w:firstLine="709"/>
        <w:jc w:val="both"/>
        <w:rPr>
          <w:rFonts w:ascii="Times New Roman" w:hAnsi="Times New Roman"/>
          <w:sz w:val="28"/>
          <w:szCs w:val="28"/>
        </w:rPr>
      </w:pPr>
      <w:r w:rsidRPr="00577593">
        <w:rPr>
          <w:rFonts w:ascii="Times New Roman" w:hAnsi="Times New Roman"/>
          <w:sz w:val="28"/>
          <w:szCs w:val="28"/>
        </w:rPr>
        <w:t xml:space="preserve">Правительство Алтайского края активно участвует в обновлении подвижного состава ГЭТ </w:t>
      </w:r>
      <w:r w:rsidR="00274CDA">
        <w:rPr>
          <w:rFonts w:ascii="Times New Roman" w:hAnsi="Times New Roman"/>
          <w:sz w:val="28"/>
          <w:szCs w:val="28"/>
        </w:rPr>
        <w:t xml:space="preserve">города </w:t>
      </w:r>
      <w:r w:rsidRPr="00577593">
        <w:rPr>
          <w:rFonts w:ascii="Times New Roman" w:hAnsi="Times New Roman"/>
          <w:sz w:val="28"/>
          <w:szCs w:val="28"/>
        </w:rPr>
        <w:t xml:space="preserve">Барнаула. Министерством транспорта Алтайского края за счет средств краевого бюджета осуществлена закупка </w:t>
      </w:r>
      <w:r w:rsidR="004A71A2">
        <w:rPr>
          <w:rFonts w:ascii="Times New Roman" w:hAnsi="Times New Roman"/>
          <w:sz w:val="28"/>
          <w:szCs w:val="28"/>
        </w:rPr>
        <w:br/>
      </w:r>
      <w:r w:rsidRPr="00577593">
        <w:rPr>
          <w:rFonts w:ascii="Times New Roman" w:hAnsi="Times New Roman"/>
          <w:sz w:val="28"/>
          <w:szCs w:val="28"/>
        </w:rPr>
        <w:t>10 новых современных низкопольных трамвайных вагонов, также приобретено 5 новых троллейбусов.</w:t>
      </w:r>
    </w:p>
    <w:p w:rsidR="00FC41F4" w:rsidRPr="00577593" w:rsidRDefault="008925FA" w:rsidP="004A71A2">
      <w:pPr>
        <w:spacing w:after="0" w:line="330" w:lineRule="exact"/>
        <w:ind w:firstLine="709"/>
        <w:jc w:val="both"/>
        <w:rPr>
          <w:rFonts w:ascii="Times New Roman" w:hAnsi="Times New Roman"/>
          <w:sz w:val="28"/>
          <w:szCs w:val="28"/>
        </w:rPr>
      </w:pPr>
      <w:r w:rsidRPr="00577593">
        <w:rPr>
          <w:rFonts w:ascii="Times New Roman" w:hAnsi="Times New Roman"/>
          <w:sz w:val="28"/>
          <w:szCs w:val="28"/>
        </w:rPr>
        <w:t xml:space="preserve">Помимо обновления подвижного состава в городе модернизируется инфраструктура ГЭТ </w:t>
      </w:r>
      <w:r w:rsidR="00672709" w:rsidRPr="00577593">
        <w:rPr>
          <w:rFonts w:ascii="Times New Roman" w:hAnsi="Times New Roman"/>
          <w:sz w:val="28"/>
          <w:szCs w:val="28"/>
        </w:rPr>
        <w:t>–</w:t>
      </w:r>
      <w:r w:rsidR="008413D1" w:rsidRPr="00577593">
        <w:rPr>
          <w:rFonts w:ascii="Times New Roman" w:hAnsi="Times New Roman"/>
          <w:sz w:val="28"/>
          <w:szCs w:val="28"/>
        </w:rPr>
        <w:t xml:space="preserve"> так, в 2023 году</w:t>
      </w:r>
      <w:r w:rsidRPr="00577593">
        <w:rPr>
          <w:rFonts w:ascii="Times New Roman" w:hAnsi="Times New Roman"/>
          <w:sz w:val="28"/>
          <w:szCs w:val="28"/>
        </w:rPr>
        <w:t xml:space="preserve"> отремонтировано 13,91 км кабельных линий городского элек</w:t>
      </w:r>
      <w:r w:rsidR="008413D1" w:rsidRPr="00577593">
        <w:rPr>
          <w:rFonts w:ascii="Times New Roman" w:hAnsi="Times New Roman"/>
          <w:sz w:val="28"/>
          <w:szCs w:val="28"/>
        </w:rPr>
        <w:t>трического транспорта, в 2022 году</w:t>
      </w:r>
      <w:r w:rsidRPr="00577593">
        <w:rPr>
          <w:rFonts w:ascii="Times New Roman" w:hAnsi="Times New Roman"/>
          <w:sz w:val="28"/>
          <w:szCs w:val="28"/>
        </w:rPr>
        <w:t xml:space="preserve"> </w:t>
      </w:r>
      <w:r w:rsidR="008413D1" w:rsidRPr="00577593">
        <w:rPr>
          <w:rFonts w:ascii="Times New Roman" w:hAnsi="Times New Roman"/>
          <w:sz w:val="28"/>
          <w:szCs w:val="28"/>
        </w:rPr>
        <w:t>–</w:t>
      </w:r>
      <w:r w:rsidRPr="00577593">
        <w:rPr>
          <w:rFonts w:ascii="Times New Roman" w:hAnsi="Times New Roman"/>
          <w:sz w:val="28"/>
          <w:szCs w:val="28"/>
        </w:rPr>
        <w:t xml:space="preserve"> </w:t>
      </w:r>
      <w:r w:rsidR="004A71A2">
        <w:rPr>
          <w:rFonts w:ascii="Times New Roman" w:hAnsi="Times New Roman"/>
          <w:sz w:val="28"/>
          <w:szCs w:val="28"/>
        </w:rPr>
        <w:br/>
      </w:r>
      <w:r w:rsidRPr="00577593">
        <w:rPr>
          <w:rFonts w:ascii="Times New Roman" w:hAnsi="Times New Roman"/>
          <w:sz w:val="28"/>
          <w:szCs w:val="28"/>
        </w:rPr>
        <w:t>5,</w:t>
      </w:r>
      <w:r w:rsidR="007E541E" w:rsidRPr="00577593">
        <w:rPr>
          <w:rFonts w:ascii="Times New Roman" w:hAnsi="Times New Roman"/>
          <w:sz w:val="28"/>
          <w:szCs w:val="28"/>
        </w:rPr>
        <w:t>7 км.</w:t>
      </w:r>
      <w:r w:rsidRPr="00577593">
        <w:rPr>
          <w:rFonts w:ascii="Times New Roman" w:hAnsi="Times New Roman"/>
          <w:sz w:val="28"/>
          <w:szCs w:val="28"/>
        </w:rPr>
        <w:t xml:space="preserve"> Кроме того, </w:t>
      </w:r>
      <w:r w:rsidR="004A71A2">
        <w:rPr>
          <w:rFonts w:ascii="Times New Roman" w:hAnsi="Times New Roman"/>
          <w:sz w:val="28"/>
          <w:szCs w:val="28"/>
        </w:rPr>
        <w:t>в 2019-2024 годах</w:t>
      </w:r>
      <w:r w:rsidRPr="00577593">
        <w:rPr>
          <w:rFonts w:ascii="Times New Roman" w:hAnsi="Times New Roman"/>
          <w:sz w:val="28"/>
          <w:szCs w:val="28"/>
        </w:rPr>
        <w:t xml:space="preserve"> проведен капитально-восстановительный ремонт 22 трамвайных вагонов. </w:t>
      </w:r>
    </w:p>
    <w:p w:rsidR="007E541E" w:rsidRPr="00EE683B" w:rsidRDefault="004A71A2" w:rsidP="004A71A2">
      <w:pPr>
        <w:spacing w:after="0" w:line="330" w:lineRule="exact"/>
        <w:ind w:firstLine="709"/>
        <w:jc w:val="both"/>
        <w:rPr>
          <w:rFonts w:ascii="Times New Roman" w:hAnsi="Times New Roman"/>
          <w:sz w:val="28"/>
          <w:szCs w:val="28"/>
        </w:rPr>
      </w:pPr>
      <w:r>
        <w:rPr>
          <w:rFonts w:ascii="Times New Roman" w:hAnsi="Times New Roman"/>
          <w:sz w:val="28"/>
          <w:szCs w:val="28"/>
        </w:rPr>
        <w:t>Для организации работы автобусных маршрутов</w:t>
      </w:r>
      <w:r w:rsidR="008925FA" w:rsidRPr="00577593">
        <w:rPr>
          <w:rFonts w:ascii="Times New Roman" w:hAnsi="Times New Roman"/>
          <w:sz w:val="28"/>
          <w:szCs w:val="28"/>
        </w:rPr>
        <w:t xml:space="preserve"> Министерством транспорта Алтайского края приобретен 41 новый автобус большого класса марки «Нефаз». В 2023-2024 годах в рамках долгосрочного сотрудничества перевозчиками приобретено 25 автобусов: </w:t>
      </w:r>
      <w:r w:rsidR="003F323B">
        <w:rPr>
          <w:rFonts w:ascii="Times New Roman" w:hAnsi="Times New Roman"/>
          <w:sz w:val="28"/>
          <w:szCs w:val="28"/>
        </w:rPr>
        <w:t>семь</w:t>
      </w:r>
      <w:r w:rsidR="008925FA" w:rsidRPr="00577593">
        <w:rPr>
          <w:rFonts w:ascii="Times New Roman" w:hAnsi="Times New Roman"/>
          <w:sz w:val="28"/>
          <w:szCs w:val="28"/>
        </w:rPr>
        <w:t xml:space="preserve"> автобусов среднего класса</w:t>
      </w:r>
      <w:r w:rsidR="003F323B">
        <w:rPr>
          <w:rFonts w:ascii="Times New Roman" w:hAnsi="Times New Roman"/>
          <w:sz w:val="28"/>
          <w:szCs w:val="28"/>
        </w:rPr>
        <w:t>,</w:t>
      </w:r>
      <w:r w:rsidR="008925FA" w:rsidRPr="00577593">
        <w:rPr>
          <w:rFonts w:ascii="Times New Roman" w:hAnsi="Times New Roman"/>
          <w:sz w:val="28"/>
          <w:szCs w:val="28"/>
        </w:rPr>
        <w:t xml:space="preserve"> </w:t>
      </w:r>
      <w:r w:rsidR="007E541E" w:rsidRPr="00577593">
        <w:rPr>
          <w:rFonts w:ascii="Times New Roman" w:hAnsi="Times New Roman"/>
          <w:sz w:val="28"/>
          <w:szCs w:val="28"/>
        </w:rPr>
        <w:br/>
      </w:r>
      <w:r w:rsidR="003F323B">
        <w:rPr>
          <w:rFonts w:ascii="Times New Roman" w:hAnsi="Times New Roman"/>
          <w:sz w:val="28"/>
          <w:szCs w:val="28"/>
        </w:rPr>
        <w:t>пять автобусов</w:t>
      </w:r>
      <w:r w:rsidR="008925FA" w:rsidRPr="00577593">
        <w:rPr>
          <w:rFonts w:ascii="Times New Roman" w:hAnsi="Times New Roman"/>
          <w:sz w:val="28"/>
          <w:szCs w:val="28"/>
        </w:rPr>
        <w:t xml:space="preserve"> большого класса, 13 автобусов мало</w:t>
      </w:r>
      <w:r w:rsidR="008413D1" w:rsidRPr="00577593">
        <w:rPr>
          <w:rFonts w:ascii="Times New Roman" w:hAnsi="Times New Roman"/>
          <w:sz w:val="28"/>
          <w:szCs w:val="28"/>
        </w:rPr>
        <w:t xml:space="preserve">го класса. </w:t>
      </w:r>
      <w:r>
        <w:rPr>
          <w:rFonts w:ascii="Times New Roman" w:hAnsi="Times New Roman"/>
          <w:sz w:val="28"/>
          <w:szCs w:val="28"/>
        </w:rPr>
        <w:br/>
      </w:r>
      <w:r w:rsidR="008413D1" w:rsidRPr="00577593">
        <w:rPr>
          <w:rFonts w:ascii="Times New Roman" w:hAnsi="Times New Roman"/>
          <w:sz w:val="28"/>
          <w:szCs w:val="28"/>
        </w:rPr>
        <w:t>Всего в 2013-2024 годы</w:t>
      </w:r>
      <w:r w:rsidR="008925FA" w:rsidRPr="00577593">
        <w:rPr>
          <w:rFonts w:ascii="Times New Roman" w:hAnsi="Times New Roman"/>
          <w:sz w:val="28"/>
          <w:szCs w:val="28"/>
        </w:rPr>
        <w:t xml:space="preserve"> обновлено 305 единиц подвижного состава городского транспорта. В два раза выросла доля транспортных средств, приспособленных для перемещения малом</w:t>
      </w:r>
      <w:r w:rsidR="008413D1" w:rsidRPr="00577593">
        <w:rPr>
          <w:rFonts w:ascii="Times New Roman" w:hAnsi="Times New Roman"/>
          <w:sz w:val="28"/>
          <w:szCs w:val="28"/>
        </w:rPr>
        <w:t xml:space="preserve">обильных групп граждан </w:t>
      </w:r>
      <w:r w:rsidR="00672709" w:rsidRPr="00577593">
        <w:rPr>
          <w:rFonts w:ascii="Times New Roman" w:hAnsi="Times New Roman"/>
          <w:sz w:val="28"/>
          <w:szCs w:val="28"/>
        </w:rPr>
        <w:t>–</w:t>
      </w:r>
      <w:r w:rsidR="008413D1" w:rsidRPr="00577593">
        <w:rPr>
          <w:rFonts w:ascii="Times New Roman" w:hAnsi="Times New Roman"/>
          <w:sz w:val="28"/>
          <w:szCs w:val="28"/>
        </w:rPr>
        <w:t xml:space="preserve"> </w:t>
      </w:r>
      <w:r w:rsidR="007E541E" w:rsidRPr="00577593">
        <w:rPr>
          <w:rFonts w:ascii="Times New Roman" w:hAnsi="Times New Roman"/>
          <w:sz w:val="28"/>
          <w:szCs w:val="28"/>
        </w:rPr>
        <w:br/>
      </w:r>
      <w:r w:rsidR="008413D1" w:rsidRPr="00577593">
        <w:rPr>
          <w:rFonts w:ascii="Times New Roman" w:hAnsi="Times New Roman"/>
          <w:sz w:val="28"/>
          <w:szCs w:val="28"/>
        </w:rPr>
        <w:t>с 19,3</w:t>
      </w:r>
      <w:r w:rsidR="008925FA" w:rsidRPr="00577593">
        <w:rPr>
          <w:rFonts w:ascii="Times New Roman" w:hAnsi="Times New Roman"/>
          <w:sz w:val="28"/>
          <w:szCs w:val="28"/>
        </w:rPr>
        <w:t xml:space="preserve"> до 41% (</w:t>
      </w:r>
      <w:r w:rsidR="00274CDA" w:rsidRPr="00274CDA">
        <w:rPr>
          <w:rFonts w:ascii="Times New Roman" w:hAnsi="Times New Roman"/>
          <w:sz w:val="28"/>
          <w:szCs w:val="28"/>
        </w:rPr>
        <w:t>Таблица 16</w:t>
      </w:r>
      <w:r w:rsidR="008925FA" w:rsidRPr="00577593">
        <w:rPr>
          <w:rFonts w:ascii="Times New Roman" w:hAnsi="Times New Roman"/>
          <w:sz w:val="28"/>
          <w:szCs w:val="28"/>
        </w:rPr>
        <w:t>).</w:t>
      </w:r>
    </w:p>
    <w:p w:rsidR="00A65319" w:rsidRDefault="00A65319" w:rsidP="002000D4">
      <w:pPr>
        <w:spacing w:after="0" w:line="240" w:lineRule="auto"/>
        <w:jc w:val="both"/>
        <w:rPr>
          <w:rFonts w:ascii="Times New Roman" w:hAnsi="Times New Roman"/>
          <w:sz w:val="28"/>
          <w:szCs w:val="28"/>
        </w:rPr>
      </w:pPr>
      <w:bookmarkStart w:id="155" w:name="_Ref199462122"/>
      <w:bookmarkStart w:id="156" w:name="_Ref199462119"/>
    </w:p>
    <w:p w:rsidR="00FC41F4" w:rsidRPr="00577593" w:rsidRDefault="008925FA" w:rsidP="002000D4">
      <w:pPr>
        <w:spacing w:after="0" w:line="240" w:lineRule="auto"/>
        <w:jc w:val="both"/>
        <w:rPr>
          <w:rFonts w:ascii="Times New Roman" w:hAnsi="Times New Roman"/>
          <w:sz w:val="28"/>
          <w:szCs w:val="28"/>
        </w:rPr>
      </w:pPr>
      <w:r w:rsidRPr="00577593">
        <w:rPr>
          <w:rFonts w:ascii="Times New Roman" w:hAnsi="Times New Roman"/>
          <w:sz w:val="28"/>
          <w:szCs w:val="28"/>
        </w:rPr>
        <w:t xml:space="preserve">Таблица </w:t>
      </w:r>
      <w:r w:rsidR="00074AE5" w:rsidRPr="00577593">
        <w:rPr>
          <w:rFonts w:ascii="Times New Roman" w:hAnsi="Times New Roman"/>
          <w:sz w:val="28"/>
          <w:szCs w:val="28"/>
        </w:rPr>
        <w:fldChar w:fldCharType="begin"/>
      </w:r>
      <w:r w:rsidRPr="00577593">
        <w:rPr>
          <w:rFonts w:ascii="Times New Roman" w:hAnsi="Times New Roman"/>
          <w:sz w:val="28"/>
          <w:szCs w:val="28"/>
        </w:rPr>
        <w:instrText xml:space="preserve"> SEQ Таблица \* ARABIC </w:instrText>
      </w:r>
      <w:r w:rsidR="00074AE5" w:rsidRPr="00577593">
        <w:rPr>
          <w:rFonts w:ascii="Times New Roman" w:hAnsi="Times New Roman"/>
          <w:sz w:val="28"/>
          <w:szCs w:val="28"/>
        </w:rPr>
        <w:fldChar w:fldCharType="separate"/>
      </w:r>
      <w:r w:rsidR="00071499">
        <w:rPr>
          <w:rFonts w:ascii="Times New Roman" w:hAnsi="Times New Roman"/>
          <w:noProof/>
          <w:sz w:val="28"/>
          <w:szCs w:val="28"/>
        </w:rPr>
        <w:t>16</w:t>
      </w:r>
      <w:r w:rsidR="00074AE5" w:rsidRPr="00577593">
        <w:rPr>
          <w:rFonts w:ascii="Times New Roman" w:hAnsi="Times New Roman"/>
          <w:sz w:val="28"/>
          <w:szCs w:val="28"/>
        </w:rPr>
        <w:fldChar w:fldCharType="end"/>
      </w:r>
      <w:bookmarkEnd w:id="155"/>
      <w:r w:rsidRPr="00577593">
        <w:rPr>
          <w:rFonts w:ascii="Times New Roman" w:hAnsi="Times New Roman"/>
          <w:sz w:val="28"/>
          <w:szCs w:val="28"/>
        </w:rPr>
        <w:t xml:space="preserve"> </w:t>
      </w:r>
      <w:r w:rsidR="00672709" w:rsidRPr="00577593">
        <w:rPr>
          <w:rFonts w:ascii="Times New Roman" w:hAnsi="Times New Roman"/>
          <w:sz w:val="28"/>
          <w:szCs w:val="28"/>
        </w:rPr>
        <w:t>–</w:t>
      </w:r>
      <w:r w:rsidRPr="00577593">
        <w:rPr>
          <w:rFonts w:ascii="Times New Roman" w:hAnsi="Times New Roman"/>
          <w:sz w:val="28"/>
          <w:szCs w:val="28"/>
        </w:rPr>
        <w:t xml:space="preserve"> Динамика обновления</w:t>
      </w:r>
      <w:r w:rsidR="008413D1" w:rsidRPr="00577593">
        <w:rPr>
          <w:rFonts w:ascii="Times New Roman" w:hAnsi="Times New Roman"/>
          <w:sz w:val="28"/>
          <w:szCs w:val="28"/>
        </w:rPr>
        <w:t xml:space="preserve"> подвижного состава в 2013-</w:t>
      </w:r>
      <w:r w:rsidRPr="00577593">
        <w:rPr>
          <w:rFonts w:ascii="Times New Roman" w:hAnsi="Times New Roman"/>
          <w:sz w:val="28"/>
          <w:szCs w:val="28"/>
        </w:rPr>
        <w:t>2025 г</w:t>
      </w:r>
      <w:bookmarkEnd w:id="156"/>
      <w:r w:rsidR="008413D1" w:rsidRPr="00577593">
        <w:rPr>
          <w:rFonts w:ascii="Times New Roman" w:hAnsi="Times New Roman"/>
          <w:sz w:val="28"/>
          <w:szCs w:val="28"/>
        </w:rPr>
        <w:t>оды</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3969"/>
        <w:gridCol w:w="4111"/>
      </w:tblGrid>
      <w:tr w:rsidR="00FC41F4" w:rsidRPr="00577593">
        <w:trPr>
          <w:trHeight w:val="300"/>
          <w:tblHeader/>
        </w:trPr>
        <w:tc>
          <w:tcPr>
            <w:tcW w:w="1271" w:type="dxa"/>
            <w:noWrap/>
            <w:vAlign w:val="center"/>
          </w:tcPr>
          <w:p w:rsidR="00FC41F4" w:rsidRPr="00577593" w:rsidRDefault="008925FA"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Год</w:t>
            </w:r>
          </w:p>
        </w:tc>
        <w:tc>
          <w:tcPr>
            <w:tcW w:w="3969" w:type="dxa"/>
            <w:noWrap/>
            <w:vAlign w:val="center"/>
          </w:tcPr>
          <w:p w:rsidR="00FC41F4" w:rsidRPr="00577593" w:rsidRDefault="008925FA"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Количество обновленных единиц подвижного состава городского транспорта в год, ед.</w:t>
            </w:r>
          </w:p>
        </w:tc>
        <w:tc>
          <w:tcPr>
            <w:tcW w:w="4111" w:type="dxa"/>
            <w:noWrap/>
            <w:vAlign w:val="center"/>
          </w:tcPr>
          <w:p w:rsidR="00FC41F4" w:rsidRPr="00577593" w:rsidRDefault="008925FA"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Доля транспортных средств, приспособленных для перемещения маломобильных групп граждан, %</w:t>
            </w:r>
          </w:p>
        </w:tc>
      </w:tr>
      <w:tr w:rsidR="00FC41F4" w:rsidRPr="00577593">
        <w:trPr>
          <w:trHeight w:val="300"/>
        </w:trPr>
        <w:tc>
          <w:tcPr>
            <w:tcW w:w="1271" w:type="dxa"/>
            <w:noWrap/>
            <w:vAlign w:val="bottom"/>
          </w:tcPr>
          <w:p w:rsidR="00FC41F4" w:rsidRPr="00577593" w:rsidRDefault="008925FA"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2013</w:t>
            </w:r>
          </w:p>
        </w:tc>
        <w:tc>
          <w:tcPr>
            <w:tcW w:w="3969" w:type="dxa"/>
            <w:noWrap/>
            <w:vAlign w:val="bottom"/>
          </w:tcPr>
          <w:p w:rsidR="00FC41F4" w:rsidRPr="00577593" w:rsidRDefault="008925FA"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17</w:t>
            </w:r>
          </w:p>
        </w:tc>
        <w:tc>
          <w:tcPr>
            <w:tcW w:w="4111" w:type="dxa"/>
            <w:noWrap/>
            <w:vAlign w:val="bottom"/>
          </w:tcPr>
          <w:p w:rsidR="00FC41F4" w:rsidRPr="00577593" w:rsidRDefault="008925FA"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19,3</w:t>
            </w:r>
          </w:p>
        </w:tc>
      </w:tr>
      <w:tr w:rsidR="00FC41F4" w:rsidRPr="00577593">
        <w:trPr>
          <w:trHeight w:val="300"/>
        </w:trPr>
        <w:tc>
          <w:tcPr>
            <w:tcW w:w="1271" w:type="dxa"/>
            <w:noWrap/>
            <w:vAlign w:val="bottom"/>
          </w:tcPr>
          <w:p w:rsidR="00FC41F4" w:rsidRPr="00577593" w:rsidRDefault="008925FA"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2014</w:t>
            </w:r>
          </w:p>
        </w:tc>
        <w:tc>
          <w:tcPr>
            <w:tcW w:w="3969" w:type="dxa"/>
            <w:noWrap/>
            <w:vAlign w:val="bottom"/>
          </w:tcPr>
          <w:p w:rsidR="00FC41F4" w:rsidRPr="00577593" w:rsidRDefault="008925FA"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12</w:t>
            </w:r>
          </w:p>
        </w:tc>
        <w:tc>
          <w:tcPr>
            <w:tcW w:w="4111" w:type="dxa"/>
            <w:noWrap/>
            <w:vAlign w:val="bottom"/>
          </w:tcPr>
          <w:p w:rsidR="00FC41F4" w:rsidRPr="00577593" w:rsidRDefault="008925FA"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22,3</w:t>
            </w:r>
          </w:p>
        </w:tc>
      </w:tr>
      <w:tr w:rsidR="00FC41F4" w:rsidRPr="00577593">
        <w:trPr>
          <w:trHeight w:val="300"/>
        </w:trPr>
        <w:tc>
          <w:tcPr>
            <w:tcW w:w="1271" w:type="dxa"/>
            <w:noWrap/>
            <w:vAlign w:val="bottom"/>
          </w:tcPr>
          <w:p w:rsidR="00FC41F4" w:rsidRPr="00577593" w:rsidRDefault="008925FA"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2015</w:t>
            </w:r>
          </w:p>
        </w:tc>
        <w:tc>
          <w:tcPr>
            <w:tcW w:w="3969" w:type="dxa"/>
            <w:noWrap/>
            <w:vAlign w:val="bottom"/>
          </w:tcPr>
          <w:p w:rsidR="00FC41F4" w:rsidRPr="00577593" w:rsidRDefault="008925FA"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35</w:t>
            </w:r>
          </w:p>
        </w:tc>
        <w:tc>
          <w:tcPr>
            <w:tcW w:w="4111" w:type="dxa"/>
            <w:noWrap/>
            <w:vAlign w:val="bottom"/>
          </w:tcPr>
          <w:p w:rsidR="00FC41F4" w:rsidRPr="00577593" w:rsidRDefault="008925FA"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23,7</w:t>
            </w:r>
          </w:p>
        </w:tc>
      </w:tr>
      <w:tr w:rsidR="00FC41F4" w:rsidRPr="00577593">
        <w:trPr>
          <w:trHeight w:val="300"/>
        </w:trPr>
        <w:tc>
          <w:tcPr>
            <w:tcW w:w="1271" w:type="dxa"/>
            <w:noWrap/>
            <w:vAlign w:val="bottom"/>
          </w:tcPr>
          <w:p w:rsidR="00FC41F4" w:rsidRPr="00577593" w:rsidRDefault="008925FA"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2016</w:t>
            </w:r>
          </w:p>
        </w:tc>
        <w:tc>
          <w:tcPr>
            <w:tcW w:w="3969" w:type="dxa"/>
            <w:noWrap/>
            <w:vAlign w:val="bottom"/>
          </w:tcPr>
          <w:p w:rsidR="00FC41F4" w:rsidRPr="00577593" w:rsidRDefault="008925FA"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17</w:t>
            </w:r>
          </w:p>
        </w:tc>
        <w:tc>
          <w:tcPr>
            <w:tcW w:w="4111" w:type="dxa"/>
            <w:noWrap/>
            <w:vAlign w:val="bottom"/>
          </w:tcPr>
          <w:p w:rsidR="00FC41F4" w:rsidRPr="00577593" w:rsidRDefault="008925FA"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23,7</w:t>
            </w:r>
          </w:p>
        </w:tc>
      </w:tr>
      <w:tr w:rsidR="00FC41F4" w:rsidRPr="00577593">
        <w:trPr>
          <w:trHeight w:val="300"/>
        </w:trPr>
        <w:tc>
          <w:tcPr>
            <w:tcW w:w="1271" w:type="dxa"/>
            <w:noWrap/>
            <w:vAlign w:val="bottom"/>
          </w:tcPr>
          <w:p w:rsidR="00FC41F4" w:rsidRPr="00577593" w:rsidRDefault="008925FA"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2017</w:t>
            </w:r>
          </w:p>
        </w:tc>
        <w:tc>
          <w:tcPr>
            <w:tcW w:w="3969" w:type="dxa"/>
            <w:noWrap/>
            <w:vAlign w:val="bottom"/>
          </w:tcPr>
          <w:p w:rsidR="00FC41F4" w:rsidRPr="00577593" w:rsidRDefault="008925FA"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21</w:t>
            </w:r>
          </w:p>
        </w:tc>
        <w:tc>
          <w:tcPr>
            <w:tcW w:w="4111" w:type="dxa"/>
            <w:noWrap/>
            <w:vAlign w:val="bottom"/>
          </w:tcPr>
          <w:p w:rsidR="00FC41F4" w:rsidRPr="00577593" w:rsidRDefault="008925FA"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23,7</w:t>
            </w:r>
          </w:p>
        </w:tc>
      </w:tr>
      <w:tr w:rsidR="00FC41F4" w:rsidRPr="00577593">
        <w:trPr>
          <w:trHeight w:val="300"/>
        </w:trPr>
        <w:tc>
          <w:tcPr>
            <w:tcW w:w="1271" w:type="dxa"/>
            <w:noWrap/>
            <w:vAlign w:val="bottom"/>
          </w:tcPr>
          <w:p w:rsidR="00FC41F4" w:rsidRPr="00577593" w:rsidRDefault="008925FA"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2018</w:t>
            </w:r>
          </w:p>
        </w:tc>
        <w:tc>
          <w:tcPr>
            <w:tcW w:w="3969" w:type="dxa"/>
            <w:noWrap/>
            <w:vAlign w:val="bottom"/>
          </w:tcPr>
          <w:p w:rsidR="00FC41F4" w:rsidRPr="00577593" w:rsidRDefault="008925FA"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17</w:t>
            </w:r>
          </w:p>
        </w:tc>
        <w:tc>
          <w:tcPr>
            <w:tcW w:w="4111" w:type="dxa"/>
            <w:noWrap/>
            <w:vAlign w:val="bottom"/>
          </w:tcPr>
          <w:p w:rsidR="00FC41F4" w:rsidRPr="00577593" w:rsidRDefault="008925FA"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29,9</w:t>
            </w:r>
          </w:p>
        </w:tc>
      </w:tr>
      <w:tr w:rsidR="00FC41F4" w:rsidRPr="00577593">
        <w:trPr>
          <w:trHeight w:val="300"/>
        </w:trPr>
        <w:tc>
          <w:tcPr>
            <w:tcW w:w="1271" w:type="dxa"/>
            <w:noWrap/>
            <w:vAlign w:val="bottom"/>
          </w:tcPr>
          <w:p w:rsidR="00FC41F4" w:rsidRPr="00577593" w:rsidRDefault="008925FA"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2019</w:t>
            </w:r>
          </w:p>
        </w:tc>
        <w:tc>
          <w:tcPr>
            <w:tcW w:w="3969" w:type="dxa"/>
            <w:noWrap/>
            <w:vAlign w:val="bottom"/>
          </w:tcPr>
          <w:p w:rsidR="00FC41F4" w:rsidRPr="00577593" w:rsidRDefault="008925FA"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28</w:t>
            </w:r>
          </w:p>
        </w:tc>
        <w:tc>
          <w:tcPr>
            <w:tcW w:w="4111" w:type="dxa"/>
            <w:noWrap/>
            <w:vAlign w:val="bottom"/>
          </w:tcPr>
          <w:p w:rsidR="00FC41F4" w:rsidRPr="00577593" w:rsidRDefault="008925FA"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29,9</w:t>
            </w:r>
          </w:p>
        </w:tc>
      </w:tr>
      <w:tr w:rsidR="00FC41F4" w:rsidRPr="00577593">
        <w:trPr>
          <w:trHeight w:val="300"/>
        </w:trPr>
        <w:tc>
          <w:tcPr>
            <w:tcW w:w="1271" w:type="dxa"/>
            <w:noWrap/>
            <w:vAlign w:val="bottom"/>
          </w:tcPr>
          <w:p w:rsidR="00FC41F4" w:rsidRPr="00577593" w:rsidRDefault="008925FA"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2020</w:t>
            </w:r>
          </w:p>
        </w:tc>
        <w:tc>
          <w:tcPr>
            <w:tcW w:w="3969" w:type="dxa"/>
            <w:noWrap/>
            <w:vAlign w:val="bottom"/>
          </w:tcPr>
          <w:p w:rsidR="00FC41F4" w:rsidRPr="00577593" w:rsidRDefault="008925FA"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19</w:t>
            </w:r>
          </w:p>
        </w:tc>
        <w:tc>
          <w:tcPr>
            <w:tcW w:w="4111" w:type="dxa"/>
            <w:noWrap/>
            <w:vAlign w:val="bottom"/>
          </w:tcPr>
          <w:p w:rsidR="00FC41F4" w:rsidRPr="00577593" w:rsidRDefault="008925FA"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31</w:t>
            </w:r>
          </w:p>
        </w:tc>
      </w:tr>
      <w:tr w:rsidR="00FC41F4" w:rsidRPr="00577593">
        <w:trPr>
          <w:trHeight w:val="300"/>
        </w:trPr>
        <w:tc>
          <w:tcPr>
            <w:tcW w:w="1271" w:type="dxa"/>
            <w:noWrap/>
            <w:vAlign w:val="bottom"/>
          </w:tcPr>
          <w:p w:rsidR="00FC41F4" w:rsidRPr="00577593" w:rsidRDefault="008925FA"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2021</w:t>
            </w:r>
          </w:p>
        </w:tc>
        <w:tc>
          <w:tcPr>
            <w:tcW w:w="3969" w:type="dxa"/>
            <w:noWrap/>
            <w:vAlign w:val="bottom"/>
          </w:tcPr>
          <w:p w:rsidR="00FC41F4" w:rsidRPr="00577593" w:rsidRDefault="008925FA"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63</w:t>
            </w:r>
          </w:p>
        </w:tc>
        <w:tc>
          <w:tcPr>
            <w:tcW w:w="4111" w:type="dxa"/>
            <w:noWrap/>
            <w:vAlign w:val="bottom"/>
          </w:tcPr>
          <w:p w:rsidR="00FC41F4" w:rsidRPr="00577593" w:rsidRDefault="008925FA"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34,3</w:t>
            </w:r>
          </w:p>
        </w:tc>
      </w:tr>
      <w:tr w:rsidR="00FC41F4" w:rsidRPr="00577593">
        <w:trPr>
          <w:trHeight w:val="300"/>
        </w:trPr>
        <w:tc>
          <w:tcPr>
            <w:tcW w:w="1271" w:type="dxa"/>
            <w:noWrap/>
            <w:vAlign w:val="bottom"/>
          </w:tcPr>
          <w:p w:rsidR="00FC41F4" w:rsidRPr="00577593" w:rsidRDefault="008925FA"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2022</w:t>
            </w:r>
          </w:p>
        </w:tc>
        <w:tc>
          <w:tcPr>
            <w:tcW w:w="3969" w:type="dxa"/>
            <w:noWrap/>
            <w:vAlign w:val="bottom"/>
          </w:tcPr>
          <w:p w:rsidR="00FC41F4" w:rsidRPr="00577593" w:rsidRDefault="008925FA"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1</w:t>
            </w:r>
          </w:p>
        </w:tc>
        <w:tc>
          <w:tcPr>
            <w:tcW w:w="4111" w:type="dxa"/>
            <w:noWrap/>
            <w:vAlign w:val="bottom"/>
          </w:tcPr>
          <w:p w:rsidR="00FC41F4" w:rsidRPr="00577593" w:rsidRDefault="008925FA"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34,3</w:t>
            </w:r>
          </w:p>
        </w:tc>
      </w:tr>
      <w:tr w:rsidR="00FC41F4" w:rsidRPr="00577593">
        <w:trPr>
          <w:trHeight w:val="300"/>
        </w:trPr>
        <w:tc>
          <w:tcPr>
            <w:tcW w:w="1271" w:type="dxa"/>
            <w:noWrap/>
            <w:vAlign w:val="bottom"/>
          </w:tcPr>
          <w:p w:rsidR="00FC41F4" w:rsidRPr="00577593" w:rsidRDefault="008925FA"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2023</w:t>
            </w:r>
          </w:p>
        </w:tc>
        <w:tc>
          <w:tcPr>
            <w:tcW w:w="3969" w:type="dxa"/>
            <w:noWrap/>
            <w:vAlign w:val="bottom"/>
          </w:tcPr>
          <w:p w:rsidR="00FC41F4" w:rsidRPr="00577593" w:rsidRDefault="008925FA"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17</w:t>
            </w:r>
          </w:p>
        </w:tc>
        <w:tc>
          <w:tcPr>
            <w:tcW w:w="4111" w:type="dxa"/>
            <w:noWrap/>
            <w:vAlign w:val="bottom"/>
          </w:tcPr>
          <w:p w:rsidR="00FC41F4" w:rsidRPr="00577593" w:rsidRDefault="008925FA"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37,7</w:t>
            </w:r>
          </w:p>
        </w:tc>
      </w:tr>
      <w:tr w:rsidR="00FC41F4" w:rsidRPr="00577593">
        <w:trPr>
          <w:trHeight w:val="300"/>
        </w:trPr>
        <w:tc>
          <w:tcPr>
            <w:tcW w:w="1271" w:type="dxa"/>
            <w:noWrap/>
            <w:vAlign w:val="bottom"/>
          </w:tcPr>
          <w:p w:rsidR="00FC41F4" w:rsidRPr="00577593" w:rsidRDefault="008925FA"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2024</w:t>
            </w:r>
          </w:p>
        </w:tc>
        <w:tc>
          <w:tcPr>
            <w:tcW w:w="3969" w:type="dxa"/>
            <w:noWrap/>
            <w:vAlign w:val="bottom"/>
          </w:tcPr>
          <w:p w:rsidR="00FC41F4" w:rsidRPr="00577593" w:rsidRDefault="008925FA"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17</w:t>
            </w:r>
          </w:p>
        </w:tc>
        <w:tc>
          <w:tcPr>
            <w:tcW w:w="4111" w:type="dxa"/>
            <w:noWrap/>
            <w:vAlign w:val="bottom"/>
          </w:tcPr>
          <w:p w:rsidR="00FC41F4" w:rsidRPr="00577593" w:rsidRDefault="008925FA"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39,4</w:t>
            </w:r>
          </w:p>
        </w:tc>
      </w:tr>
      <w:tr w:rsidR="00FC41F4" w:rsidRPr="00577593">
        <w:trPr>
          <w:trHeight w:val="300"/>
        </w:trPr>
        <w:tc>
          <w:tcPr>
            <w:tcW w:w="1271" w:type="dxa"/>
            <w:noWrap/>
            <w:vAlign w:val="bottom"/>
          </w:tcPr>
          <w:p w:rsidR="00FC41F4" w:rsidRPr="00577593" w:rsidRDefault="008925FA"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2025</w:t>
            </w:r>
          </w:p>
        </w:tc>
        <w:tc>
          <w:tcPr>
            <w:tcW w:w="3969" w:type="dxa"/>
            <w:noWrap/>
            <w:vAlign w:val="bottom"/>
          </w:tcPr>
          <w:p w:rsidR="00FC41F4" w:rsidRPr="00577593" w:rsidRDefault="008925FA"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17</w:t>
            </w:r>
          </w:p>
        </w:tc>
        <w:tc>
          <w:tcPr>
            <w:tcW w:w="4111" w:type="dxa"/>
            <w:noWrap/>
            <w:vAlign w:val="bottom"/>
          </w:tcPr>
          <w:p w:rsidR="00FC41F4" w:rsidRPr="00577593" w:rsidRDefault="008925FA"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41</w:t>
            </w:r>
          </w:p>
        </w:tc>
      </w:tr>
    </w:tbl>
    <w:p w:rsidR="00A1570C" w:rsidRPr="00577593" w:rsidRDefault="008925FA" w:rsidP="00C50712">
      <w:pPr>
        <w:pStyle w:val="aff9"/>
        <w:spacing w:after="0"/>
        <w:ind w:firstLine="709"/>
        <w:jc w:val="both"/>
        <w:rPr>
          <w:rFonts w:ascii="Times New Roman" w:hAnsi="Times New Roman"/>
          <w:i w:val="0"/>
          <w:color w:val="auto"/>
          <w:sz w:val="28"/>
          <w:szCs w:val="28"/>
        </w:rPr>
      </w:pPr>
      <w:r w:rsidRPr="00577593">
        <w:rPr>
          <w:rFonts w:ascii="Times New Roman" w:hAnsi="Times New Roman"/>
          <w:i w:val="0"/>
          <w:color w:val="auto"/>
          <w:sz w:val="28"/>
          <w:szCs w:val="28"/>
        </w:rPr>
        <w:t xml:space="preserve">Примечание </w:t>
      </w:r>
      <w:r w:rsidR="00672709" w:rsidRPr="00577593">
        <w:rPr>
          <w:rFonts w:ascii="Times New Roman" w:hAnsi="Times New Roman"/>
          <w:i w:val="0"/>
          <w:color w:val="auto"/>
          <w:sz w:val="28"/>
          <w:szCs w:val="28"/>
        </w:rPr>
        <w:t>–</w:t>
      </w:r>
      <w:r w:rsidRPr="00577593">
        <w:rPr>
          <w:rFonts w:ascii="Times New Roman" w:hAnsi="Times New Roman"/>
          <w:i w:val="0"/>
          <w:color w:val="auto"/>
          <w:sz w:val="28"/>
          <w:szCs w:val="28"/>
        </w:rPr>
        <w:t xml:space="preserve"> Источник: </w:t>
      </w:r>
      <w:r w:rsidR="00602CDF" w:rsidRPr="00577593">
        <w:rPr>
          <w:rFonts w:ascii="Times New Roman" w:hAnsi="Times New Roman"/>
          <w:i w:val="0"/>
          <w:color w:val="auto"/>
          <w:sz w:val="28"/>
          <w:szCs w:val="28"/>
        </w:rPr>
        <w:t>данные</w:t>
      </w:r>
      <w:r w:rsidRPr="00577593">
        <w:rPr>
          <w:rFonts w:ascii="Times New Roman" w:hAnsi="Times New Roman"/>
          <w:i w:val="0"/>
          <w:color w:val="auto"/>
          <w:sz w:val="28"/>
          <w:szCs w:val="28"/>
        </w:rPr>
        <w:t xml:space="preserve"> </w:t>
      </w:r>
      <w:r w:rsidRPr="00577593">
        <w:rPr>
          <w:rFonts w:ascii="Times New Roman" w:hAnsi="Times New Roman"/>
          <w:i w:val="0"/>
          <w:iCs w:val="0"/>
          <w:color w:val="auto"/>
          <w:sz w:val="28"/>
          <w:szCs w:val="28"/>
        </w:rPr>
        <w:t>администрации</w:t>
      </w:r>
      <w:r w:rsidRPr="00577593">
        <w:rPr>
          <w:rFonts w:ascii="Times New Roman" w:hAnsi="Times New Roman"/>
          <w:i w:val="0"/>
          <w:color w:val="auto"/>
          <w:sz w:val="28"/>
          <w:szCs w:val="28"/>
        </w:rPr>
        <w:t xml:space="preserve"> города Барнаула</w:t>
      </w:r>
    </w:p>
    <w:p w:rsidR="00A65319" w:rsidRDefault="00A65319" w:rsidP="00C50712">
      <w:pPr>
        <w:pStyle w:val="aff9"/>
        <w:spacing w:after="0"/>
        <w:ind w:firstLine="709"/>
        <w:jc w:val="both"/>
        <w:rPr>
          <w:rFonts w:ascii="Times New Roman" w:hAnsi="Times New Roman"/>
          <w:b/>
          <w:i w:val="0"/>
          <w:color w:val="auto"/>
          <w:sz w:val="28"/>
          <w:szCs w:val="28"/>
        </w:rPr>
      </w:pPr>
    </w:p>
    <w:p w:rsidR="00CE13E1" w:rsidRDefault="00CE13E1" w:rsidP="00CE13E1">
      <w:pPr>
        <w:pStyle w:val="aff9"/>
        <w:spacing w:after="0"/>
        <w:ind w:firstLine="709"/>
        <w:jc w:val="both"/>
        <w:rPr>
          <w:rFonts w:ascii="Times New Roman" w:hAnsi="Times New Roman"/>
          <w:b/>
          <w:i w:val="0"/>
          <w:color w:val="auto"/>
          <w:sz w:val="28"/>
          <w:szCs w:val="28"/>
        </w:rPr>
      </w:pPr>
    </w:p>
    <w:p w:rsidR="00A6560C" w:rsidRPr="00A6560C" w:rsidRDefault="00A6560C" w:rsidP="00A6560C"/>
    <w:p w:rsidR="00CE13E1" w:rsidRDefault="008925FA" w:rsidP="00CE13E1">
      <w:pPr>
        <w:pStyle w:val="aff9"/>
        <w:spacing w:after="0"/>
        <w:ind w:firstLine="709"/>
        <w:jc w:val="both"/>
        <w:rPr>
          <w:rFonts w:ascii="Times New Roman" w:hAnsi="Times New Roman"/>
          <w:b/>
          <w:i w:val="0"/>
          <w:color w:val="auto"/>
          <w:sz w:val="28"/>
          <w:szCs w:val="28"/>
        </w:rPr>
      </w:pPr>
      <w:r w:rsidRPr="00577593">
        <w:rPr>
          <w:rFonts w:ascii="Times New Roman" w:hAnsi="Times New Roman"/>
          <w:b/>
          <w:i w:val="0"/>
          <w:color w:val="auto"/>
          <w:sz w:val="28"/>
          <w:szCs w:val="28"/>
        </w:rPr>
        <w:lastRenderedPageBreak/>
        <w:t>Дорожное хозяйство</w:t>
      </w:r>
    </w:p>
    <w:p w:rsidR="007E541E" w:rsidRPr="00CE13E1" w:rsidRDefault="008925FA" w:rsidP="00CE13E1">
      <w:pPr>
        <w:pStyle w:val="aff9"/>
        <w:spacing w:after="0"/>
        <w:ind w:firstLine="709"/>
        <w:jc w:val="both"/>
        <w:rPr>
          <w:rFonts w:ascii="Times New Roman" w:hAnsi="Times New Roman"/>
          <w:i w:val="0"/>
          <w:iCs w:val="0"/>
          <w:color w:val="auto"/>
          <w:sz w:val="28"/>
          <w:szCs w:val="28"/>
        </w:rPr>
      </w:pPr>
      <w:r w:rsidRPr="00CE13E1">
        <w:rPr>
          <w:rFonts w:ascii="Times New Roman" w:hAnsi="Times New Roman"/>
          <w:i w:val="0"/>
          <w:iCs w:val="0"/>
          <w:color w:val="auto"/>
          <w:sz w:val="28"/>
          <w:szCs w:val="28"/>
        </w:rPr>
        <w:t>Насущной проблемой города является приведение автомобильных дорог к н</w:t>
      </w:r>
      <w:r w:rsidR="008413D1" w:rsidRPr="00CE13E1">
        <w:rPr>
          <w:rFonts w:ascii="Times New Roman" w:hAnsi="Times New Roman"/>
          <w:i w:val="0"/>
          <w:iCs w:val="0"/>
          <w:color w:val="auto"/>
          <w:sz w:val="28"/>
          <w:szCs w:val="28"/>
        </w:rPr>
        <w:t>ормативному состоянию. С 2017 по 2023 годы</w:t>
      </w:r>
      <w:r w:rsidRPr="00CE13E1">
        <w:rPr>
          <w:rFonts w:ascii="Times New Roman" w:hAnsi="Times New Roman"/>
          <w:i w:val="0"/>
          <w:iCs w:val="0"/>
          <w:color w:val="auto"/>
          <w:sz w:val="28"/>
          <w:szCs w:val="28"/>
        </w:rPr>
        <w:t xml:space="preserve"> доля автомобильных дорог общего пользования местного значения, соответствующих нормативным требованиям по транспортно-эксплуатационным показателям, увеличилась всего на 7 п.п., то есть более половины дорог городского округа все еще не соответствуют стандартам, хотя доля дорог местного значения города Барнаула, находящихся в нормативном состоянии, в рамках реализации национального проекта «Безопасные и качественные автомобильные дороги», достигла 82,7%. Уровень освещенности улично-дорожной сети составляет лишь 54,1% (</w:t>
      </w:r>
      <w:r w:rsidR="00A65319" w:rsidRPr="00CE13E1">
        <w:rPr>
          <w:rFonts w:ascii="Times New Roman" w:hAnsi="Times New Roman"/>
          <w:i w:val="0"/>
          <w:iCs w:val="0"/>
          <w:color w:val="auto"/>
          <w:sz w:val="28"/>
          <w:szCs w:val="28"/>
        </w:rPr>
        <w:t>Таблица 17</w:t>
      </w:r>
      <w:r w:rsidRPr="00CE13E1">
        <w:rPr>
          <w:rFonts w:ascii="Times New Roman" w:hAnsi="Times New Roman"/>
          <w:i w:val="0"/>
          <w:iCs w:val="0"/>
          <w:color w:val="auto"/>
          <w:sz w:val="28"/>
          <w:szCs w:val="28"/>
        </w:rPr>
        <w:t>).</w:t>
      </w:r>
      <w:bookmarkStart w:id="157" w:name="_Ref199462362"/>
    </w:p>
    <w:p w:rsidR="00A1570C" w:rsidRPr="00A6560C" w:rsidRDefault="00A1570C" w:rsidP="002000D4">
      <w:pPr>
        <w:spacing w:after="0" w:line="240" w:lineRule="auto"/>
        <w:contextualSpacing/>
        <w:jc w:val="both"/>
        <w:rPr>
          <w:rFonts w:ascii="Times New Roman" w:hAnsi="Times New Roman"/>
          <w:sz w:val="20"/>
          <w:szCs w:val="20"/>
        </w:rPr>
      </w:pPr>
    </w:p>
    <w:p w:rsidR="00FC41F4" w:rsidRPr="00577593" w:rsidRDefault="008925FA" w:rsidP="002000D4">
      <w:pPr>
        <w:spacing w:after="0" w:line="240" w:lineRule="auto"/>
        <w:contextualSpacing/>
        <w:jc w:val="both"/>
        <w:rPr>
          <w:rFonts w:ascii="Times New Roman" w:hAnsi="Times New Roman"/>
          <w:sz w:val="28"/>
          <w:szCs w:val="28"/>
        </w:rPr>
      </w:pPr>
      <w:r w:rsidRPr="00577593">
        <w:rPr>
          <w:rFonts w:ascii="Times New Roman" w:hAnsi="Times New Roman"/>
          <w:sz w:val="28"/>
          <w:szCs w:val="28"/>
        </w:rPr>
        <w:t xml:space="preserve">Таблица </w:t>
      </w:r>
      <w:r w:rsidR="00074AE5" w:rsidRPr="00577593">
        <w:rPr>
          <w:rFonts w:ascii="Times New Roman" w:hAnsi="Times New Roman"/>
          <w:sz w:val="28"/>
          <w:szCs w:val="28"/>
        </w:rPr>
        <w:fldChar w:fldCharType="begin"/>
      </w:r>
      <w:r w:rsidRPr="00577593">
        <w:rPr>
          <w:rFonts w:ascii="Times New Roman" w:hAnsi="Times New Roman"/>
          <w:sz w:val="28"/>
          <w:szCs w:val="28"/>
        </w:rPr>
        <w:instrText xml:space="preserve"> SEQ Таблица \* ARABIC </w:instrText>
      </w:r>
      <w:r w:rsidR="00074AE5" w:rsidRPr="00577593">
        <w:rPr>
          <w:rFonts w:ascii="Times New Roman" w:hAnsi="Times New Roman"/>
          <w:sz w:val="28"/>
          <w:szCs w:val="28"/>
        </w:rPr>
        <w:fldChar w:fldCharType="separate"/>
      </w:r>
      <w:r w:rsidR="00071499">
        <w:rPr>
          <w:rFonts w:ascii="Times New Roman" w:hAnsi="Times New Roman"/>
          <w:noProof/>
          <w:sz w:val="28"/>
          <w:szCs w:val="28"/>
        </w:rPr>
        <w:t>17</w:t>
      </w:r>
      <w:r w:rsidR="00074AE5" w:rsidRPr="00577593">
        <w:rPr>
          <w:rFonts w:ascii="Times New Roman" w:hAnsi="Times New Roman"/>
          <w:sz w:val="28"/>
          <w:szCs w:val="28"/>
        </w:rPr>
        <w:fldChar w:fldCharType="end"/>
      </w:r>
      <w:bookmarkEnd w:id="157"/>
      <w:r w:rsidRPr="00577593">
        <w:rPr>
          <w:rFonts w:ascii="Times New Roman" w:hAnsi="Times New Roman"/>
          <w:sz w:val="28"/>
          <w:szCs w:val="28"/>
        </w:rPr>
        <w:t xml:space="preserve"> </w:t>
      </w:r>
      <w:r w:rsidR="008413D1" w:rsidRPr="00577593">
        <w:rPr>
          <w:rFonts w:ascii="Times New Roman" w:hAnsi="Times New Roman"/>
          <w:sz w:val="28"/>
          <w:szCs w:val="28"/>
        </w:rPr>
        <w:t>–</w:t>
      </w:r>
      <w:r w:rsidRPr="00577593">
        <w:rPr>
          <w:rFonts w:ascii="Times New Roman" w:hAnsi="Times New Roman"/>
          <w:sz w:val="28"/>
          <w:szCs w:val="28"/>
        </w:rPr>
        <w:t xml:space="preserve"> Динамика показателей, характеризующих состояние дорожной инфраструктуры в 2017</w:t>
      </w:r>
      <w:r w:rsidR="008413D1" w:rsidRPr="00577593">
        <w:rPr>
          <w:rFonts w:ascii="Times New Roman" w:hAnsi="Times New Roman"/>
          <w:sz w:val="28"/>
          <w:szCs w:val="28"/>
        </w:rPr>
        <w:t>-2023 годы</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69"/>
        <w:gridCol w:w="850"/>
        <w:gridCol w:w="851"/>
        <w:gridCol w:w="850"/>
        <w:gridCol w:w="851"/>
        <w:gridCol w:w="850"/>
        <w:gridCol w:w="851"/>
        <w:gridCol w:w="879"/>
      </w:tblGrid>
      <w:tr w:rsidR="00FC41F4" w:rsidRPr="00577593" w:rsidTr="00A65319">
        <w:trPr>
          <w:cantSplit/>
          <w:tblHeader/>
          <w:jc w:val="center"/>
        </w:trPr>
        <w:tc>
          <w:tcPr>
            <w:tcW w:w="3369" w:type="dxa"/>
            <w:vAlign w:val="center"/>
          </w:tcPr>
          <w:p w:rsidR="00FC41F4" w:rsidRPr="00577593" w:rsidRDefault="00FC41F4" w:rsidP="002000D4">
            <w:pPr>
              <w:spacing w:after="0" w:line="240" w:lineRule="auto"/>
              <w:jc w:val="both"/>
              <w:rPr>
                <w:rFonts w:ascii="Times New Roman" w:eastAsia="Calibri" w:hAnsi="Times New Roman"/>
                <w:sz w:val="20"/>
                <w:szCs w:val="20"/>
              </w:rPr>
            </w:pPr>
          </w:p>
        </w:tc>
        <w:tc>
          <w:tcPr>
            <w:tcW w:w="850" w:type="dxa"/>
          </w:tcPr>
          <w:p w:rsidR="00FC41F4" w:rsidRPr="00577593" w:rsidRDefault="008925FA" w:rsidP="00693A36">
            <w:pPr>
              <w:spacing w:after="0" w:line="240" w:lineRule="auto"/>
              <w:ind w:left="-102"/>
              <w:jc w:val="center"/>
              <w:rPr>
                <w:rFonts w:ascii="Times New Roman" w:eastAsia="Calibri" w:hAnsi="Times New Roman"/>
                <w:sz w:val="20"/>
                <w:szCs w:val="20"/>
              </w:rPr>
            </w:pPr>
            <w:r w:rsidRPr="00577593">
              <w:rPr>
                <w:rFonts w:ascii="Times New Roman" w:eastAsia="Calibri" w:hAnsi="Times New Roman"/>
                <w:sz w:val="20"/>
                <w:szCs w:val="20"/>
              </w:rPr>
              <w:t>2017</w:t>
            </w:r>
            <w:r w:rsidR="008413D1" w:rsidRPr="00577593">
              <w:rPr>
                <w:rFonts w:ascii="Times New Roman" w:eastAsia="Calibri" w:hAnsi="Times New Roman"/>
                <w:sz w:val="20"/>
                <w:szCs w:val="20"/>
              </w:rPr>
              <w:t xml:space="preserve"> г.</w:t>
            </w:r>
          </w:p>
        </w:tc>
        <w:tc>
          <w:tcPr>
            <w:tcW w:w="851" w:type="dxa"/>
          </w:tcPr>
          <w:p w:rsidR="00FC41F4" w:rsidRPr="00577593" w:rsidRDefault="008925FA" w:rsidP="00693A36">
            <w:pPr>
              <w:spacing w:after="0" w:line="240" w:lineRule="auto"/>
              <w:ind w:left="-102"/>
              <w:jc w:val="center"/>
              <w:rPr>
                <w:rFonts w:ascii="Times New Roman" w:eastAsia="Calibri" w:hAnsi="Times New Roman"/>
                <w:sz w:val="20"/>
                <w:szCs w:val="20"/>
              </w:rPr>
            </w:pPr>
            <w:r w:rsidRPr="00577593">
              <w:rPr>
                <w:rFonts w:ascii="Times New Roman" w:eastAsia="Calibri" w:hAnsi="Times New Roman"/>
                <w:sz w:val="20"/>
                <w:szCs w:val="20"/>
              </w:rPr>
              <w:t>2018</w:t>
            </w:r>
            <w:r w:rsidR="008413D1" w:rsidRPr="00577593">
              <w:rPr>
                <w:rFonts w:ascii="Times New Roman" w:eastAsia="Calibri" w:hAnsi="Times New Roman"/>
                <w:sz w:val="20"/>
                <w:szCs w:val="20"/>
              </w:rPr>
              <w:t xml:space="preserve"> г.</w:t>
            </w:r>
          </w:p>
        </w:tc>
        <w:tc>
          <w:tcPr>
            <w:tcW w:w="850" w:type="dxa"/>
          </w:tcPr>
          <w:p w:rsidR="00FC41F4" w:rsidRPr="00577593" w:rsidRDefault="008925FA" w:rsidP="00693A36">
            <w:pPr>
              <w:spacing w:after="0" w:line="240" w:lineRule="auto"/>
              <w:ind w:left="-102"/>
              <w:jc w:val="center"/>
              <w:rPr>
                <w:rFonts w:ascii="Times New Roman" w:eastAsia="Calibri" w:hAnsi="Times New Roman"/>
                <w:sz w:val="20"/>
                <w:szCs w:val="20"/>
              </w:rPr>
            </w:pPr>
            <w:r w:rsidRPr="00577593">
              <w:rPr>
                <w:rFonts w:ascii="Times New Roman" w:eastAsia="Calibri" w:hAnsi="Times New Roman"/>
                <w:sz w:val="20"/>
                <w:szCs w:val="20"/>
              </w:rPr>
              <w:t>2019</w:t>
            </w:r>
            <w:r w:rsidR="008413D1" w:rsidRPr="00577593">
              <w:rPr>
                <w:rFonts w:ascii="Times New Roman" w:eastAsia="Calibri" w:hAnsi="Times New Roman"/>
                <w:sz w:val="20"/>
                <w:szCs w:val="20"/>
              </w:rPr>
              <w:t xml:space="preserve"> г.</w:t>
            </w:r>
          </w:p>
        </w:tc>
        <w:tc>
          <w:tcPr>
            <w:tcW w:w="851" w:type="dxa"/>
          </w:tcPr>
          <w:p w:rsidR="00FC41F4" w:rsidRPr="00577593" w:rsidRDefault="008925FA" w:rsidP="00693A36">
            <w:pPr>
              <w:spacing w:after="0" w:line="240" w:lineRule="auto"/>
              <w:ind w:left="-102"/>
              <w:jc w:val="center"/>
              <w:rPr>
                <w:rFonts w:ascii="Times New Roman" w:eastAsia="Calibri" w:hAnsi="Times New Roman"/>
                <w:sz w:val="20"/>
                <w:szCs w:val="20"/>
              </w:rPr>
            </w:pPr>
            <w:r w:rsidRPr="00577593">
              <w:rPr>
                <w:rFonts w:ascii="Times New Roman" w:eastAsia="Calibri" w:hAnsi="Times New Roman"/>
                <w:sz w:val="20"/>
                <w:szCs w:val="20"/>
              </w:rPr>
              <w:t>2020</w:t>
            </w:r>
            <w:r w:rsidR="008413D1" w:rsidRPr="00577593">
              <w:rPr>
                <w:rFonts w:ascii="Times New Roman" w:eastAsia="Calibri" w:hAnsi="Times New Roman"/>
                <w:sz w:val="20"/>
                <w:szCs w:val="20"/>
              </w:rPr>
              <w:t xml:space="preserve"> г.</w:t>
            </w:r>
          </w:p>
        </w:tc>
        <w:tc>
          <w:tcPr>
            <w:tcW w:w="850" w:type="dxa"/>
          </w:tcPr>
          <w:p w:rsidR="00FC41F4" w:rsidRPr="00577593" w:rsidRDefault="008925FA" w:rsidP="00693A36">
            <w:pPr>
              <w:spacing w:after="0" w:line="240" w:lineRule="auto"/>
              <w:ind w:left="-102"/>
              <w:jc w:val="center"/>
              <w:rPr>
                <w:rFonts w:ascii="Times New Roman" w:eastAsia="Calibri" w:hAnsi="Times New Roman"/>
                <w:sz w:val="20"/>
                <w:szCs w:val="20"/>
              </w:rPr>
            </w:pPr>
            <w:r w:rsidRPr="00577593">
              <w:rPr>
                <w:rFonts w:ascii="Times New Roman" w:eastAsia="Calibri" w:hAnsi="Times New Roman"/>
                <w:sz w:val="20"/>
                <w:szCs w:val="20"/>
              </w:rPr>
              <w:t>2021</w:t>
            </w:r>
            <w:r w:rsidR="008413D1" w:rsidRPr="00577593">
              <w:rPr>
                <w:rFonts w:ascii="Times New Roman" w:eastAsia="Calibri" w:hAnsi="Times New Roman"/>
                <w:sz w:val="20"/>
                <w:szCs w:val="20"/>
              </w:rPr>
              <w:t xml:space="preserve"> г.</w:t>
            </w:r>
          </w:p>
        </w:tc>
        <w:tc>
          <w:tcPr>
            <w:tcW w:w="851" w:type="dxa"/>
          </w:tcPr>
          <w:p w:rsidR="00FC41F4" w:rsidRPr="00577593" w:rsidRDefault="008925FA" w:rsidP="00693A36">
            <w:pPr>
              <w:spacing w:after="0" w:line="240" w:lineRule="auto"/>
              <w:ind w:left="-102"/>
              <w:jc w:val="center"/>
              <w:rPr>
                <w:rFonts w:ascii="Times New Roman" w:eastAsia="Calibri" w:hAnsi="Times New Roman"/>
                <w:sz w:val="20"/>
                <w:szCs w:val="20"/>
              </w:rPr>
            </w:pPr>
            <w:r w:rsidRPr="00577593">
              <w:rPr>
                <w:rFonts w:ascii="Times New Roman" w:eastAsia="Calibri" w:hAnsi="Times New Roman"/>
                <w:sz w:val="20"/>
                <w:szCs w:val="20"/>
              </w:rPr>
              <w:t>2022</w:t>
            </w:r>
            <w:r w:rsidR="008413D1" w:rsidRPr="00577593">
              <w:rPr>
                <w:rFonts w:ascii="Times New Roman" w:eastAsia="Calibri" w:hAnsi="Times New Roman"/>
                <w:sz w:val="20"/>
                <w:szCs w:val="20"/>
              </w:rPr>
              <w:t xml:space="preserve"> г.</w:t>
            </w:r>
          </w:p>
        </w:tc>
        <w:tc>
          <w:tcPr>
            <w:tcW w:w="879" w:type="dxa"/>
          </w:tcPr>
          <w:p w:rsidR="00FC41F4" w:rsidRPr="00577593" w:rsidRDefault="008925FA" w:rsidP="00693A36">
            <w:pPr>
              <w:spacing w:after="0" w:line="240" w:lineRule="auto"/>
              <w:ind w:left="-102"/>
              <w:jc w:val="center"/>
              <w:rPr>
                <w:rFonts w:ascii="Times New Roman" w:eastAsia="Calibri" w:hAnsi="Times New Roman"/>
                <w:sz w:val="20"/>
                <w:szCs w:val="20"/>
              </w:rPr>
            </w:pPr>
            <w:r w:rsidRPr="00577593">
              <w:rPr>
                <w:rFonts w:ascii="Times New Roman" w:eastAsia="Calibri" w:hAnsi="Times New Roman"/>
                <w:sz w:val="20"/>
                <w:szCs w:val="20"/>
              </w:rPr>
              <w:t>2023</w:t>
            </w:r>
            <w:r w:rsidR="008413D1" w:rsidRPr="00577593">
              <w:rPr>
                <w:rFonts w:ascii="Times New Roman" w:eastAsia="Calibri" w:hAnsi="Times New Roman"/>
                <w:sz w:val="20"/>
                <w:szCs w:val="20"/>
              </w:rPr>
              <w:t xml:space="preserve"> г.</w:t>
            </w:r>
          </w:p>
        </w:tc>
      </w:tr>
      <w:tr w:rsidR="00FC41F4" w:rsidRPr="00577593" w:rsidTr="00A65319">
        <w:trPr>
          <w:cantSplit/>
          <w:jc w:val="center"/>
        </w:trPr>
        <w:tc>
          <w:tcPr>
            <w:tcW w:w="3369" w:type="dxa"/>
            <w:vAlign w:val="center"/>
          </w:tcPr>
          <w:p w:rsidR="00FC41F4" w:rsidRPr="00577593" w:rsidRDefault="008925FA" w:rsidP="002000D4">
            <w:pPr>
              <w:spacing w:after="0" w:line="240" w:lineRule="auto"/>
              <w:rPr>
                <w:rFonts w:ascii="Times New Roman" w:eastAsia="Calibri" w:hAnsi="Times New Roman"/>
                <w:sz w:val="20"/>
                <w:szCs w:val="20"/>
              </w:rPr>
            </w:pPr>
            <w:r w:rsidRPr="00577593">
              <w:rPr>
                <w:rFonts w:ascii="Times New Roman" w:eastAsia="Calibri" w:hAnsi="Times New Roman"/>
                <w:sz w:val="20"/>
                <w:szCs w:val="20"/>
              </w:rPr>
              <w:t>Удельный вес автомобильных дорог общего пользования местного значения, соответствующих нормативным требованиям по транспортно-эксплуатационным показателям, в общей протяженности автомобильных дорог</w:t>
            </w:r>
          </w:p>
        </w:tc>
        <w:tc>
          <w:tcPr>
            <w:tcW w:w="850" w:type="dxa"/>
            <w:vAlign w:val="center"/>
          </w:tcPr>
          <w:p w:rsidR="00FC41F4" w:rsidRPr="00577593" w:rsidRDefault="008925FA" w:rsidP="002000D4">
            <w:pPr>
              <w:spacing w:after="0" w:line="240" w:lineRule="auto"/>
              <w:jc w:val="center"/>
              <w:rPr>
                <w:rFonts w:ascii="Times New Roman" w:eastAsia="Calibri" w:hAnsi="Times New Roman"/>
                <w:sz w:val="20"/>
                <w:szCs w:val="20"/>
              </w:rPr>
            </w:pPr>
            <w:r w:rsidRPr="00577593">
              <w:rPr>
                <w:rFonts w:ascii="Times New Roman" w:eastAsia="Calibri" w:hAnsi="Times New Roman"/>
                <w:sz w:val="20"/>
                <w:szCs w:val="20"/>
              </w:rPr>
              <w:t>н/д</w:t>
            </w:r>
          </w:p>
        </w:tc>
        <w:tc>
          <w:tcPr>
            <w:tcW w:w="851" w:type="dxa"/>
            <w:vAlign w:val="center"/>
          </w:tcPr>
          <w:p w:rsidR="00FC41F4" w:rsidRPr="00577593" w:rsidRDefault="008925FA" w:rsidP="002000D4">
            <w:pPr>
              <w:spacing w:after="0" w:line="240" w:lineRule="auto"/>
              <w:jc w:val="center"/>
              <w:rPr>
                <w:rFonts w:ascii="Times New Roman" w:eastAsia="Calibri" w:hAnsi="Times New Roman"/>
                <w:sz w:val="20"/>
                <w:szCs w:val="20"/>
              </w:rPr>
            </w:pPr>
            <w:r w:rsidRPr="00577593">
              <w:rPr>
                <w:rFonts w:ascii="Times New Roman" w:hAnsi="Times New Roman"/>
                <w:sz w:val="20"/>
                <w:szCs w:val="20"/>
              </w:rPr>
              <w:t>40,4</w:t>
            </w:r>
          </w:p>
        </w:tc>
        <w:tc>
          <w:tcPr>
            <w:tcW w:w="850" w:type="dxa"/>
            <w:vAlign w:val="center"/>
          </w:tcPr>
          <w:p w:rsidR="00FC41F4" w:rsidRPr="00577593" w:rsidRDefault="008925FA" w:rsidP="002000D4">
            <w:pPr>
              <w:spacing w:after="0" w:line="240" w:lineRule="auto"/>
              <w:jc w:val="center"/>
              <w:rPr>
                <w:rFonts w:ascii="Times New Roman" w:eastAsia="Calibri" w:hAnsi="Times New Roman"/>
                <w:sz w:val="20"/>
                <w:szCs w:val="20"/>
              </w:rPr>
            </w:pPr>
            <w:r w:rsidRPr="00577593">
              <w:rPr>
                <w:rFonts w:ascii="Times New Roman" w:hAnsi="Times New Roman"/>
                <w:sz w:val="20"/>
                <w:szCs w:val="20"/>
              </w:rPr>
              <w:t>40,9</w:t>
            </w:r>
          </w:p>
        </w:tc>
        <w:tc>
          <w:tcPr>
            <w:tcW w:w="851" w:type="dxa"/>
            <w:vAlign w:val="center"/>
          </w:tcPr>
          <w:p w:rsidR="00FC41F4" w:rsidRPr="00577593" w:rsidRDefault="008925FA" w:rsidP="002000D4">
            <w:pPr>
              <w:spacing w:after="0" w:line="240" w:lineRule="auto"/>
              <w:jc w:val="center"/>
              <w:rPr>
                <w:rFonts w:ascii="Times New Roman" w:eastAsia="Calibri" w:hAnsi="Times New Roman"/>
                <w:sz w:val="20"/>
                <w:szCs w:val="20"/>
              </w:rPr>
            </w:pPr>
            <w:r w:rsidRPr="00577593">
              <w:rPr>
                <w:rFonts w:ascii="Times New Roman" w:hAnsi="Times New Roman"/>
                <w:sz w:val="20"/>
                <w:szCs w:val="20"/>
              </w:rPr>
              <w:t>44,56</w:t>
            </w:r>
          </w:p>
        </w:tc>
        <w:tc>
          <w:tcPr>
            <w:tcW w:w="850" w:type="dxa"/>
            <w:vAlign w:val="center"/>
          </w:tcPr>
          <w:p w:rsidR="00FC41F4" w:rsidRPr="00577593" w:rsidRDefault="008925FA" w:rsidP="002000D4">
            <w:pPr>
              <w:spacing w:after="0" w:line="240" w:lineRule="auto"/>
              <w:jc w:val="center"/>
              <w:rPr>
                <w:rFonts w:ascii="Times New Roman" w:eastAsia="Calibri" w:hAnsi="Times New Roman"/>
                <w:sz w:val="20"/>
                <w:szCs w:val="20"/>
              </w:rPr>
            </w:pPr>
            <w:r w:rsidRPr="00577593">
              <w:rPr>
                <w:rFonts w:ascii="Times New Roman" w:hAnsi="Times New Roman"/>
                <w:sz w:val="20"/>
                <w:szCs w:val="20"/>
              </w:rPr>
              <w:t>44,95</w:t>
            </w:r>
          </w:p>
        </w:tc>
        <w:tc>
          <w:tcPr>
            <w:tcW w:w="851" w:type="dxa"/>
            <w:vAlign w:val="center"/>
          </w:tcPr>
          <w:p w:rsidR="00FC41F4" w:rsidRPr="00577593" w:rsidRDefault="008925FA" w:rsidP="002000D4">
            <w:pPr>
              <w:spacing w:after="0" w:line="240" w:lineRule="auto"/>
              <w:jc w:val="center"/>
              <w:rPr>
                <w:rFonts w:ascii="Times New Roman" w:eastAsia="Calibri" w:hAnsi="Times New Roman"/>
                <w:sz w:val="20"/>
                <w:szCs w:val="20"/>
              </w:rPr>
            </w:pPr>
            <w:r w:rsidRPr="00577593">
              <w:rPr>
                <w:rFonts w:ascii="Times New Roman" w:hAnsi="Times New Roman"/>
                <w:sz w:val="20"/>
                <w:szCs w:val="20"/>
              </w:rPr>
              <w:t>46,6</w:t>
            </w:r>
          </w:p>
        </w:tc>
        <w:tc>
          <w:tcPr>
            <w:tcW w:w="879" w:type="dxa"/>
            <w:vAlign w:val="center"/>
          </w:tcPr>
          <w:p w:rsidR="00FC41F4" w:rsidRPr="00577593" w:rsidRDefault="008925FA" w:rsidP="002000D4">
            <w:pPr>
              <w:spacing w:after="0" w:line="240" w:lineRule="auto"/>
              <w:jc w:val="center"/>
              <w:rPr>
                <w:rFonts w:ascii="Times New Roman" w:eastAsia="Calibri" w:hAnsi="Times New Roman"/>
                <w:sz w:val="20"/>
                <w:szCs w:val="20"/>
              </w:rPr>
            </w:pPr>
            <w:r w:rsidRPr="00577593">
              <w:rPr>
                <w:rFonts w:ascii="Times New Roman" w:hAnsi="Times New Roman"/>
                <w:sz w:val="20"/>
                <w:szCs w:val="20"/>
              </w:rPr>
              <w:t>47,4</w:t>
            </w:r>
          </w:p>
        </w:tc>
      </w:tr>
      <w:tr w:rsidR="00FC41F4" w:rsidRPr="00577593" w:rsidTr="00A65319">
        <w:trPr>
          <w:cantSplit/>
          <w:jc w:val="center"/>
        </w:trPr>
        <w:tc>
          <w:tcPr>
            <w:tcW w:w="3369" w:type="dxa"/>
            <w:vAlign w:val="center"/>
          </w:tcPr>
          <w:p w:rsidR="00FC41F4" w:rsidRPr="00577593" w:rsidRDefault="008925FA" w:rsidP="002000D4">
            <w:pPr>
              <w:spacing w:after="0" w:line="240" w:lineRule="auto"/>
              <w:rPr>
                <w:rFonts w:ascii="Times New Roman" w:eastAsia="Calibri" w:hAnsi="Times New Roman"/>
                <w:sz w:val="20"/>
                <w:szCs w:val="20"/>
              </w:rPr>
            </w:pPr>
            <w:r w:rsidRPr="00577593">
              <w:rPr>
                <w:rFonts w:ascii="Times New Roman" w:eastAsia="Calibri" w:hAnsi="Times New Roman"/>
                <w:sz w:val="20"/>
                <w:szCs w:val="20"/>
              </w:rPr>
              <w:t>Доля дорог местного значения города Барнаула, находящихся в нормативном состоянии, в рамках реализации национального проекта «Безопасные и качественные автомобильные дороги»</w:t>
            </w:r>
          </w:p>
        </w:tc>
        <w:tc>
          <w:tcPr>
            <w:tcW w:w="850" w:type="dxa"/>
            <w:vAlign w:val="center"/>
          </w:tcPr>
          <w:p w:rsidR="00FC41F4" w:rsidRPr="00577593" w:rsidRDefault="008925FA" w:rsidP="002000D4">
            <w:pPr>
              <w:spacing w:after="0" w:line="240" w:lineRule="auto"/>
              <w:jc w:val="center"/>
              <w:rPr>
                <w:rFonts w:ascii="Times New Roman" w:eastAsia="Calibri" w:hAnsi="Times New Roman"/>
                <w:sz w:val="20"/>
                <w:szCs w:val="20"/>
              </w:rPr>
            </w:pPr>
            <w:r w:rsidRPr="00577593">
              <w:rPr>
                <w:rFonts w:ascii="Times New Roman" w:eastAsia="Calibri" w:hAnsi="Times New Roman"/>
                <w:sz w:val="20"/>
                <w:szCs w:val="20"/>
              </w:rPr>
              <w:t>-</w:t>
            </w:r>
          </w:p>
        </w:tc>
        <w:tc>
          <w:tcPr>
            <w:tcW w:w="851" w:type="dxa"/>
            <w:vAlign w:val="center"/>
          </w:tcPr>
          <w:p w:rsidR="00FC41F4" w:rsidRPr="00577593" w:rsidRDefault="008925FA" w:rsidP="002000D4">
            <w:pPr>
              <w:spacing w:after="0" w:line="240" w:lineRule="auto"/>
              <w:jc w:val="center"/>
              <w:rPr>
                <w:rFonts w:ascii="Times New Roman" w:eastAsia="Calibri" w:hAnsi="Times New Roman"/>
                <w:sz w:val="20"/>
                <w:szCs w:val="20"/>
              </w:rPr>
            </w:pPr>
            <w:r w:rsidRPr="00577593">
              <w:rPr>
                <w:rFonts w:ascii="Times New Roman" w:eastAsia="Calibri" w:hAnsi="Times New Roman"/>
                <w:sz w:val="20"/>
                <w:szCs w:val="20"/>
              </w:rPr>
              <w:t>-</w:t>
            </w:r>
          </w:p>
        </w:tc>
        <w:tc>
          <w:tcPr>
            <w:tcW w:w="850" w:type="dxa"/>
            <w:vAlign w:val="center"/>
          </w:tcPr>
          <w:p w:rsidR="00FC41F4" w:rsidRPr="00577593" w:rsidRDefault="008925FA" w:rsidP="002000D4">
            <w:pPr>
              <w:spacing w:after="0" w:line="240" w:lineRule="auto"/>
              <w:jc w:val="center"/>
              <w:rPr>
                <w:rFonts w:ascii="Times New Roman" w:eastAsia="Calibri" w:hAnsi="Times New Roman"/>
                <w:sz w:val="20"/>
                <w:szCs w:val="20"/>
              </w:rPr>
            </w:pPr>
            <w:r w:rsidRPr="00577593">
              <w:rPr>
                <w:rFonts w:ascii="Times New Roman" w:eastAsia="Calibri" w:hAnsi="Times New Roman"/>
                <w:sz w:val="20"/>
                <w:szCs w:val="20"/>
              </w:rPr>
              <w:t>-</w:t>
            </w:r>
          </w:p>
        </w:tc>
        <w:tc>
          <w:tcPr>
            <w:tcW w:w="851" w:type="dxa"/>
            <w:vAlign w:val="center"/>
          </w:tcPr>
          <w:p w:rsidR="00FC41F4" w:rsidRPr="00577593" w:rsidRDefault="008925FA" w:rsidP="002000D4">
            <w:pPr>
              <w:spacing w:after="0" w:line="240" w:lineRule="auto"/>
              <w:jc w:val="center"/>
              <w:rPr>
                <w:rFonts w:ascii="Times New Roman" w:eastAsia="Calibri" w:hAnsi="Times New Roman"/>
                <w:sz w:val="20"/>
                <w:szCs w:val="20"/>
              </w:rPr>
            </w:pPr>
            <w:r w:rsidRPr="00577593">
              <w:rPr>
                <w:rFonts w:ascii="Times New Roman" w:hAnsi="Times New Roman"/>
                <w:sz w:val="20"/>
                <w:szCs w:val="20"/>
              </w:rPr>
              <w:t>71,4</w:t>
            </w:r>
          </w:p>
        </w:tc>
        <w:tc>
          <w:tcPr>
            <w:tcW w:w="850" w:type="dxa"/>
            <w:vAlign w:val="center"/>
          </w:tcPr>
          <w:p w:rsidR="00FC41F4" w:rsidRPr="00577593" w:rsidRDefault="008925FA" w:rsidP="002000D4">
            <w:pPr>
              <w:spacing w:after="0" w:line="240" w:lineRule="auto"/>
              <w:jc w:val="center"/>
              <w:rPr>
                <w:rFonts w:ascii="Times New Roman" w:eastAsia="Calibri" w:hAnsi="Times New Roman"/>
                <w:sz w:val="20"/>
                <w:szCs w:val="20"/>
              </w:rPr>
            </w:pPr>
            <w:r w:rsidRPr="00577593">
              <w:rPr>
                <w:rFonts w:ascii="Times New Roman" w:hAnsi="Times New Roman"/>
                <w:sz w:val="20"/>
                <w:szCs w:val="20"/>
              </w:rPr>
              <w:t>74,4</w:t>
            </w:r>
          </w:p>
        </w:tc>
        <w:tc>
          <w:tcPr>
            <w:tcW w:w="851" w:type="dxa"/>
            <w:vAlign w:val="center"/>
          </w:tcPr>
          <w:p w:rsidR="00FC41F4" w:rsidRPr="00577593" w:rsidRDefault="008925FA" w:rsidP="002000D4">
            <w:pPr>
              <w:spacing w:after="0" w:line="240" w:lineRule="auto"/>
              <w:jc w:val="center"/>
              <w:rPr>
                <w:rFonts w:ascii="Times New Roman" w:eastAsia="Calibri" w:hAnsi="Times New Roman"/>
                <w:sz w:val="20"/>
                <w:szCs w:val="20"/>
              </w:rPr>
            </w:pPr>
            <w:r w:rsidRPr="00577593">
              <w:rPr>
                <w:rFonts w:ascii="Times New Roman" w:hAnsi="Times New Roman"/>
                <w:sz w:val="20"/>
                <w:szCs w:val="20"/>
              </w:rPr>
              <w:t>78,25</w:t>
            </w:r>
          </w:p>
        </w:tc>
        <w:tc>
          <w:tcPr>
            <w:tcW w:w="879" w:type="dxa"/>
            <w:vAlign w:val="center"/>
          </w:tcPr>
          <w:p w:rsidR="00FC41F4" w:rsidRPr="00577593" w:rsidRDefault="008925FA" w:rsidP="002000D4">
            <w:pPr>
              <w:spacing w:after="0" w:line="240" w:lineRule="auto"/>
              <w:jc w:val="center"/>
              <w:rPr>
                <w:rFonts w:ascii="Times New Roman" w:eastAsia="Calibri" w:hAnsi="Times New Roman"/>
                <w:sz w:val="20"/>
                <w:szCs w:val="20"/>
              </w:rPr>
            </w:pPr>
            <w:r w:rsidRPr="00577593">
              <w:rPr>
                <w:rFonts w:ascii="Times New Roman" w:hAnsi="Times New Roman"/>
                <w:sz w:val="20"/>
                <w:szCs w:val="20"/>
              </w:rPr>
              <w:t>82,7</w:t>
            </w:r>
          </w:p>
        </w:tc>
      </w:tr>
      <w:tr w:rsidR="00FC41F4" w:rsidRPr="00577593" w:rsidTr="00A65319">
        <w:trPr>
          <w:cantSplit/>
          <w:jc w:val="center"/>
        </w:trPr>
        <w:tc>
          <w:tcPr>
            <w:tcW w:w="3369" w:type="dxa"/>
            <w:vAlign w:val="center"/>
          </w:tcPr>
          <w:p w:rsidR="00FC41F4" w:rsidRPr="00577593" w:rsidRDefault="008925FA" w:rsidP="002000D4">
            <w:pPr>
              <w:spacing w:after="0" w:line="240" w:lineRule="auto"/>
              <w:rPr>
                <w:rFonts w:ascii="Times New Roman" w:eastAsia="Calibri" w:hAnsi="Times New Roman"/>
                <w:sz w:val="20"/>
                <w:szCs w:val="20"/>
              </w:rPr>
            </w:pPr>
            <w:r w:rsidRPr="00577593">
              <w:rPr>
                <w:rFonts w:ascii="Times New Roman" w:eastAsia="Calibri" w:hAnsi="Times New Roman"/>
                <w:sz w:val="20"/>
                <w:szCs w:val="20"/>
              </w:rPr>
              <w:t>Доля освещенной улично-дорожной сети города в протяженности автомобильных дорог, прошедших техническую инвентаризацию</w:t>
            </w:r>
          </w:p>
        </w:tc>
        <w:tc>
          <w:tcPr>
            <w:tcW w:w="850" w:type="dxa"/>
            <w:vAlign w:val="center"/>
          </w:tcPr>
          <w:p w:rsidR="00FC41F4" w:rsidRPr="00577593" w:rsidRDefault="008925FA" w:rsidP="002000D4">
            <w:pPr>
              <w:spacing w:after="0" w:line="240" w:lineRule="auto"/>
              <w:jc w:val="center"/>
              <w:rPr>
                <w:rFonts w:ascii="Times New Roman" w:eastAsia="Calibri" w:hAnsi="Times New Roman"/>
                <w:sz w:val="20"/>
                <w:szCs w:val="20"/>
              </w:rPr>
            </w:pPr>
            <w:r w:rsidRPr="00577593">
              <w:rPr>
                <w:rFonts w:ascii="Times New Roman" w:hAnsi="Times New Roman"/>
                <w:sz w:val="20"/>
                <w:szCs w:val="20"/>
              </w:rPr>
              <w:t>48,48</w:t>
            </w:r>
          </w:p>
        </w:tc>
        <w:tc>
          <w:tcPr>
            <w:tcW w:w="851" w:type="dxa"/>
            <w:vAlign w:val="center"/>
          </w:tcPr>
          <w:p w:rsidR="00FC41F4" w:rsidRPr="00577593" w:rsidRDefault="008925FA" w:rsidP="002000D4">
            <w:pPr>
              <w:spacing w:after="0" w:line="240" w:lineRule="auto"/>
              <w:jc w:val="center"/>
              <w:rPr>
                <w:rFonts w:ascii="Times New Roman" w:eastAsia="Calibri" w:hAnsi="Times New Roman"/>
                <w:sz w:val="20"/>
                <w:szCs w:val="20"/>
              </w:rPr>
            </w:pPr>
            <w:r w:rsidRPr="00577593">
              <w:rPr>
                <w:rFonts w:ascii="Times New Roman" w:hAnsi="Times New Roman"/>
                <w:sz w:val="20"/>
                <w:szCs w:val="20"/>
              </w:rPr>
              <w:t>46,95</w:t>
            </w:r>
          </w:p>
        </w:tc>
        <w:tc>
          <w:tcPr>
            <w:tcW w:w="850" w:type="dxa"/>
            <w:vAlign w:val="center"/>
          </w:tcPr>
          <w:p w:rsidR="00FC41F4" w:rsidRPr="00577593" w:rsidRDefault="008925FA" w:rsidP="002000D4">
            <w:pPr>
              <w:spacing w:after="0" w:line="240" w:lineRule="auto"/>
              <w:jc w:val="center"/>
              <w:rPr>
                <w:rFonts w:ascii="Times New Roman" w:eastAsia="Calibri" w:hAnsi="Times New Roman"/>
                <w:sz w:val="20"/>
                <w:szCs w:val="20"/>
              </w:rPr>
            </w:pPr>
            <w:r w:rsidRPr="00577593">
              <w:rPr>
                <w:rFonts w:ascii="Times New Roman" w:hAnsi="Times New Roman"/>
                <w:sz w:val="20"/>
                <w:szCs w:val="20"/>
              </w:rPr>
              <w:t>49,24</w:t>
            </w:r>
          </w:p>
        </w:tc>
        <w:tc>
          <w:tcPr>
            <w:tcW w:w="851" w:type="dxa"/>
            <w:vAlign w:val="center"/>
          </w:tcPr>
          <w:p w:rsidR="00FC41F4" w:rsidRPr="00577593" w:rsidRDefault="008925FA" w:rsidP="002000D4">
            <w:pPr>
              <w:spacing w:after="0" w:line="240" w:lineRule="auto"/>
              <w:jc w:val="center"/>
              <w:rPr>
                <w:rFonts w:ascii="Times New Roman" w:eastAsia="Calibri" w:hAnsi="Times New Roman"/>
                <w:sz w:val="20"/>
                <w:szCs w:val="20"/>
              </w:rPr>
            </w:pPr>
            <w:r w:rsidRPr="00577593">
              <w:rPr>
                <w:rFonts w:ascii="Times New Roman" w:hAnsi="Times New Roman"/>
                <w:sz w:val="20"/>
                <w:szCs w:val="20"/>
              </w:rPr>
              <w:t>49,6</w:t>
            </w:r>
          </w:p>
        </w:tc>
        <w:tc>
          <w:tcPr>
            <w:tcW w:w="850" w:type="dxa"/>
            <w:vAlign w:val="center"/>
          </w:tcPr>
          <w:p w:rsidR="00FC41F4" w:rsidRPr="00577593" w:rsidRDefault="008925FA" w:rsidP="002000D4">
            <w:pPr>
              <w:spacing w:after="0" w:line="240" w:lineRule="auto"/>
              <w:jc w:val="center"/>
              <w:rPr>
                <w:rFonts w:ascii="Times New Roman" w:eastAsia="Calibri" w:hAnsi="Times New Roman"/>
                <w:sz w:val="20"/>
                <w:szCs w:val="20"/>
              </w:rPr>
            </w:pPr>
            <w:r w:rsidRPr="00577593">
              <w:rPr>
                <w:rFonts w:ascii="Times New Roman" w:hAnsi="Times New Roman"/>
                <w:sz w:val="20"/>
                <w:szCs w:val="20"/>
              </w:rPr>
              <w:t>51,1</w:t>
            </w:r>
          </w:p>
        </w:tc>
        <w:tc>
          <w:tcPr>
            <w:tcW w:w="851" w:type="dxa"/>
            <w:vAlign w:val="center"/>
          </w:tcPr>
          <w:p w:rsidR="00FC41F4" w:rsidRPr="00577593" w:rsidRDefault="008925FA" w:rsidP="002000D4">
            <w:pPr>
              <w:spacing w:after="0" w:line="240" w:lineRule="auto"/>
              <w:jc w:val="center"/>
              <w:rPr>
                <w:rFonts w:ascii="Times New Roman" w:eastAsia="Calibri" w:hAnsi="Times New Roman"/>
                <w:sz w:val="20"/>
                <w:szCs w:val="20"/>
              </w:rPr>
            </w:pPr>
            <w:r w:rsidRPr="00577593">
              <w:rPr>
                <w:rFonts w:ascii="Times New Roman" w:eastAsia="Calibri" w:hAnsi="Times New Roman"/>
                <w:sz w:val="20"/>
                <w:szCs w:val="20"/>
              </w:rPr>
              <w:t>53,55</w:t>
            </w:r>
          </w:p>
        </w:tc>
        <w:tc>
          <w:tcPr>
            <w:tcW w:w="879" w:type="dxa"/>
            <w:vAlign w:val="center"/>
          </w:tcPr>
          <w:p w:rsidR="00FC41F4" w:rsidRPr="00577593" w:rsidRDefault="008925FA" w:rsidP="002000D4">
            <w:pPr>
              <w:spacing w:after="0" w:line="240" w:lineRule="auto"/>
              <w:jc w:val="center"/>
              <w:rPr>
                <w:rFonts w:ascii="Times New Roman" w:hAnsi="Times New Roman"/>
                <w:sz w:val="20"/>
                <w:szCs w:val="20"/>
              </w:rPr>
            </w:pPr>
            <w:r w:rsidRPr="00577593">
              <w:rPr>
                <w:rFonts w:ascii="Times New Roman" w:hAnsi="Times New Roman"/>
                <w:sz w:val="20"/>
                <w:szCs w:val="20"/>
              </w:rPr>
              <w:t>54,1</w:t>
            </w:r>
          </w:p>
        </w:tc>
      </w:tr>
    </w:tbl>
    <w:p w:rsidR="00FC41F4" w:rsidRPr="00577593" w:rsidRDefault="008925FA" w:rsidP="002000D4">
      <w:pPr>
        <w:pStyle w:val="aff9"/>
        <w:ind w:firstLine="709"/>
        <w:jc w:val="both"/>
        <w:rPr>
          <w:rFonts w:ascii="Times New Roman" w:hAnsi="Times New Roman"/>
          <w:i w:val="0"/>
          <w:color w:val="auto"/>
          <w:sz w:val="28"/>
          <w:szCs w:val="28"/>
        </w:rPr>
      </w:pPr>
      <w:r w:rsidRPr="00577593">
        <w:rPr>
          <w:rFonts w:ascii="Times New Roman" w:hAnsi="Times New Roman"/>
          <w:i w:val="0"/>
          <w:color w:val="auto"/>
          <w:sz w:val="28"/>
          <w:szCs w:val="28"/>
        </w:rPr>
        <w:t xml:space="preserve">Примечание </w:t>
      </w:r>
      <w:r w:rsidR="00672709" w:rsidRPr="00577593">
        <w:rPr>
          <w:rFonts w:ascii="Times New Roman" w:hAnsi="Times New Roman"/>
          <w:i w:val="0"/>
          <w:color w:val="auto"/>
          <w:sz w:val="28"/>
          <w:szCs w:val="28"/>
        </w:rPr>
        <w:t>–</w:t>
      </w:r>
      <w:r w:rsidRPr="00577593">
        <w:rPr>
          <w:rFonts w:ascii="Times New Roman" w:hAnsi="Times New Roman"/>
          <w:i w:val="0"/>
          <w:color w:val="auto"/>
          <w:sz w:val="28"/>
          <w:szCs w:val="28"/>
        </w:rPr>
        <w:t xml:space="preserve"> Источник: данны</w:t>
      </w:r>
      <w:r w:rsidR="008413D1" w:rsidRPr="00577593">
        <w:rPr>
          <w:rFonts w:ascii="Times New Roman" w:hAnsi="Times New Roman"/>
          <w:i w:val="0"/>
          <w:color w:val="auto"/>
          <w:sz w:val="28"/>
          <w:szCs w:val="28"/>
        </w:rPr>
        <w:t>е</w:t>
      </w:r>
      <w:r w:rsidRPr="00577593">
        <w:rPr>
          <w:rFonts w:ascii="Times New Roman" w:hAnsi="Times New Roman"/>
          <w:i w:val="0"/>
          <w:color w:val="auto"/>
          <w:sz w:val="28"/>
          <w:szCs w:val="28"/>
        </w:rPr>
        <w:t xml:space="preserve"> </w:t>
      </w:r>
      <w:r w:rsidRPr="00577593">
        <w:rPr>
          <w:rFonts w:ascii="Times New Roman" w:hAnsi="Times New Roman"/>
          <w:i w:val="0"/>
          <w:iCs w:val="0"/>
          <w:color w:val="auto"/>
          <w:sz w:val="28"/>
          <w:szCs w:val="28"/>
        </w:rPr>
        <w:t>администрации</w:t>
      </w:r>
      <w:r w:rsidRPr="00577593">
        <w:rPr>
          <w:rFonts w:ascii="Times New Roman" w:hAnsi="Times New Roman"/>
          <w:i w:val="0"/>
          <w:color w:val="auto"/>
          <w:sz w:val="28"/>
          <w:szCs w:val="28"/>
        </w:rPr>
        <w:t xml:space="preserve"> города Барнаула</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К основным проблемам в сфере транспортной инфраструктуры можно отнести:</w:t>
      </w:r>
    </w:p>
    <w:p w:rsidR="00FC41F4" w:rsidRPr="00577593" w:rsidRDefault="008925FA" w:rsidP="002000D4">
      <w:pPr>
        <w:pStyle w:val="af5"/>
        <w:numPr>
          <w:ilvl w:val="0"/>
          <w:numId w:val="20"/>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 xml:space="preserve">износ подвижного состава общественного транспорта и общий дефицит инвестиций в отрасль; </w:t>
      </w:r>
    </w:p>
    <w:p w:rsidR="00A6560C" w:rsidRDefault="008925FA" w:rsidP="00A6560C">
      <w:pPr>
        <w:pStyle w:val="af5"/>
        <w:numPr>
          <w:ilvl w:val="0"/>
          <w:numId w:val="20"/>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 xml:space="preserve">отсутствие синхронизации дорожного строительства с жилищным строительством; </w:t>
      </w:r>
    </w:p>
    <w:p w:rsidR="00FC41F4" w:rsidRPr="00A6560C" w:rsidRDefault="008925FA" w:rsidP="0000746E">
      <w:pPr>
        <w:pStyle w:val="af5"/>
        <w:numPr>
          <w:ilvl w:val="0"/>
          <w:numId w:val="20"/>
        </w:numPr>
        <w:tabs>
          <w:tab w:val="left" w:pos="993"/>
        </w:tabs>
        <w:spacing w:after="0" w:line="240" w:lineRule="auto"/>
        <w:ind w:left="0" w:firstLine="709"/>
        <w:jc w:val="both"/>
        <w:rPr>
          <w:rFonts w:ascii="Times New Roman" w:eastAsia="Times New Roman" w:hAnsi="Times New Roman"/>
          <w:sz w:val="28"/>
          <w:szCs w:val="28"/>
          <w:lang w:eastAsia="ru-RU"/>
        </w:rPr>
      </w:pPr>
      <w:r w:rsidRPr="00A6560C">
        <w:rPr>
          <w:rFonts w:ascii="Times New Roman" w:eastAsia="Times New Roman" w:hAnsi="Times New Roman"/>
          <w:sz w:val="28"/>
          <w:szCs w:val="28"/>
          <w:lang w:eastAsia="ru-RU"/>
        </w:rPr>
        <w:t xml:space="preserve">наличие </w:t>
      </w:r>
      <w:r w:rsidR="00A6560C" w:rsidRPr="00A6560C">
        <w:rPr>
          <w:rFonts w:ascii="Times New Roman" w:eastAsia="Times New Roman" w:hAnsi="Times New Roman"/>
          <w:sz w:val="28"/>
          <w:szCs w:val="28"/>
          <w:lang w:eastAsia="ru-RU"/>
        </w:rPr>
        <w:t>в улично-дорожной сети города узких мест, вызывающих образование транспортных заторов и снижение пропускной способности;</w:t>
      </w:r>
    </w:p>
    <w:p w:rsidR="006A68F2" w:rsidRPr="00577593" w:rsidRDefault="008925FA" w:rsidP="00282158">
      <w:pPr>
        <w:pStyle w:val="af5"/>
        <w:numPr>
          <w:ilvl w:val="0"/>
          <w:numId w:val="20"/>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 xml:space="preserve">высокие бюджетные издержки на содержание новых дорог </w:t>
      </w:r>
      <w:r w:rsidR="007E541E" w:rsidRPr="00577593">
        <w:rPr>
          <w:rFonts w:ascii="Times New Roman" w:eastAsia="Times New Roman" w:hAnsi="Times New Roman"/>
          <w:sz w:val="28"/>
          <w:szCs w:val="28"/>
          <w:lang w:eastAsia="ru-RU"/>
        </w:rPr>
        <w:br/>
      </w:r>
      <w:r w:rsidRPr="00577593">
        <w:rPr>
          <w:rFonts w:ascii="Times New Roman" w:eastAsia="Times New Roman" w:hAnsi="Times New Roman"/>
          <w:sz w:val="28"/>
          <w:szCs w:val="28"/>
          <w:lang w:eastAsia="ru-RU"/>
        </w:rPr>
        <w:t>на территориях нового жилищного строительства.</w:t>
      </w:r>
      <w:bookmarkStart w:id="158" w:name="_Toc212804280"/>
    </w:p>
    <w:p w:rsidR="00AB43F5" w:rsidRPr="00A6560C" w:rsidRDefault="00AB43F5" w:rsidP="002000D4">
      <w:pPr>
        <w:pStyle w:val="3"/>
        <w:spacing w:before="0" w:line="240" w:lineRule="auto"/>
        <w:ind w:firstLine="709"/>
        <w:rPr>
          <w:rFonts w:ascii="Times New Roman" w:hAnsi="Times New Roman"/>
          <w:b/>
          <w:color w:val="auto"/>
        </w:rPr>
      </w:pPr>
    </w:p>
    <w:p w:rsidR="00FC41F4" w:rsidRPr="00577593" w:rsidRDefault="008925FA" w:rsidP="002000D4">
      <w:pPr>
        <w:pStyle w:val="3"/>
        <w:spacing w:before="0" w:line="240" w:lineRule="auto"/>
        <w:ind w:firstLine="709"/>
        <w:rPr>
          <w:rFonts w:ascii="Times New Roman" w:hAnsi="Times New Roman"/>
          <w:b/>
          <w:color w:val="auto"/>
          <w:sz w:val="28"/>
          <w:szCs w:val="28"/>
        </w:rPr>
      </w:pPr>
      <w:r w:rsidRPr="00577593">
        <w:rPr>
          <w:rFonts w:ascii="Times New Roman" w:hAnsi="Times New Roman"/>
          <w:b/>
          <w:color w:val="auto"/>
          <w:sz w:val="28"/>
          <w:szCs w:val="28"/>
        </w:rPr>
        <w:t>2.8</w:t>
      </w:r>
      <w:r w:rsidR="00D739E3">
        <w:rPr>
          <w:rFonts w:ascii="Times New Roman" w:hAnsi="Times New Roman"/>
          <w:b/>
          <w:color w:val="auto"/>
          <w:sz w:val="28"/>
          <w:szCs w:val="28"/>
        </w:rPr>
        <w:t>.</w:t>
      </w:r>
      <w:r w:rsidRPr="00577593">
        <w:rPr>
          <w:rFonts w:ascii="Times New Roman" w:hAnsi="Times New Roman"/>
          <w:b/>
          <w:color w:val="auto"/>
          <w:sz w:val="28"/>
          <w:szCs w:val="28"/>
        </w:rPr>
        <w:t xml:space="preserve"> Пространственное развитие</w:t>
      </w:r>
      <w:bookmarkEnd w:id="158"/>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Городской округ имеет сложную пространственную организацию территории </w:t>
      </w:r>
      <w:r w:rsidR="00672709" w:rsidRPr="00577593">
        <w:rPr>
          <w:rFonts w:ascii="Times New Roman" w:hAnsi="Times New Roman"/>
          <w:sz w:val="28"/>
          <w:szCs w:val="28"/>
        </w:rPr>
        <w:t>–</w:t>
      </w:r>
      <w:r w:rsidRPr="00577593">
        <w:rPr>
          <w:rFonts w:ascii="Times New Roman" w:hAnsi="Times New Roman"/>
          <w:sz w:val="28"/>
          <w:szCs w:val="28"/>
        </w:rPr>
        <w:t xml:space="preserve"> ядро в виде самого города Барнаула и пригородной зоны, состоящей из</w:t>
      </w:r>
      <w:r w:rsidR="00A6560C">
        <w:rPr>
          <w:rFonts w:ascii="Times New Roman" w:hAnsi="Times New Roman"/>
          <w:sz w:val="28"/>
          <w:szCs w:val="28"/>
        </w:rPr>
        <w:t xml:space="preserve"> </w:t>
      </w:r>
      <w:r w:rsidRPr="00577593">
        <w:rPr>
          <w:rFonts w:ascii="Times New Roman" w:hAnsi="Times New Roman"/>
          <w:sz w:val="28"/>
          <w:szCs w:val="28"/>
        </w:rPr>
        <w:t xml:space="preserve">поселков и сельских населенных пунктов. </w:t>
      </w:r>
      <w:r w:rsidR="00A6560C">
        <w:rPr>
          <w:rFonts w:ascii="Times New Roman" w:hAnsi="Times New Roman"/>
          <w:sz w:val="28"/>
          <w:szCs w:val="28"/>
        </w:rPr>
        <w:br/>
      </w:r>
      <w:r w:rsidRPr="00577593">
        <w:rPr>
          <w:rFonts w:ascii="Times New Roman" w:hAnsi="Times New Roman"/>
          <w:sz w:val="28"/>
          <w:szCs w:val="28"/>
        </w:rPr>
        <w:lastRenderedPageBreak/>
        <w:t>Такое разделение создает разный потенциал обеспечения доступности общественных, коммунальных и коммерческих услуг.</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Исследователи НИУ ВШЭ отнесли </w:t>
      </w:r>
      <w:r w:rsidR="00274CDA">
        <w:rPr>
          <w:rFonts w:ascii="Times New Roman" w:hAnsi="Times New Roman"/>
          <w:sz w:val="28"/>
          <w:szCs w:val="28"/>
        </w:rPr>
        <w:t xml:space="preserve">город </w:t>
      </w:r>
      <w:r w:rsidRPr="00577593">
        <w:rPr>
          <w:rFonts w:ascii="Times New Roman" w:hAnsi="Times New Roman"/>
          <w:sz w:val="28"/>
          <w:szCs w:val="28"/>
        </w:rPr>
        <w:t xml:space="preserve">Барнаул к группе городов с обычным разрастанием. За постсоветский период площадь жилищного фонда более чем удвоилась при небольшом приросте численности населения. На смешанную индивидуальную застройку приходится 29% площади города (для сравнения, в Краснодаре при благоприятном климате </w:t>
      </w:r>
      <w:r w:rsidR="00672709" w:rsidRPr="00577593">
        <w:rPr>
          <w:rFonts w:ascii="Times New Roman" w:hAnsi="Times New Roman"/>
          <w:sz w:val="28"/>
          <w:szCs w:val="28"/>
        </w:rPr>
        <w:t>–</w:t>
      </w:r>
      <w:r w:rsidRPr="00577593">
        <w:rPr>
          <w:rFonts w:ascii="Times New Roman" w:hAnsi="Times New Roman"/>
          <w:sz w:val="28"/>
          <w:szCs w:val="28"/>
        </w:rPr>
        <w:t xml:space="preserve"> 31%). При этом основная часть населения размещена на окраине города (</w:t>
      </w:r>
      <w:r w:rsidR="00D558A5">
        <w:fldChar w:fldCharType="begin"/>
      </w:r>
      <w:r w:rsidR="00D558A5">
        <w:instrText xml:space="preserve"> REF _Ref199462738 \h  \* MERGEFORMAT </w:instrText>
      </w:r>
      <w:r w:rsidR="00D558A5">
        <w:fldChar w:fldCharType="separate"/>
      </w:r>
      <w:r w:rsidR="00071499" w:rsidRPr="00577593">
        <w:rPr>
          <w:rFonts w:ascii="Times New Roman" w:hAnsi="Times New Roman"/>
          <w:sz w:val="28"/>
          <w:szCs w:val="28"/>
        </w:rPr>
        <w:t xml:space="preserve">Рисунок </w:t>
      </w:r>
      <w:r w:rsidR="00D558A5">
        <w:fldChar w:fldCharType="end"/>
      </w:r>
      <w:r w:rsidR="00CE13E1">
        <w:rPr>
          <w:rFonts w:ascii="Times New Roman" w:hAnsi="Times New Roman"/>
          <w:sz w:val="28"/>
          <w:szCs w:val="28"/>
        </w:rPr>
        <w:t>45</w:t>
      </w:r>
      <w:r w:rsidRPr="00577593">
        <w:rPr>
          <w:rFonts w:ascii="Times New Roman" w:hAnsi="Times New Roman"/>
          <w:sz w:val="28"/>
          <w:szCs w:val="28"/>
        </w:rPr>
        <w:t xml:space="preserve">), что связано с индустриальным этапом развития города в советское время: жилье размещалось рядом с рабочими местами </w:t>
      </w:r>
      <w:r w:rsidR="00A65319">
        <w:rPr>
          <w:rFonts w:ascii="Times New Roman" w:hAnsi="Times New Roman"/>
          <w:sz w:val="28"/>
          <w:szCs w:val="28"/>
        </w:rPr>
        <w:br/>
      </w:r>
      <w:r w:rsidRPr="00577593">
        <w:rPr>
          <w:rFonts w:ascii="Times New Roman" w:hAnsi="Times New Roman"/>
          <w:sz w:val="28"/>
          <w:szCs w:val="28"/>
        </w:rPr>
        <w:t>(в данном случае заводами).</w:t>
      </w:r>
    </w:p>
    <w:p w:rsidR="00FC41F4" w:rsidRPr="00577593" w:rsidRDefault="000D3F7A" w:rsidP="002000D4">
      <w:pPr>
        <w:spacing w:after="0" w:line="240" w:lineRule="auto"/>
        <w:jc w:val="center"/>
        <w:rPr>
          <w:rFonts w:ascii="Times New Roman" w:hAnsi="Times New Roman"/>
          <w:sz w:val="24"/>
          <w:szCs w:val="24"/>
        </w:rPr>
      </w:pPr>
      <w:r w:rsidRPr="00577593">
        <w:rPr>
          <w:rFonts w:ascii="Times New Roman" w:hAnsi="Times New Roman"/>
          <w:noProof/>
          <w:sz w:val="24"/>
          <w:lang w:eastAsia="ru-RU"/>
        </w:rPr>
        <w:drawing>
          <wp:inline distT="0" distB="0" distL="0" distR="0">
            <wp:extent cx="3762375" cy="3762375"/>
            <wp:effectExtent l="0" t="0" r="9525" b="9525"/>
            <wp:docPr id="4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762375" cy="3762375"/>
                    </a:xfrm>
                    <a:prstGeom prst="rect">
                      <a:avLst/>
                    </a:prstGeom>
                    <a:noFill/>
                    <a:ln>
                      <a:noFill/>
                    </a:ln>
                  </pic:spPr>
                </pic:pic>
              </a:graphicData>
            </a:graphic>
          </wp:inline>
        </w:drawing>
      </w:r>
    </w:p>
    <w:p w:rsidR="00FC41F4" w:rsidRDefault="008925FA" w:rsidP="00B47E22">
      <w:pPr>
        <w:spacing w:after="0" w:line="240" w:lineRule="auto"/>
        <w:jc w:val="center"/>
        <w:rPr>
          <w:rFonts w:ascii="Times New Roman" w:hAnsi="Times New Roman"/>
          <w:sz w:val="28"/>
          <w:szCs w:val="28"/>
        </w:rPr>
      </w:pPr>
      <w:bookmarkStart w:id="159" w:name="_Ref199462738"/>
      <w:r w:rsidRPr="00577593">
        <w:rPr>
          <w:rFonts w:ascii="Times New Roman" w:hAnsi="Times New Roman"/>
          <w:sz w:val="28"/>
          <w:szCs w:val="28"/>
        </w:rPr>
        <w:t xml:space="preserve">Рисунок </w:t>
      </w:r>
      <w:bookmarkEnd w:id="159"/>
      <w:r w:rsidR="00CE13E1">
        <w:rPr>
          <w:rFonts w:ascii="Times New Roman" w:hAnsi="Times New Roman"/>
          <w:sz w:val="28"/>
          <w:szCs w:val="28"/>
        </w:rPr>
        <w:t>45</w:t>
      </w:r>
      <w:r w:rsidRPr="00577593">
        <w:rPr>
          <w:rFonts w:ascii="Times New Roman" w:hAnsi="Times New Roman"/>
          <w:sz w:val="28"/>
          <w:szCs w:val="28"/>
        </w:rPr>
        <w:t xml:space="preserve"> </w:t>
      </w:r>
      <w:r w:rsidR="00672709" w:rsidRPr="00577593">
        <w:rPr>
          <w:rFonts w:ascii="Times New Roman" w:hAnsi="Times New Roman"/>
          <w:sz w:val="28"/>
          <w:szCs w:val="28"/>
        </w:rPr>
        <w:t>–</w:t>
      </w:r>
      <w:r w:rsidRPr="00577593">
        <w:rPr>
          <w:rFonts w:ascii="Times New Roman" w:hAnsi="Times New Roman"/>
          <w:sz w:val="28"/>
          <w:szCs w:val="28"/>
        </w:rPr>
        <w:t xml:space="preserve"> Схема плотности застройки</w:t>
      </w:r>
      <w:r w:rsidR="00274CDA">
        <w:rPr>
          <w:rFonts w:ascii="Times New Roman" w:hAnsi="Times New Roman"/>
          <w:sz w:val="28"/>
          <w:szCs w:val="28"/>
        </w:rPr>
        <w:t xml:space="preserve"> города</w:t>
      </w:r>
      <w:r w:rsidRPr="00577593">
        <w:rPr>
          <w:rFonts w:ascii="Times New Roman" w:hAnsi="Times New Roman"/>
          <w:sz w:val="28"/>
          <w:szCs w:val="28"/>
        </w:rPr>
        <w:t xml:space="preserve"> Барнаула</w:t>
      </w:r>
    </w:p>
    <w:p w:rsidR="00B47E22" w:rsidRPr="00577593" w:rsidRDefault="00B47E22" w:rsidP="00B47E22">
      <w:pPr>
        <w:pStyle w:val="aff9"/>
        <w:spacing w:after="0"/>
        <w:rPr>
          <w:rFonts w:ascii="Times New Roman" w:hAnsi="Times New Roman"/>
          <w:i w:val="0"/>
          <w:color w:val="auto"/>
          <w:sz w:val="28"/>
          <w:szCs w:val="28"/>
        </w:rPr>
      </w:pPr>
      <w:r w:rsidRPr="00577593">
        <w:rPr>
          <w:rFonts w:ascii="Times New Roman" w:hAnsi="Times New Roman"/>
          <w:i w:val="0"/>
          <w:color w:val="auto"/>
          <w:sz w:val="28"/>
          <w:szCs w:val="28"/>
        </w:rPr>
        <w:t>Примечание – Источник: по данным открытых источников</w:t>
      </w:r>
    </w:p>
    <w:p w:rsidR="00B47E22" w:rsidRDefault="00B47E22" w:rsidP="002000D4">
      <w:pPr>
        <w:spacing w:after="0" w:line="240" w:lineRule="auto"/>
        <w:ind w:firstLine="709"/>
        <w:jc w:val="both"/>
        <w:rPr>
          <w:rFonts w:ascii="Times New Roman" w:hAnsi="Times New Roman"/>
          <w:sz w:val="28"/>
          <w:szCs w:val="28"/>
        </w:rPr>
      </w:pP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Пространственная структура самого города Барнаула также отличается сложностью и неоднородностью, которые создают как ограничения для развития, так и имеют потенциал задать иной вектор развития города. Существующие пространственные особенности и ограничения для развития </w:t>
      </w:r>
      <w:r w:rsidR="00A65319">
        <w:rPr>
          <w:rFonts w:ascii="Times New Roman" w:hAnsi="Times New Roman"/>
          <w:sz w:val="28"/>
          <w:szCs w:val="28"/>
        </w:rPr>
        <w:t xml:space="preserve">города </w:t>
      </w:r>
      <w:r w:rsidRPr="00577593">
        <w:rPr>
          <w:rFonts w:ascii="Times New Roman" w:hAnsi="Times New Roman"/>
          <w:sz w:val="28"/>
          <w:szCs w:val="28"/>
        </w:rPr>
        <w:t>Барнаула:</w:t>
      </w:r>
    </w:p>
    <w:p w:rsidR="00FC41F4" w:rsidRPr="00577593" w:rsidRDefault="008925FA" w:rsidP="002000D4">
      <w:pPr>
        <w:pStyle w:val="af5"/>
        <w:numPr>
          <w:ilvl w:val="0"/>
          <w:numId w:val="5"/>
        </w:numPr>
        <w:tabs>
          <w:tab w:val="left" w:pos="993"/>
        </w:tabs>
        <w:spacing w:after="0" w:line="240" w:lineRule="auto"/>
        <w:ind w:left="0" w:firstLine="709"/>
        <w:jc w:val="both"/>
        <w:rPr>
          <w:rFonts w:ascii="Times New Roman" w:hAnsi="Times New Roman"/>
          <w:sz w:val="28"/>
          <w:szCs w:val="28"/>
        </w:rPr>
      </w:pPr>
      <w:r w:rsidRPr="00577593">
        <w:rPr>
          <w:rFonts w:ascii="Times New Roman" w:hAnsi="Times New Roman"/>
          <w:sz w:val="28"/>
          <w:szCs w:val="28"/>
        </w:rPr>
        <w:t>Город расположен на левом берегу реки Об</w:t>
      </w:r>
      <w:r w:rsidR="00E85445">
        <w:rPr>
          <w:rFonts w:ascii="Times New Roman" w:hAnsi="Times New Roman"/>
          <w:sz w:val="28"/>
          <w:szCs w:val="28"/>
        </w:rPr>
        <w:t>и</w:t>
      </w:r>
      <w:r w:rsidRPr="00577593">
        <w:rPr>
          <w:rFonts w:ascii="Times New Roman" w:hAnsi="Times New Roman"/>
          <w:sz w:val="28"/>
          <w:szCs w:val="28"/>
        </w:rPr>
        <w:t xml:space="preserve">, развитие на правом берегу ограничено тем, что вся правобережная сторона находится в зоне подтопления. Освоение этой заречной части, заложенное </w:t>
      </w:r>
      <w:r w:rsidR="00A6560C">
        <w:rPr>
          <w:rFonts w:ascii="Times New Roman" w:hAnsi="Times New Roman"/>
          <w:sz w:val="28"/>
          <w:szCs w:val="28"/>
        </w:rPr>
        <w:t>Г</w:t>
      </w:r>
      <w:r w:rsidRPr="00577593">
        <w:rPr>
          <w:rFonts w:ascii="Times New Roman" w:hAnsi="Times New Roman"/>
          <w:sz w:val="28"/>
          <w:szCs w:val="28"/>
        </w:rPr>
        <w:t xml:space="preserve">енеральным планом, потребует строительства водозащитных сооружений.   </w:t>
      </w:r>
    </w:p>
    <w:p w:rsidR="00FC41F4" w:rsidRPr="00577593" w:rsidRDefault="008925FA" w:rsidP="002000D4">
      <w:pPr>
        <w:pStyle w:val="af5"/>
        <w:numPr>
          <w:ilvl w:val="0"/>
          <w:numId w:val="5"/>
        </w:numPr>
        <w:tabs>
          <w:tab w:val="left" w:pos="993"/>
        </w:tabs>
        <w:spacing w:after="0" w:line="240" w:lineRule="auto"/>
        <w:ind w:left="0" w:firstLine="709"/>
        <w:jc w:val="both"/>
        <w:rPr>
          <w:rFonts w:ascii="Times New Roman" w:hAnsi="Times New Roman"/>
          <w:sz w:val="28"/>
          <w:szCs w:val="28"/>
        </w:rPr>
      </w:pPr>
      <w:r w:rsidRPr="00577593">
        <w:rPr>
          <w:rFonts w:ascii="Times New Roman" w:hAnsi="Times New Roman"/>
          <w:sz w:val="28"/>
          <w:szCs w:val="28"/>
        </w:rPr>
        <w:t xml:space="preserve">Город разделен на две части железной дорогой, отделяющей исторический центр от основной жилой и промышленной позднесоветской </w:t>
      </w:r>
      <w:r w:rsidRPr="00577593">
        <w:rPr>
          <w:rFonts w:ascii="Times New Roman" w:hAnsi="Times New Roman"/>
          <w:sz w:val="28"/>
          <w:szCs w:val="28"/>
        </w:rPr>
        <w:lastRenderedPageBreak/>
        <w:t>застройки. Железная дорога затрудняет связь между разными районами города.</w:t>
      </w:r>
    </w:p>
    <w:p w:rsidR="00FC41F4" w:rsidRPr="00577593" w:rsidRDefault="008925FA" w:rsidP="002000D4">
      <w:pPr>
        <w:pStyle w:val="af5"/>
        <w:numPr>
          <w:ilvl w:val="0"/>
          <w:numId w:val="5"/>
        </w:numPr>
        <w:tabs>
          <w:tab w:val="left" w:pos="993"/>
        </w:tabs>
        <w:spacing w:after="0" w:line="240" w:lineRule="auto"/>
        <w:ind w:left="0" w:firstLine="709"/>
        <w:jc w:val="both"/>
        <w:rPr>
          <w:rFonts w:ascii="Times New Roman" w:hAnsi="Times New Roman"/>
          <w:sz w:val="28"/>
          <w:szCs w:val="28"/>
        </w:rPr>
      </w:pPr>
      <w:r w:rsidRPr="00577593">
        <w:rPr>
          <w:rFonts w:ascii="Times New Roman" w:hAnsi="Times New Roman"/>
          <w:sz w:val="28"/>
          <w:szCs w:val="28"/>
        </w:rPr>
        <w:t>Рыхлая пространственная структура города из-за включения в ткань города больших по площади территорий индивидуальной малоэтажной застройки (</w:t>
      </w:r>
      <w:r w:rsidR="00D558A5">
        <w:fldChar w:fldCharType="begin"/>
      </w:r>
      <w:r w:rsidR="00D558A5">
        <w:instrText xml:space="preserve"> REF _Ref199463026 \h  \* MERGEFORMAT </w:instrText>
      </w:r>
      <w:r w:rsidR="00D558A5">
        <w:fldChar w:fldCharType="separate"/>
      </w:r>
      <w:r w:rsidR="00071499" w:rsidRPr="00577593">
        <w:rPr>
          <w:rFonts w:ascii="Times New Roman" w:hAnsi="Times New Roman"/>
          <w:sz w:val="28"/>
          <w:szCs w:val="28"/>
        </w:rPr>
        <w:t xml:space="preserve">Рисунок </w:t>
      </w:r>
      <w:r w:rsidR="00D558A5">
        <w:fldChar w:fldCharType="end"/>
      </w:r>
      <w:r w:rsidR="00CE13E1">
        <w:rPr>
          <w:rFonts w:ascii="Times New Roman" w:hAnsi="Times New Roman"/>
          <w:sz w:val="28"/>
          <w:szCs w:val="28"/>
        </w:rPr>
        <w:t>46</w:t>
      </w:r>
      <w:r w:rsidRPr="00577593">
        <w:rPr>
          <w:rFonts w:ascii="Times New Roman" w:hAnsi="Times New Roman"/>
          <w:sz w:val="28"/>
          <w:szCs w:val="28"/>
        </w:rPr>
        <w:t>), которая чередуется с территориями, застроенными многоквартирными домами. Чересполосица связана с историей развития и расширения города, его пространственной эволюции</w:t>
      </w:r>
      <w:r w:rsidR="00A65319">
        <w:rPr>
          <w:rFonts w:ascii="Times New Roman" w:hAnsi="Times New Roman"/>
          <w:sz w:val="28"/>
          <w:szCs w:val="28"/>
        </w:rPr>
        <w:t>:</w:t>
      </w:r>
    </w:p>
    <w:p w:rsidR="00FC41F4" w:rsidRPr="00870B8F" w:rsidRDefault="00870B8F" w:rsidP="00870B8F">
      <w:pPr>
        <w:tabs>
          <w:tab w:val="left" w:pos="142"/>
        </w:tabs>
        <w:spacing w:after="0" w:line="240" w:lineRule="auto"/>
        <w:ind w:firstLine="709"/>
        <w:jc w:val="both"/>
        <w:rPr>
          <w:rFonts w:ascii="Times New Roman" w:hAnsi="Times New Roman"/>
          <w:sz w:val="28"/>
          <w:szCs w:val="28"/>
        </w:rPr>
      </w:pPr>
      <w:r>
        <w:rPr>
          <w:rFonts w:ascii="Times New Roman" w:hAnsi="Times New Roman"/>
          <w:sz w:val="28"/>
          <w:szCs w:val="28"/>
        </w:rPr>
        <w:t xml:space="preserve">– в </w:t>
      </w:r>
      <w:r w:rsidR="008925FA" w:rsidRPr="00870B8F">
        <w:rPr>
          <w:rFonts w:ascii="Times New Roman" w:hAnsi="Times New Roman"/>
          <w:sz w:val="28"/>
          <w:szCs w:val="28"/>
        </w:rPr>
        <w:t>историческом центр</w:t>
      </w:r>
      <w:r>
        <w:rPr>
          <w:rFonts w:ascii="Times New Roman" w:hAnsi="Times New Roman"/>
          <w:sz w:val="28"/>
          <w:szCs w:val="28"/>
        </w:rPr>
        <w:t>е ИЖС размещено вдоль берега р.</w:t>
      </w:r>
      <w:r w:rsidR="008925FA" w:rsidRPr="00870B8F">
        <w:rPr>
          <w:rFonts w:ascii="Times New Roman" w:hAnsi="Times New Roman"/>
          <w:sz w:val="28"/>
          <w:szCs w:val="28"/>
        </w:rPr>
        <w:t xml:space="preserve">Обь напротив острова Побочень и вдоль улицы Аванесова; кварталы ИЖС размещены вдоль улицы Челюскинцев. В Железнодорожном районе расположен </w:t>
      </w:r>
      <w:r w:rsidR="00A6560C">
        <w:rPr>
          <w:rFonts w:ascii="Times New Roman" w:hAnsi="Times New Roman"/>
          <w:sz w:val="28"/>
          <w:szCs w:val="28"/>
        </w:rPr>
        <w:t>микрорайон</w:t>
      </w:r>
      <w:r w:rsidR="008925FA" w:rsidRPr="00870B8F">
        <w:rPr>
          <w:rFonts w:ascii="Times New Roman" w:hAnsi="Times New Roman"/>
          <w:sz w:val="28"/>
          <w:szCs w:val="28"/>
        </w:rPr>
        <w:t xml:space="preserve"> Осипенко, застроенный малоэтажными домами, ИЖС вдоль улицы Советской Армии</w:t>
      </w:r>
      <w:r w:rsidR="00A65319" w:rsidRPr="00870B8F">
        <w:rPr>
          <w:rFonts w:ascii="Times New Roman" w:hAnsi="Times New Roman"/>
          <w:sz w:val="28"/>
          <w:szCs w:val="28"/>
        </w:rPr>
        <w:t>, кварталы вдоль реки Пивоварки;</w:t>
      </w:r>
      <w:r w:rsidR="008925FA" w:rsidRPr="00870B8F">
        <w:rPr>
          <w:rFonts w:ascii="Times New Roman" w:hAnsi="Times New Roman"/>
          <w:sz w:val="28"/>
          <w:szCs w:val="28"/>
        </w:rPr>
        <w:t xml:space="preserve"> </w:t>
      </w:r>
    </w:p>
    <w:p w:rsidR="00FC41F4" w:rsidRPr="00870B8F" w:rsidRDefault="00870B8F" w:rsidP="00870B8F">
      <w:pPr>
        <w:tabs>
          <w:tab w:val="left" w:pos="0"/>
        </w:tabs>
        <w:spacing w:after="0" w:line="240" w:lineRule="auto"/>
        <w:ind w:left="142" w:firstLine="567"/>
        <w:jc w:val="both"/>
        <w:rPr>
          <w:rFonts w:ascii="Times New Roman" w:hAnsi="Times New Roman"/>
          <w:sz w:val="28"/>
          <w:szCs w:val="28"/>
        </w:rPr>
      </w:pPr>
      <w:r>
        <w:rPr>
          <w:rFonts w:ascii="Times New Roman" w:hAnsi="Times New Roman"/>
          <w:sz w:val="28"/>
          <w:szCs w:val="28"/>
        </w:rPr>
        <w:t xml:space="preserve">– </w:t>
      </w:r>
      <w:r w:rsidR="00A65319" w:rsidRPr="00870B8F">
        <w:rPr>
          <w:rFonts w:ascii="Times New Roman" w:hAnsi="Times New Roman"/>
          <w:sz w:val="28"/>
          <w:szCs w:val="28"/>
        </w:rPr>
        <w:t>м</w:t>
      </w:r>
      <w:r w:rsidR="008925FA" w:rsidRPr="00870B8F">
        <w:rPr>
          <w:rFonts w:ascii="Times New Roman" w:hAnsi="Times New Roman"/>
          <w:sz w:val="28"/>
          <w:szCs w:val="28"/>
        </w:rPr>
        <w:t xml:space="preserve">ногоэтажная застройка размещена вдоль проспекта Ленина, однако она же зажата между производственными зонами (Восточный микрорайон) </w:t>
      </w:r>
      <w:r w:rsidR="00A65319" w:rsidRPr="00870B8F">
        <w:rPr>
          <w:rFonts w:ascii="Times New Roman" w:hAnsi="Times New Roman"/>
          <w:sz w:val="28"/>
          <w:szCs w:val="28"/>
        </w:rPr>
        <w:t>и ИЖС вдоль реки Пивоварки;</w:t>
      </w:r>
    </w:p>
    <w:p w:rsidR="00FC41F4" w:rsidRPr="00870B8F" w:rsidRDefault="00870B8F" w:rsidP="00A6560C">
      <w:pPr>
        <w:tabs>
          <w:tab w:val="left" w:pos="993"/>
        </w:tabs>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A65319" w:rsidRPr="00870B8F">
        <w:rPr>
          <w:rFonts w:ascii="Times New Roman" w:hAnsi="Times New Roman"/>
          <w:sz w:val="28"/>
          <w:szCs w:val="28"/>
        </w:rPr>
        <w:t>т</w:t>
      </w:r>
      <w:r>
        <w:rPr>
          <w:rFonts w:ascii="Times New Roman" w:hAnsi="Times New Roman"/>
          <w:sz w:val="28"/>
          <w:szCs w:val="28"/>
        </w:rPr>
        <w:t xml:space="preserve">ерритория ИЖС </w:t>
      </w:r>
      <w:r w:rsidR="00A6560C">
        <w:rPr>
          <w:rFonts w:ascii="Times New Roman" w:hAnsi="Times New Roman"/>
          <w:sz w:val="28"/>
          <w:szCs w:val="28"/>
        </w:rPr>
        <w:t>микрорайона</w:t>
      </w:r>
      <w:r>
        <w:rPr>
          <w:rFonts w:ascii="Times New Roman" w:hAnsi="Times New Roman"/>
          <w:sz w:val="28"/>
          <w:szCs w:val="28"/>
        </w:rPr>
        <w:t xml:space="preserve"> </w:t>
      </w:r>
      <w:r w:rsidR="008925FA" w:rsidRPr="00870B8F">
        <w:rPr>
          <w:rFonts w:ascii="Times New Roman" w:hAnsi="Times New Roman"/>
          <w:sz w:val="28"/>
          <w:szCs w:val="28"/>
        </w:rPr>
        <w:t>Докучае</w:t>
      </w:r>
      <w:r w:rsidR="00A65319" w:rsidRPr="00870B8F">
        <w:rPr>
          <w:rFonts w:ascii="Times New Roman" w:hAnsi="Times New Roman"/>
          <w:sz w:val="28"/>
          <w:szCs w:val="28"/>
        </w:rPr>
        <w:t>вского внутри Ленинского района;</w:t>
      </w:r>
      <w:r w:rsidR="008925FA" w:rsidRPr="00870B8F">
        <w:rPr>
          <w:rFonts w:ascii="Times New Roman" w:hAnsi="Times New Roman"/>
          <w:sz w:val="28"/>
          <w:szCs w:val="28"/>
        </w:rPr>
        <w:t xml:space="preserve"> </w:t>
      </w:r>
    </w:p>
    <w:p w:rsidR="00FC41F4" w:rsidRPr="00577593" w:rsidRDefault="00870B8F" w:rsidP="00870B8F">
      <w:pPr>
        <w:pStyle w:val="af5"/>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r w:rsidR="00A65319">
        <w:rPr>
          <w:rFonts w:ascii="Times New Roman" w:hAnsi="Times New Roman"/>
          <w:sz w:val="28"/>
          <w:szCs w:val="28"/>
        </w:rPr>
        <w:t>с</w:t>
      </w:r>
      <w:r w:rsidR="008925FA" w:rsidRPr="00577593">
        <w:rPr>
          <w:rFonts w:ascii="Times New Roman" w:hAnsi="Times New Roman"/>
          <w:sz w:val="28"/>
          <w:szCs w:val="28"/>
        </w:rPr>
        <w:t>овременный коттеджный поселок «Солнечная поляна» на окраине города граничит с новой многоэтажной застройкой, в будущем в сторону аэропорта от него будет расположена новая застройка.</w:t>
      </w:r>
    </w:p>
    <w:p w:rsidR="00FC41F4" w:rsidRPr="00577593" w:rsidRDefault="008925FA" w:rsidP="002000D4">
      <w:pPr>
        <w:pStyle w:val="af5"/>
        <w:numPr>
          <w:ilvl w:val="0"/>
          <w:numId w:val="5"/>
        </w:numPr>
        <w:tabs>
          <w:tab w:val="left" w:pos="993"/>
        </w:tabs>
        <w:spacing w:after="0" w:line="240" w:lineRule="auto"/>
        <w:ind w:left="0" w:firstLine="709"/>
        <w:jc w:val="both"/>
        <w:rPr>
          <w:rFonts w:ascii="Times New Roman" w:hAnsi="Times New Roman"/>
          <w:sz w:val="28"/>
          <w:szCs w:val="28"/>
        </w:rPr>
      </w:pPr>
      <w:r w:rsidRPr="00577593">
        <w:rPr>
          <w:rFonts w:ascii="Times New Roman" w:hAnsi="Times New Roman"/>
          <w:sz w:val="28"/>
          <w:szCs w:val="28"/>
        </w:rPr>
        <w:t xml:space="preserve">Производственные зоны Индустриального района размещены на границах города, отделяют многоэтажную застройку от пригорода, тем самым они запирают рост города в сторону </w:t>
      </w:r>
      <w:r w:rsidR="00870B8F">
        <w:rPr>
          <w:rFonts w:ascii="Times New Roman" w:hAnsi="Times New Roman"/>
          <w:sz w:val="28"/>
          <w:szCs w:val="28"/>
        </w:rPr>
        <w:t>села</w:t>
      </w:r>
      <w:r w:rsidR="00A65319">
        <w:rPr>
          <w:rFonts w:ascii="Times New Roman" w:hAnsi="Times New Roman"/>
          <w:sz w:val="28"/>
          <w:szCs w:val="28"/>
        </w:rPr>
        <w:t xml:space="preserve"> </w:t>
      </w:r>
      <w:r w:rsidRPr="00577593">
        <w:rPr>
          <w:rFonts w:ascii="Times New Roman" w:hAnsi="Times New Roman"/>
          <w:sz w:val="28"/>
          <w:szCs w:val="28"/>
        </w:rPr>
        <w:t>Власихи.</w:t>
      </w:r>
    </w:p>
    <w:p w:rsidR="00FC41F4" w:rsidRPr="00577593" w:rsidRDefault="008925FA" w:rsidP="002000D4">
      <w:pPr>
        <w:pStyle w:val="af5"/>
        <w:numPr>
          <w:ilvl w:val="0"/>
          <w:numId w:val="5"/>
        </w:numPr>
        <w:tabs>
          <w:tab w:val="left" w:pos="993"/>
        </w:tabs>
        <w:spacing w:after="0" w:line="240" w:lineRule="auto"/>
        <w:ind w:left="0" w:firstLine="709"/>
        <w:jc w:val="both"/>
        <w:rPr>
          <w:rFonts w:ascii="Times New Roman" w:hAnsi="Times New Roman"/>
          <w:sz w:val="28"/>
          <w:szCs w:val="28"/>
        </w:rPr>
      </w:pPr>
      <w:r w:rsidRPr="00577593">
        <w:rPr>
          <w:rFonts w:ascii="Times New Roman" w:hAnsi="Times New Roman"/>
          <w:sz w:val="28"/>
          <w:szCs w:val="28"/>
        </w:rPr>
        <w:t xml:space="preserve">Аэропорт ограничивает рост по Павловскому тракту. </w:t>
      </w:r>
    </w:p>
    <w:p w:rsidR="00FC41F4" w:rsidRPr="00577593" w:rsidRDefault="008925FA" w:rsidP="002000D4">
      <w:pPr>
        <w:pStyle w:val="af5"/>
        <w:numPr>
          <w:ilvl w:val="0"/>
          <w:numId w:val="5"/>
        </w:numPr>
        <w:tabs>
          <w:tab w:val="left" w:pos="993"/>
        </w:tabs>
        <w:spacing w:after="0" w:line="240" w:lineRule="auto"/>
        <w:ind w:left="0" w:firstLine="709"/>
        <w:jc w:val="both"/>
        <w:rPr>
          <w:rFonts w:ascii="Times New Roman" w:hAnsi="Times New Roman"/>
          <w:sz w:val="28"/>
          <w:szCs w:val="28"/>
        </w:rPr>
      </w:pPr>
      <w:r w:rsidRPr="00577593">
        <w:rPr>
          <w:rFonts w:ascii="Times New Roman" w:hAnsi="Times New Roman"/>
          <w:sz w:val="28"/>
          <w:szCs w:val="28"/>
        </w:rPr>
        <w:t>Производственные зоны Ленинского района между рекой Обь и проспектом Космонавтов.</w:t>
      </w:r>
    </w:p>
    <w:p w:rsidR="00FC41F4" w:rsidRDefault="008925FA" w:rsidP="002000D4">
      <w:pPr>
        <w:pStyle w:val="af5"/>
        <w:numPr>
          <w:ilvl w:val="0"/>
          <w:numId w:val="5"/>
        </w:numPr>
        <w:tabs>
          <w:tab w:val="left" w:pos="993"/>
        </w:tabs>
        <w:spacing w:after="0" w:line="240" w:lineRule="auto"/>
        <w:ind w:left="0" w:firstLine="709"/>
        <w:jc w:val="both"/>
        <w:rPr>
          <w:rFonts w:ascii="Times New Roman" w:hAnsi="Times New Roman"/>
          <w:sz w:val="28"/>
          <w:szCs w:val="28"/>
        </w:rPr>
      </w:pPr>
      <w:r w:rsidRPr="00577593">
        <w:rPr>
          <w:rFonts w:ascii="Times New Roman" w:hAnsi="Times New Roman"/>
          <w:sz w:val="28"/>
          <w:szCs w:val="28"/>
        </w:rPr>
        <w:t>Ленточный бор ограничивает застройку и развитие с юго-запада.</w:t>
      </w:r>
    </w:p>
    <w:p w:rsidR="00B47E22" w:rsidRPr="00577593" w:rsidRDefault="00B47E22" w:rsidP="00B47E22">
      <w:pPr>
        <w:pStyle w:val="af5"/>
        <w:tabs>
          <w:tab w:val="left" w:pos="993"/>
        </w:tabs>
        <w:spacing w:after="0" w:line="240" w:lineRule="auto"/>
        <w:ind w:left="709"/>
        <w:jc w:val="both"/>
        <w:rPr>
          <w:rFonts w:ascii="Times New Roman" w:hAnsi="Times New Roman"/>
          <w:sz w:val="28"/>
          <w:szCs w:val="28"/>
        </w:rPr>
      </w:pPr>
    </w:p>
    <w:p w:rsidR="00FC41F4" w:rsidRPr="00577593" w:rsidRDefault="000D3F7A" w:rsidP="002000D4">
      <w:pPr>
        <w:spacing w:after="0" w:line="240" w:lineRule="auto"/>
        <w:jc w:val="center"/>
        <w:rPr>
          <w:rFonts w:ascii="Times New Roman" w:hAnsi="Times New Roman"/>
          <w:sz w:val="24"/>
          <w:szCs w:val="24"/>
        </w:rPr>
      </w:pPr>
      <w:r w:rsidRPr="00577593">
        <w:rPr>
          <w:rFonts w:ascii="Times New Roman" w:hAnsi="Times New Roman"/>
          <w:noProof/>
          <w:sz w:val="24"/>
          <w:lang w:eastAsia="ru-RU"/>
        </w:rPr>
        <w:lastRenderedPageBreak/>
        <w:drawing>
          <wp:inline distT="0" distB="0" distL="0" distR="0">
            <wp:extent cx="3971290" cy="3788410"/>
            <wp:effectExtent l="0" t="0" r="0" b="2540"/>
            <wp:docPr id="4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971290" cy="3788410"/>
                    </a:xfrm>
                    <a:prstGeom prst="rect">
                      <a:avLst/>
                    </a:prstGeom>
                    <a:noFill/>
                    <a:ln>
                      <a:noFill/>
                    </a:ln>
                  </pic:spPr>
                </pic:pic>
              </a:graphicData>
            </a:graphic>
          </wp:inline>
        </w:drawing>
      </w:r>
    </w:p>
    <w:p w:rsidR="00FC41F4" w:rsidRDefault="008925FA" w:rsidP="00B47E22">
      <w:pPr>
        <w:spacing w:after="0" w:line="240" w:lineRule="auto"/>
        <w:jc w:val="center"/>
        <w:rPr>
          <w:rFonts w:ascii="Times New Roman" w:hAnsi="Times New Roman"/>
          <w:sz w:val="28"/>
          <w:szCs w:val="28"/>
        </w:rPr>
      </w:pPr>
      <w:bookmarkStart w:id="160" w:name="_Ref199463026"/>
      <w:r w:rsidRPr="00577593">
        <w:rPr>
          <w:rFonts w:ascii="Times New Roman" w:hAnsi="Times New Roman"/>
          <w:sz w:val="28"/>
          <w:szCs w:val="28"/>
        </w:rPr>
        <w:t xml:space="preserve">Рисунок </w:t>
      </w:r>
      <w:bookmarkEnd w:id="160"/>
      <w:r w:rsidR="00CE13E1">
        <w:rPr>
          <w:rFonts w:ascii="Times New Roman" w:hAnsi="Times New Roman"/>
          <w:sz w:val="28"/>
          <w:szCs w:val="28"/>
        </w:rPr>
        <w:t>46</w:t>
      </w:r>
      <w:r w:rsidRPr="00577593">
        <w:rPr>
          <w:rFonts w:ascii="Times New Roman" w:hAnsi="Times New Roman"/>
          <w:sz w:val="28"/>
          <w:szCs w:val="28"/>
        </w:rPr>
        <w:t xml:space="preserve"> </w:t>
      </w:r>
      <w:r w:rsidR="00672709" w:rsidRPr="00577593">
        <w:rPr>
          <w:rFonts w:ascii="Times New Roman" w:hAnsi="Times New Roman"/>
          <w:sz w:val="28"/>
          <w:szCs w:val="28"/>
        </w:rPr>
        <w:t>–</w:t>
      </w:r>
      <w:r w:rsidRPr="00577593">
        <w:rPr>
          <w:rFonts w:ascii="Times New Roman" w:hAnsi="Times New Roman"/>
          <w:sz w:val="28"/>
          <w:szCs w:val="28"/>
        </w:rPr>
        <w:t xml:space="preserve"> ИЖС в пространственной структуре </w:t>
      </w:r>
      <w:r w:rsidR="00C3038B">
        <w:rPr>
          <w:rFonts w:ascii="Times New Roman" w:hAnsi="Times New Roman"/>
          <w:sz w:val="28"/>
          <w:szCs w:val="28"/>
        </w:rPr>
        <w:t xml:space="preserve">города </w:t>
      </w:r>
      <w:r w:rsidRPr="00577593">
        <w:rPr>
          <w:rFonts w:ascii="Times New Roman" w:hAnsi="Times New Roman"/>
          <w:sz w:val="28"/>
          <w:szCs w:val="28"/>
        </w:rPr>
        <w:t>Барнаула</w:t>
      </w:r>
    </w:p>
    <w:p w:rsidR="00B47E22" w:rsidRPr="00577593" w:rsidRDefault="00B47E22" w:rsidP="00B47E22">
      <w:pPr>
        <w:pStyle w:val="aff9"/>
        <w:spacing w:after="0"/>
        <w:rPr>
          <w:rFonts w:ascii="Times New Roman" w:hAnsi="Times New Roman"/>
          <w:i w:val="0"/>
          <w:color w:val="auto"/>
          <w:sz w:val="28"/>
          <w:szCs w:val="28"/>
        </w:rPr>
      </w:pPr>
      <w:r w:rsidRPr="00577593">
        <w:rPr>
          <w:rFonts w:ascii="Times New Roman" w:hAnsi="Times New Roman"/>
          <w:i w:val="0"/>
          <w:color w:val="auto"/>
          <w:sz w:val="28"/>
          <w:szCs w:val="28"/>
        </w:rPr>
        <w:t>Примечание – Источник: по данным открытых источников</w:t>
      </w:r>
    </w:p>
    <w:p w:rsidR="00B47E22" w:rsidRPr="00577593" w:rsidRDefault="00B47E22" w:rsidP="002000D4">
      <w:pPr>
        <w:spacing w:line="240" w:lineRule="auto"/>
        <w:jc w:val="center"/>
        <w:rPr>
          <w:rFonts w:ascii="Times New Roman" w:hAnsi="Times New Roman"/>
          <w:sz w:val="28"/>
          <w:szCs w:val="28"/>
        </w:rPr>
      </w:pPr>
    </w:p>
    <w:p w:rsidR="00FC41F4" w:rsidRDefault="001E783F" w:rsidP="00E258F8">
      <w:pPr>
        <w:ind w:firstLine="709"/>
        <w:jc w:val="both"/>
        <w:rPr>
          <w:rFonts w:ascii="Times New Roman" w:hAnsi="Times New Roman"/>
          <w:sz w:val="28"/>
          <w:szCs w:val="28"/>
        </w:rPr>
      </w:pPr>
      <w:r>
        <w:rPr>
          <w:rFonts w:ascii="Times New Roman" w:hAnsi="Times New Roman"/>
          <w:sz w:val="28"/>
          <w:szCs w:val="28"/>
        </w:rPr>
        <w:t xml:space="preserve">Город </w:t>
      </w:r>
      <w:r w:rsidR="008925FA" w:rsidRPr="00577593">
        <w:rPr>
          <w:rFonts w:ascii="Times New Roman" w:hAnsi="Times New Roman"/>
          <w:sz w:val="28"/>
          <w:szCs w:val="28"/>
        </w:rPr>
        <w:t xml:space="preserve">Барнаул является полицентрическим городом </w:t>
      </w:r>
      <w:r w:rsidR="00672709" w:rsidRPr="00577593">
        <w:rPr>
          <w:rFonts w:ascii="Times New Roman" w:hAnsi="Times New Roman"/>
          <w:sz w:val="28"/>
          <w:szCs w:val="28"/>
        </w:rPr>
        <w:t>–</w:t>
      </w:r>
      <w:r w:rsidR="008925FA" w:rsidRPr="00577593">
        <w:rPr>
          <w:rFonts w:ascii="Times New Roman" w:hAnsi="Times New Roman"/>
          <w:sz w:val="28"/>
          <w:szCs w:val="28"/>
        </w:rPr>
        <w:t xml:space="preserve"> пространственный анализ показывает наличие двух крупных ядер активности, в историческом центре и кварталах внутри улиц Власихинская, Павловского тракта и улицы Малахова (</w:t>
      </w:r>
      <w:r w:rsidR="00E258F8">
        <w:rPr>
          <w:rFonts w:ascii="Times New Roman" w:hAnsi="Times New Roman"/>
          <w:sz w:val="28"/>
          <w:szCs w:val="28"/>
        </w:rPr>
        <w:t>Рисунок 47, Рисунок 48).</w:t>
      </w:r>
    </w:p>
    <w:p w:rsidR="00E258F8" w:rsidRPr="00577593" w:rsidRDefault="00E258F8" w:rsidP="00E258F8">
      <w:pPr>
        <w:ind w:firstLine="709"/>
        <w:jc w:val="both"/>
        <w:rPr>
          <w:rFonts w:ascii="Times New Roman" w:hAnsi="Times New Roman"/>
          <w:sz w:val="28"/>
          <w:szCs w:val="28"/>
        </w:rPr>
      </w:pPr>
    </w:p>
    <w:tbl>
      <w:tblPr>
        <w:tblW w:w="9345" w:type="dxa"/>
        <w:tblBorders>
          <w:top w:val="none" w:sz="12" w:space="0" w:color="000000"/>
          <w:left w:val="none" w:sz="12" w:space="0" w:color="000000"/>
          <w:bottom w:val="none" w:sz="12" w:space="0" w:color="000000"/>
          <w:right w:val="none" w:sz="12" w:space="0" w:color="000000"/>
          <w:insideH w:val="none" w:sz="12" w:space="0" w:color="000000"/>
          <w:insideV w:val="none" w:sz="12" w:space="0" w:color="000000"/>
        </w:tblBorders>
        <w:tblLayout w:type="fixed"/>
        <w:tblLook w:val="04A0" w:firstRow="1" w:lastRow="0" w:firstColumn="1" w:lastColumn="0" w:noHBand="0" w:noVBand="1"/>
      </w:tblPr>
      <w:tblGrid>
        <w:gridCol w:w="4416"/>
        <w:gridCol w:w="4929"/>
      </w:tblGrid>
      <w:tr w:rsidR="00FC41F4" w:rsidRPr="00577593" w:rsidTr="00E258F8">
        <w:tc>
          <w:tcPr>
            <w:tcW w:w="4416" w:type="dxa"/>
            <w:shd w:val="clear" w:color="auto" w:fill="auto"/>
          </w:tcPr>
          <w:p w:rsidR="00FC41F4" w:rsidRPr="00577593" w:rsidRDefault="000D3F7A" w:rsidP="002000D4">
            <w:pPr>
              <w:spacing w:after="0" w:line="240" w:lineRule="auto"/>
              <w:contextualSpacing/>
              <w:jc w:val="both"/>
              <w:rPr>
                <w:rFonts w:ascii="Times New Roman" w:hAnsi="Times New Roman"/>
                <w:sz w:val="24"/>
                <w:szCs w:val="24"/>
              </w:rPr>
            </w:pPr>
            <w:r w:rsidRPr="00577593">
              <w:rPr>
                <w:rFonts w:ascii="Times New Roman" w:hAnsi="Times New Roman"/>
                <w:noProof/>
                <w:lang w:eastAsia="ru-RU"/>
              </w:rPr>
              <w:lastRenderedPageBreak/>
              <w:drawing>
                <wp:inline distT="0" distB="0" distL="0" distR="0">
                  <wp:extent cx="2665095" cy="3631565"/>
                  <wp:effectExtent l="0" t="0" r="1905" b="6985"/>
                  <wp:docPr id="4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65095" cy="3631565"/>
                          </a:xfrm>
                          <a:prstGeom prst="rect">
                            <a:avLst/>
                          </a:prstGeom>
                          <a:noFill/>
                          <a:ln>
                            <a:noFill/>
                          </a:ln>
                        </pic:spPr>
                      </pic:pic>
                    </a:graphicData>
                  </a:graphic>
                </wp:inline>
              </w:drawing>
            </w:r>
          </w:p>
        </w:tc>
        <w:tc>
          <w:tcPr>
            <w:tcW w:w="4929" w:type="dxa"/>
            <w:shd w:val="clear" w:color="auto" w:fill="auto"/>
          </w:tcPr>
          <w:p w:rsidR="00FC41F4" w:rsidRPr="00577593" w:rsidRDefault="000D3F7A" w:rsidP="002000D4">
            <w:pPr>
              <w:spacing w:after="0" w:line="240" w:lineRule="auto"/>
              <w:contextualSpacing/>
              <w:jc w:val="both"/>
              <w:rPr>
                <w:rFonts w:ascii="Times New Roman" w:hAnsi="Times New Roman"/>
                <w:sz w:val="24"/>
                <w:szCs w:val="24"/>
              </w:rPr>
            </w:pPr>
            <w:r w:rsidRPr="00577593">
              <w:rPr>
                <w:rFonts w:ascii="Times New Roman" w:hAnsi="Times New Roman"/>
                <w:noProof/>
                <w:lang w:eastAsia="ru-RU"/>
              </w:rPr>
              <w:drawing>
                <wp:inline distT="0" distB="0" distL="0" distR="0">
                  <wp:extent cx="2612390" cy="3631565"/>
                  <wp:effectExtent l="0" t="0" r="0" b="6985"/>
                  <wp:docPr id="4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612390" cy="3631565"/>
                          </a:xfrm>
                          <a:prstGeom prst="rect">
                            <a:avLst/>
                          </a:prstGeom>
                          <a:noFill/>
                          <a:ln>
                            <a:noFill/>
                          </a:ln>
                        </pic:spPr>
                      </pic:pic>
                    </a:graphicData>
                  </a:graphic>
                </wp:inline>
              </w:drawing>
            </w:r>
          </w:p>
        </w:tc>
      </w:tr>
      <w:tr w:rsidR="00FC41F4" w:rsidRPr="00577593" w:rsidTr="00E258F8">
        <w:tc>
          <w:tcPr>
            <w:tcW w:w="4416" w:type="dxa"/>
            <w:shd w:val="clear" w:color="auto" w:fill="auto"/>
          </w:tcPr>
          <w:p w:rsidR="00C3038B" w:rsidRPr="00C3038B" w:rsidRDefault="00C3038B" w:rsidP="00C3038B">
            <w:pPr>
              <w:pStyle w:val="aff9"/>
              <w:spacing w:after="0"/>
              <w:rPr>
                <w:rFonts w:ascii="Times New Roman" w:hAnsi="Times New Roman"/>
                <w:i w:val="0"/>
                <w:color w:val="auto"/>
                <w:sz w:val="8"/>
                <w:szCs w:val="8"/>
              </w:rPr>
            </w:pPr>
            <w:bookmarkStart w:id="161" w:name="_Ref199463380"/>
          </w:p>
          <w:p w:rsidR="00E258F8" w:rsidRPr="00E258F8" w:rsidRDefault="008925FA" w:rsidP="00E258F8">
            <w:pPr>
              <w:pStyle w:val="aff9"/>
              <w:spacing w:after="0"/>
            </w:pPr>
            <w:r w:rsidRPr="00577593">
              <w:rPr>
                <w:rFonts w:ascii="Times New Roman" w:hAnsi="Times New Roman"/>
                <w:i w:val="0"/>
                <w:color w:val="auto"/>
                <w:sz w:val="28"/>
                <w:szCs w:val="28"/>
              </w:rPr>
              <w:t xml:space="preserve">Рисунок </w:t>
            </w:r>
            <w:r w:rsidR="00CE13E1">
              <w:rPr>
                <w:rFonts w:ascii="Times New Roman" w:hAnsi="Times New Roman"/>
                <w:i w:val="0"/>
                <w:color w:val="auto"/>
                <w:sz w:val="28"/>
                <w:szCs w:val="28"/>
              </w:rPr>
              <w:t>47</w:t>
            </w:r>
            <w:bookmarkEnd w:id="161"/>
            <w:r w:rsidRPr="00577593">
              <w:rPr>
                <w:rFonts w:ascii="Times New Roman" w:hAnsi="Times New Roman"/>
                <w:i w:val="0"/>
                <w:color w:val="auto"/>
                <w:sz w:val="28"/>
                <w:szCs w:val="28"/>
              </w:rPr>
              <w:t xml:space="preserve"> </w:t>
            </w:r>
            <w:r w:rsidR="00672709" w:rsidRPr="00577593">
              <w:rPr>
                <w:rFonts w:ascii="Times New Roman" w:hAnsi="Times New Roman"/>
                <w:i w:val="0"/>
                <w:color w:val="auto"/>
                <w:sz w:val="28"/>
                <w:szCs w:val="28"/>
              </w:rPr>
              <w:t>–</w:t>
            </w:r>
            <w:r w:rsidRPr="00577593">
              <w:rPr>
                <w:rFonts w:ascii="Times New Roman" w:hAnsi="Times New Roman"/>
                <w:i w:val="0"/>
                <w:color w:val="auto"/>
                <w:sz w:val="28"/>
                <w:szCs w:val="28"/>
              </w:rPr>
              <w:t xml:space="preserve"> Концентрация всех активностей</w:t>
            </w:r>
            <w:r w:rsidR="00C3038B" w:rsidRPr="00C3038B">
              <w:rPr>
                <w:rFonts w:ascii="Times New Roman" w:hAnsi="Times New Roman"/>
                <w:sz w:val="28"/>
                <w:szCs w:val="28"/>
              </w:rPr>
              <w:t xml:space="preserve"> </w:t>
            </w:r>
            <w:r w:rsidR="00C3038B" w:rsidRPr="00C3038B">
              <w:rPr>
                <w:rFonts w:ascii="Times New Roman" w:hAnsi="Times New Roman"/>
                <w:i w:val="0"/>
                <w:color w:val="auto"/>
                <w:sz w:val="28"/>
                <w:szCs w:val="28"/>
              </w:rPr>
              <w:t>на территории города Барнаула</w:t>
            </w:r>
          </w:p>
        </w:tc>
        <w:tc>
          <w:tcPr>
            <w:tcW w:w="4929" w:type="dxa"/>
            <w:shd w:val="clear" w:color="auto" w:fill="auto"/>
          </w:tcPr>
          <w:p w:rsidR="00C3038B" w:rsidRPr="00C3038B" w:rsidRDefault="00C3038B" w:rsidP="00C3038B">
            <w:pPr>
              <w:spacing w:after="0" w:line="240" w:lineRule="auto"/>
              <w:jc w:val="center"/>
              <w:rPr>
                <w:rFonts w:ascii="Times New Roman" w:hAnsi="Times New Roman"/>
                <w:sz w:val="8"/>
                <w:szCs w:val="8"/>
              </w:rPr>
            </w:pPr>
            <w:bookmarkStart w:id="162" w:name="_Ref199463382"/>
          </w:p>
          <w:p w:rsidR="00FC41F4" w:rsidRPr="00577593" w:rsidRDefault="008925FA" w:rsidP="00E258F8">
            <w:pPr>
              <w:spacing w:after="0" w:line="240" w:lineRule="auto"/>
              <w:jc w:val="center"/>
              <w:rPr>
                <w:rFonts w:ascii="Times New Roman" w:hAnsi="Times New Roman"/>
                <w:i/>
                <w:sz w:val="24"/>
                <w:szCs w:val="24"/>
                <w:lang w:eastAsia="ru-RU"/>
              </w:rPr>
            </w:pPr>
            <w:r w:rsidRPr="00C3038B">
              <w:rPr>
                <w:rFonts w:ascii="Times New Roman" w:hAnsi="Times New Roman"/>
                <w:sz w:val="28"/>
                <w:szCs w:val="28"/>
              </w:rPr>
              <w:t xml:space="preserve">Рисунок </w:t>
            </w:r>
            <w:bookmarkEnd w:id="162"/>
            <w:r w:rsidR="00E258F8">
              <w:rPr>
                <w:rFonts w:ascii="Times New Roman" w:hAnsi="Times New Roman"/>
                <w:sz w:val="28"/>
                <w:szCs w:val="28"/>
              </w:rPr>
              <w:t>48</w:t>
            </w:r>
            <w:r w:rsidRPr="00C3038B">
              <w:rPr>
                <w:rFonts w:ascii="Times New Roman" w:hAnsi="Times New Roman"/>
                <w:sz w:val="28"/>
                <w:szCs w:val="28"/>
              </w:rPr>
              <w:t xml:space="preserve"> </w:t>
            </w:r>
            <w:r w:rsidR="00672709" w:rsidRPr="00C3038B">
              <w:rPr>
                <w:rFonts w:ascii="Times New Roman" w:hAnsi="Times New Roman"/>
                <w:sz w:val="28"/>
                <w:szCs w:val="28"/>
              </w:rPr>
              <w:t>–</w:t>
            </w:r>
            <w:r w:rsidRPr="00C3038B">
              <w:rPr>
                <w:rFonts w:ascii="Times New Roman" w:hAnsi="Times New Roman"/>
                <w:sz w:val="28"/>
                <w:szCs w:val="28"/>
              </w:rPr>
              <w:t xml:space="preserve"> Концентрация сектора услуг</w:t>
            </w:r>
            <w:r w:rsidR="00C3038B" w:rsidRPr="00C3038B">
              <w:rPr>
                <w:rFonts w:ascii="Times New Roman" w:hAnsi="Times New Roman"/>
                <w:sz w:val="28"/>
                <w:szCs w:val="28"/>
              </w:rPr>
              <w:t xml:space="preserve"> на территории города Барнаула</w:t>
            </w:r>
          </w:p>
        </w:tc>
      </w:tr>
      <w:tr w:rsidR="00E258F8" w:rsidRPr="00E258F8" w:rsidTr="00E258F8">
        <w:tc>
          <w:tcPr>
            <w:tcW w:w="9345" w:type="dxa"/>
            <w:gridSpan w:val="2"/>
            <w:shd w:val="clear" w:color="auto" w:fill="auto"/>
          </w:tcPr>
          <w:p w:rsidR="00E258F8" w:rsidRPr="00E258F8" w:rsidRDefault="00E258F8" w:rsidP="00E258F8">
            <w:pPr>
              <w:spacing w:after="0" w:line="240" w:lineRule="auto"/>
              <w:rPr>
                <w:rFonts w:ascii="Times New Roman" w:hAnsi="Times New Roman"/>
                <w:sz w:val="28"/>
                <w:szCs w:val="28"/>
              </w:rPr>
            </w:pPr>
            <w:r w:rsidRPr="00E258F8">
              <w:rPr>
                <w:rFonts w:ascii="Times New Roman" w:hAnsi="Times New Roman"/>
                <w:sz w:val="28"/>
                <w:szCs w:val="28"/>
              </w:rPr>
              <w:t>Примечание – Источник: по данным открытых источников</w:t>
            </w:r>
          </w:p>
        </w:tc>
      </w:tr>
    </w:tbl>
    <w:p w:rsidR="00FC41F4" w:rsidRPr="00577593" w:rsidRDefault="008925FA" w:rsidP="002000D4">
      <w:pPr>
        <w:spacing w:before="200"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Исторический центр </w:t>
      </w:r>
      <w:r w:rsidR="004B1E0B">
        <w:rPr>
          <w:rFonts w:ascii="Times New Roman" w:hAnsi="Times New Roman"/>
          <w:sz w:val="28"/>
          <w:szCs w:val="28"/>
        </w:rPr>
        <w:t xml:space="preserve">города </w:t>
      </w:r>
      <w:r w:rsidRPr="00577593">
        <w:rPr>
          <w:rFonts w:ascii="Times New Roman" w:hAnsi="Times New Roman"/>
          <w:sz w:val="28"/>
          <w:szCs w:val="28"/>
        </w:rPr>
        <w:t xml:space="preserve">Барнаула насыщен объектами общегородского значения, к примеру, культуры </w:t>
      </w:r>
      <w:r w:rsidR="00E258F8">
        <w:rPr>
          <w:rFonts w:ascii="Times New Roman" w:hAnsi="Times New Roman"/>
          <w:sz w:val="28"/>
          <w:szCs w:val="28"/>
        </w:rPr>
        <w:t>(Рисунок 49)</w:t>
      </w:r>
      <w:r w:rsidRPr="00577593">
        <w:rPr>
          <w:rFonts w:ascii="Times New Roman" w:hAnsi="Times New Roman"/>
          <w:sz w:val="28"/>
          <w:szCs w:val="28"/>
        </w:rPr>
        <w:t>, в связи с логикой развития города. В то же время размещение других организаций определяется агломерационным</w:t>
      </w:r>
      <w:r w:rsidR="008D738C">
        <w:rPr>
          <w:rFonts w:ascii="Times New Roman" w:hAnsi="Times New Roman"/>
          <w:sz w:val="28"/>
          <w:szCs w:val="28"/>
        </w:rPr>
        <w:t>и</w:t>
      </w:r>
      <w:r w:rsidRPr="00577593">
        <w:rPr>
          <w:rFonts w:ascii="Times New Roman" w:hAnsi="Times New Roman"/>
          <w:sz w:val="28"/>
          <w:szCs w:val="28"/>
        </w:rPr>
        <w:t xml:space="preserve"> эффектами, транспортной доступно</w:t>
      </w:r>
      <w:r w:rsidR="001E783F">
        <w:rPr>
          <w:rFonts w:ascii="Times New Roman" w:hAnsi="Times New Roman"/>
          <w:sz w:val="28"/>
          <w:szCs w:val="28"/>
        </w:rPr>
        <w:t xml:space="preserve">стью, близостью к потребителю и </w:t>
      </w:r>
      <w:r w:rsidRPr="00577593">
        <w:rPr>
          <w:rFonts w:ascii="Times New Roman" w:hAnsi="Times New Roman"/>
          <w:sz w:val="28"/>
          <w:szCs w:val="28"/>
        </w:rPr>
        <w:t xml:space="preserve">наличием фонда недвижимости, подходящего для размещения. Размещение организаций дополнительного образования детей и спортивных организаций </w:t>
      </w:r>
      <w:r w:rsidR="00E258F8">
        <w:rPr>
          <w:rFonts w:ascii="Times New Roman" w:hAnsi="Times New Roman"/>
          <w:sz w:val="28"/>
          <w:szCs w:val="28"/>
        </w:rPr>
        <w:t>(Рисунок 50, Рисунок 51)</w:t>
      </w:r>
      <w:r w:rsidRPr="00577593">
        <w:rPr>
          <w:rFonts w:ascii="Times New Roman" w:hAnsi="Times New Roman"/>
          <w:sz w:val="28"/>
          <w:szCs w:val="28"/>
        </w:rPr>
        <w:t xml:space="preserve"> определяется вышеуказанными факторами: организации выбирают место расположения в целях максимизации своей прибыли.</w:t>
      </w:r>
    </w:p>
    <w:p w:rsidR="00284EAF" w:rsidRPr="00577593" w:rsidRDefault="00284EAF" w:rsidP="002000D4">
      <w:pPr>
        <w:spacing w:before="200" w:after="0" w:line="240" w:lineRule="auto"/>
        <w:ind w:firstLine="709"/>
        <w:jc w:val="both"/>
        <w:rPr>
          <w:rFonts w:ascii="Times New Roman" w:hAnsi="Times New Roman"/>
          <w:sz w:val="24"/>
          <w:szCs w:val="24"/>
        </w:rPr>
      </w:pPr>
    </w:p>
    <w:p w:rsidR="00FC41F4" w:rsidRPr="00577593" w:rsidRDefault="000D3F7A" w:rsidP="002000D4">
      <w:pPr>
        <w:spacing w:after="0" w:line="240" w:lineRule="auto"/>
        <w:jc w:val="center"/>
        <w:rPr>
          <w:rFonts w:ascii="Times New Roman" w:hAnsi="Times New Roman"/>
        </w:rPr>
      </w:pPr>
      <w:r w:rsidRPr="00577593">
        <w:rPr>
          <w:rFonts w:ascii="Times New Roman" w:hAnsi="Times New Roman"/>
          <w:noProof/>
          <w:lang w:eastAsia="ru-RU"/>
        </w:rPr>
        <w:lastRenderedPageBreak/>
        <w:drawing>
          <wp:inline distT="0" distB="0" distL="0" distR="0">
            <wp:extent cx="4219575" cy="4872355"/>
            <wp:effectExtent l="0" t="0" r="9525" b="4445"/>
            <wp:docPr id="8484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219575" cy="4872355"/>
                    </a:xfrm>
                    <a:prstGeom prst="rect">
                      <a:avLst/>
                    </a:prstGeom>
                    <a:noFill/>
                    <a:ln>
                      <a:noFill/>
                    </a:ln>
                  </pic:spPr>
                </pic:pic>
              </a:graphicData>
            </a:graphic>
          </wp:inline>
        </w:drawing>
      </w:r>
    </w:p>
    <w:p w:rsidR="00FC41F4" w:rsidRDefault="00E258F8" w:rsidP="00E258F8">
      <w:pPr>
        <w:spacing w:after="0" w:line="240" w:lineRule="auto"/>
        <w:jc w:val="center"/>
        <w:rPr>
          <w:rFonts w:ascii="Times New Roman" w:hAnsi="Times New Roman"/>
          <w:sz w:val="28"/>
          <w:szCs w:val="28"/>
        </w:rPr>
      </w:pPr>
      <w:r>
        <w:rPr>
          <w:rFonts w:ascii="Times New Roman" w:hAnsi="Times New Roman"/>
          <w:sz w:val="28"/>
          <w:szCs w:val="28"/>
        </w:rPr>
        <w:t>Рисунок 49</w:t>
      </w:r>
      <w:r w:rsidR="008925FA" w:rsidRPr="00577593">
        <w:rPr>
          <w:rFonts w:ascii="Times New Roman" w:hAnsi="Times New Roman"/>
          <w:sz w:val="28"/>
          <w:szCs w:val="28"/>
        </w:rPr>
        <w:t xml:space="preserve"> </w:t>
      </w:r>
      <w:r w:rsidR="00672709" w:rsidRPr="00577593">
        <w:rPr>
          <w:rFonts w:ascii="Times New Roman" w:hAnsi="Times New Roman"/>
          <w:sz w:val="28"/>
          <w:szCs w:val="28"/>
        </w:rPr>
        <w:t>–</w:t>
      </w:r>
      <w:r w:rsidR="008925FA" w:rsidRPr="00577593">
        <w:rPr>
          <w:rFonts w:ascii="Times New Roman" w:hAnsi="Times New Roman"/>
          <w:sz w:val="28"/>
          <w:szCs w:val="28"/>
        </w:rPr>
        <w:t xml:space="preserve"> Концентрация объектов культуры</w:t>
      </w:r>
      <w:r w:rsidR="00C3038B">
        <w:rPr>
          <w:rFonts w:ascii="Times New Roman" w:hAnsi="Times New Roman"/>
          <w:sz w:val="28"/>
          <w:szCs w:val="28"/>
        </w:rPr>
        <w:t xml:space="preserve"> на территории города Барнаула</w:t>
      </w:r>
    </w:p>
    <w:p w:rsidR="00E258F8" w:rsidRPr="00577593" w:rsidRDefault="00E258F8" w:rsidP="00E258F8">
      <w:pPr>
        <w:pStyle w:val="aff9"/>
        <w:spacing w:after="0"/>
        <w:rPr>
          <w:rFonts w:ascii="Times New Roman" w:hAnsi="Times New Roman"/>
          <w:i w:val="0"/>
          <w:color w:val="auto"/>
          <w:sz w:val="28"/>
          <w:szCs w:val="28"/>
        </w:rPr>
      </w:pPr>
      <w:r w:rsidRPr="00577593">
        <w:rPr>
          <w:rFonts w:ascii="Times New Roman" w:hAnsi="Times New Roman"/>
          <w:i w:val="0"/>
          <w:color w:val="auto"/>
          <w:sz w:val="28"/>
          <w:szCs w:val="28"/>
        </w:rPr>
        <w:t>Примечание – Источник: по данным открытых источников</w:t>
      </w:r>
    </w:p>
    <w:p w:rsidR="00E258F8" w:rsidRPr="00577593" w:rsidRDefault="00E258F8" w:rsidP="002000D4">
      <w:pPr>
        <w:spacing w:line="240" w:lineRule="auto"/>
        <w:jc w:val="center"/>
        <w:rPr>
          <w:rFonts w:ascii="Times New Roman" w:hAnsi="Times New Roman"/>
          <w:sz w:val="28"/>
          <w:szCs w:val="28"/>
        </w:rPr>
      </w:pPr>
    </w:p>
    <w:tbl>
      <w:tblPr>
        <w:tblW w:w="0" w:type="auto"/>
        <w:tblBorders>
          <w:top w:val="none" w:sz="12" w:space="0" w:color="000000"/>
          <w:left w:val="none" w:sz="12" w:space="0" w:color="000000"/>
          <w:bottom w:val="none" w:sz="12" w:space="0" w:color="000000"/>
          <w:right w:val="none" w:sz="12" w:space="0" w:color="000000"/>
          <w:insideH w:val="none" w:sz="12" w:space="0" w:color="000000"/>
          <w:insideV w:val="none" w:sz="12" w:space="0" w:color="000000"/>
        </w:tblBorders>
        <w:tblLook w:val="04A0" w:firstRow="1" w:lastRow="0" w:firstColumn="1" w:lastColumn="0" w:noHBand="0" w:noVBand="1"/>
      </w:tblPr>
      <w:tblGrid>
        <w:gridCol w:w="4528"/>
        <w:gridCol w:w="4656"/>
      </w:tblGrid>
      <w:tr w:rsidR="00FC41F4" w:rsidRPr="00577593" w:rsidTr="00E258F8">
        <w:tc>
          <w:tcPr>
            <w:tcW w:w="4528" w:type="dxa"/>
            <w:shd w:val="clear" w:color="auto" w:fill="auto"/>
          </w:tcPr>
          <w:p w:rsidR="00FC41F4" w:rsidRPr="00577593" w:rsidRDefault="000D3F7A" w:rsidP="002000D4">
            <w:pPr>
              <w:spacing w:after="0" w:line="240" w:lineRule="auto"/>
              <w:contextualSpacing/>
              <w:jc w:val="both"/>
              <w:rPr>
                <w:rFonts w:ascii="Times New Roman" w:hAnsi="Times New Roman"/>
                <w:sz w:val="24"/>
                <w:szCs w:val="24"/>
              </w:rPr>
            </w:pPr>
            <w:r w:rsidRPr="00577593">
              <w:rPr>
                <w:rFonts w:ascii="Times New Roman" w:hAnsi="Times New Roman"/>
                <w:noProof/>
                <w:lang w:eastAsia="ru-RU"/>
              </w:rPr>
              <w:lastRenderedPageBreak/>
              <w:drawing>
                <wp:inline distT="0" distB="0" distL="0" distR="0">
                  <wp:extent cx="2638425" cy="3788410"/>
                  <wp:effectExtent l="0" t="0" r="9525" b="2540"/>
                  <wp:docPr id="8484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38425" cy="3788410"/>
                          </a:xfrm>
                          <a:prstGeom prst="rect">
                            <a:avLst/>
                          </a:prstGeom>
                          <a:noFill/>
                          <a:ln>
                            <a:noFill/>
                          </a:ln>
                        </pic:spPr>
                      </pic:pic>
                    </a:graphicData>
                  </a:graphic>
                </wp:inline>
              </w:drawing>
            </w:r>
          </w:p>
        </w:tc>
        <w:tc>
          <w:tcPr>
            <w:tcW w:w="4656" w:type="dxa"/>
            <w:shd w:val="clear" w:color="auto" w:fill="auto"/>
          </w:tcPr>
          <w:p w:rsidR="00FC41F4" w:rsidRPr="00577593" w:rsidRDefault="000D3F7A" w:rsidP="002000D4">
            <w:pPr>
              <w:spacing w:after="0" w:line="240" w:lineRule="auto"/>
              <w:contextualSpacing/>
              <w:jc w:val="both"/>
              <w:rPr>
                <w:rFonts w:ascii="Times New Roman" w:hAnsi="Times New Roman"/>
                <w:sz w:val="24"/>
                <w:szCs w:val="24"/>
              </w:rPr>
            </w:pPr>
            <w:r w:rsidRPr="00577593">
              <w:rPr>
                <w:rFonts w:ascii="Times New Roman" w:hAnsi="Times New Roman"/>
                <w:noProof/>
                <w:lang w:eastAsia="ru-RU"/>
              </w:rPr>
              <w:drawing>
                <wp:inline distT="0" distB="0" distL="0" distR="0">
                  <wp:extent cx="2808605" cy="3971290"/>
                  <wp:effectExtent l="0" t="0" r="0" b="0"/>
                  <wp:docPr id="8483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08605" cy="3971290"/>
                          </a:xfrm>
                          <a:prstGeom prst="rect">
                            <a:avLst/>
                          </a:prstGeom>
                          <a:noFill/>
                          <a:ln>
                            <a:noFill/>
                          </a:ln>
                        </pic:spPr>
                      </pic:pic>
                    </a:graphicData>
                  </a:graphic>
                </wp:inline>
              </w:drawing>
            </w:r>
          </w:p>
        </w:tc>
      </w:tr>
      <w:tr w:rsidR="00FC41F4" w:rsidRPr="00577593" w:rsidTr="00E258F8">
        <w:tc>
          <w:tcPr>
            <w:tcW w:w="4528" w:type="dxa"/>
            <w:shd w:val="clear" w:color="auto" w:fill="auto"/>
          </w:tcPr>
          <w:p w:rsidR="00FC41F4" w:rsidRPr="00577593" w:rsidRDefault="008925FA" w:rsidP="00CE13E1">
            <w:pPr>
              <w:pStyle w:val="aff9"/>
              <w:spacing w:after="0"/>
              <w:jc w:val="center"/>
              <w:rPr>
                <w:rFonts w:ascii="Times New Roman" w:hAnsi="Times New Roman"/>
                <w:color w:val="auto"/>
                <w:sz w:val="24"/>
                <w:szCs w:val="24"/>
              </w:rPr>
            </w:pPr>
            <w:bookmarkStart w:id="163" w:name="_Ref199463660"/>
            <w:r w:rsidRPr="00577593">
              <w:rPr>
                <w:rFonts w:ascii="Times New Roman" w:hAnsi="Times New Roman"/>
                <w:i w:val="0"/>
                <w:color w:val="auto"/>
                <w:sz w:val="28"/>
                <w:szCs w:val="28"/>
              </w:rPr>
              <w:t xml:space="preserve">Рисунок </w:t>
            </w:r>
            <w:r w:rsidR="00CE13E1">
              <w:rPr>
                <w:rFonts w:ascii="Times New Roman" w:hAnsi="Times New Roman"/>
                <w:i w:val="0"/>
                <w:color w:val="auto"/>
                <w:sz w:val="28"/>
                <w:szCs w:val="28"/>
              </w:rPr>
              <w:t>50</w:t>
            </w:r>
            <w:bookmarkEnd w:id="163"/>
            <w:r w:rsidRPr="00577593">
              <w:rPr>
                <w:rFonts w:ascii="Times New Roman" w:hAnsi="Times New Roman"/>
                <w:i w:val="0"/>
                <w:color w:val="auto"/>
                <w:sz w:val="28"/>
                <w:szCs w:val="28"/>
              </w:rPr>
              <w:t xml:space="preserve"> </w:t>
            </w:r>
            <w:r w:rsidR="00672709" w:rsidRPr="00577593">
              <w:rPr>
                <w:rFonts w:ascii="Times New Roman" w:hAnsi="Times New Roman"/>
                <w:i w:val="0"/>
                <w:color w:val="auto"/>
                <w:sz w:val="28"/>
                <w:szCs w:val="28"/>
              </w:rPr>
              <w:t>–</w:t>
            </w:r>
            <w:r w:rsidRPr="00577593">
              <w:rPr>
                <w:rFonts w:ascii="Times New Roman" w:hAnsi="Times New Roman"/>
                <w:i w:val="0"/>
                <w:color w:val="auto"/>
                <w:sz w:val="28"/>
                <w:szCs w:val="28"/>
              </w:rPr>
              <w:t xml:space="preserve"> Концентрация организаций дополнительного образования детей</w:t>
            </w:r>
            <w:r w:rsidR="00C3038B">
              <w:rPr>
                <w:rFonts w:ascii="Times New Roman" w:hAnsi="Times New Roman"/>
                <w:i w:val="0"/>
                <w:color w:val="auto"/>
                <w:sz w:val="28"/>
                <w:szCs w:val="28"/>
              </w:rPr>
              <w:t xml:space="preserve"> </w:t>
            </w:r>
            <w:r w:rsidR="00C3038B" w:rsidRPr="00C3038B">
              <w:rPr>
                <w:rFonts w:ascii="Times New Roman" w:hAnsi="Times New Roman"/>
                <w:i w:val="0"/>
                <w:color w:val="auto"/>
                <w:sz w:val="28"/>
                <w:szCs w:val="28"/>
              </w:rPr>
              <w:t>на территории города Барнаула</w:t>
            </w:r>
          </w:p>
        </w:tc>
        <w:tc>
          <w:tcPr>
            <w:tcW w:w="4656" w:type="dxa"/>
            <w:shd w:val="clear" w:color="auto" w:fill="auto"/>
          </w:tcPr>
          <w:p w:rsidR="00FC41F4" w:rsidRPr="00577593" w:rsidRDefault="008925FA" w:rsidP="00CE13E1">
            <w:pPr>
              <w:pStyle w:val="aff9"/>
              <w:spacing w:after="0"/>
              <w:jc w:val="center"/>
              <w:rPr>
                <w:rFonts w:ascii="Times New Roman" w:hAnsi="Times New Roman"/>
                <w:i w:val="0"/>
                <w:color w:val="auto"/>
                <w:sz w:val="24"/>
                <w:szCs w:val="24"/>
              </w:rPr>
            </w:pPr>
            <w:bookmarkStart w:id="164" w:name="_Ref199463661"/>
            <w:r w:rsidRPr="00577593">
              <w:rPr>
                <w:rFonts w:ascii="Times New Roman" w:hAnsi="Times New Roman"/>
                <w:i w:val="0"/>
                <w:color w:val="auto"/>
                <w:sz w:val="28"/>
                <w:szCs w:val="28"/>
              </w:rPr>
              <w:t xml:space="preserve">Рисунок </w:t>
            </w:r>
            <w:bookmarkEnd w:id="164"/>
            <w:r w:rsidR="00CE13E1">
              <w:rPr>
                <w:rFonts w:ascii="Times New Roman" w:hAnsi="Times New Roman"/>
                <w:i w:val="0"/>
                <w:color w:val="auto"/>
                <w:sz w:val="28"/>
                <w:szCs w:val="28"/>
              </w:rPr>
              <w:t>51</w:t>
            </w:r>
            <w:r w:rsidRPr="00577593">
              <w:rPr>
                <w:rFonts w:ascii="Times New Roman" w:hAnsi="Times New Roman"/>
                <w:i w:val="0"/>
                <w:color w:val="auto"/>
                <w:sz w:val="28"/>
                <w:szCs w:val="28"/>
              </w:rPr>
              <w:t xml:space="preserve"> </w:t>
            </w:r>
            <w:r w:rsidR="00672709" w:rsidRPr="00577593">
              <w:rPr>
                <w:rFonts w:ascii="Times New Roman" w:hAnsi="Times New Roman"/>
                <w:i w:val="0"/>
                <w:color w:val="auto"/>
                <w:sz w:val="28"/>
                <w:szCs w:val="28"/>
              </w:rPr>
              <w:t>–</w:t>
            </w:r>
            <w:r w:rsidRPr="00577593">
              <w:rPr>
                <w:rFonts w:ascii="Times New Roman" w:hAnsi="Times New Roman"/>
                <w:i w:val="0"/>
                <w:color w:val="auto"/>
                <w:sz w:val="28"/>
                <w:szCs w:val="28"/>
              </w:rPr>
              <w:t xml:space="preserve"> Концентрация спортивных организаций</w:t>
            </w:r>
            <w:r w:rsidR="00C3038B">
              <w:rPr>
                <w:rFonts w:ascii="Times New Roman" w:hAnsi="Times New Roman"/>
                <w:i w:val="0"/>
                <w:color w:val="auto"/>
                <w:sz w:val="28"/>
                <w:szCs w:val="28"/>
              </w:rPr>
              <w:t xml:space="preserve"> </w:t>
            </w:r>
            <w:r w:rsidR="00C3038B">
              <w:rPr>
                <w:rFonts w:ascii="Times New Roman" w:hAnsi="Times New Roman"/>
                <w:i w:val="0"/>
                <w:color w:val="auto"/>
                <w:sz w:val="28"/>
                <w:szCs w:val="28"/>
              </w:rPr>
              <w:br/>
            </w:r>
            <w:r w:rsidR="00C3038B" w:rsidRPr="00C3038B">
              <w:rPr>
                <w:rFonts w:ascii="Times New Roman" w:hAnsi="Times New Roman"/>
                <w:i w:val="0"/>
                <w:color w:val="auto"/>
                <w:sz w:val="28"/>
                <w:szCs w:val="28"/>
              </w:rPr>
              <w:t>на территории города Барнаула</w:t>
            </w:r>
          </w:p>
        </w:tc>
      </w:tr>
      <w:tr w:rsidR="00E258F8" w:rsidRPr="00577593" w:rsidTr="00E258F8">
        <w:tc>
          <w:tcPr>
            <w:tcW w:w="9184" w:type="dxa"/>
            <w:gridSpan w:val="2"/>
            <w:shd w:val="clear" w:color="auto" w:fill="auto"/>
          </w:tcPr>
          <w:p w:rsidR="00E258F8" w:rsidRPr="00577593" w:rsidRDefault="00E258F8" w:rsidP="00E258F8">
            <w:pPr>
              <w:pStyle w:val="aff9"/>
              <w:rPr>
                <w:rFonts w:ascii="Times New Roman" w:hAnsi="Times New Roman"/>
                <w:i w:val="0"/>
                <w:color w:val="auto"/>
                <w:sz w:val="28"/>
                <w:szCs w:val="28"/>
              </w:rPr>
            </w:pPr>
            <w:r w:rsidRPr="00577593">
              <w:rPr>
                <w:rFonts w:ascii="Times New Roman" w:hAnsi="Times New Roman"/>
                <w:i w:val="0"/>
                <w:color w:val="auto"/>
                <w:sz w:val="28"/>
                <w:szCs w:val="28"/>
              </w:rPr>
              <w:t>Примечание – Источник: по данным открытых источников</w:t>
            </w:r>
          </w:p>
        </w:tc>
      </w:tr>
    </w:tbl>
    <w:p w:rsidR="00FC41F4" w:rsidRPr="00577593" w:rsidRDefault="008925FA" w:rsidP="002000D4">
      <w:pPr>
        <w:spacing w:before="200" w:after="0" w:line="240" w:lineRule="auto"/>
        <w:ind w:firstLine="709"/>
        <w:jc w:val="both"/>
        <w:rPr>
          <w:rFonts w:ascii="Times New Roman" w:hAnsi="Times New Roman"/>
          <w:sz w:val="28"/>
          <w:szCs w:val="28"/>
        </w:rPr>
      </w:pPr>
      <w:r w:rsidRPr="00577593">
        <w:rPr>
          <w:rFonts w:ascii="Times New Roman" w:hAnsi="Times New Roman"/>
          <w:sz w:val="28"/>
          <w:szCs w:val="28"/>
        </w:rPr>
        <w:t>Новое жилищное с</w:t>
      </w:r>
      <w:r w:rsidR="008413D1" w:rsidRPr="00577593">
        <w:rPr>
          <w:rFonts w:ascii="Times New Roman" w:hAnsi="Times New Roman"/>
          <w:sz w:val="28"/>
          <w:szCs w:val="28"/>
        </w:rPr>
        <w:t>троительство в 2012-2024 год</w:t>
      </w:r>
      <w:r w:rsidR="008D738C">
        <w:rPr>
          <w:rFonts w:ascii="Times New Roman" w:hAnsi="Times New Roman"/>
          <w:sz w:val="28"/>
          <w:szCs w:val="28"/>
        </w:rPr>
        <w:t>ах</w:t>
      </w:r>
      <w:r w:rsidRPr="00577593">
        <w:rPr>
          <w:rFonts w:ascii="Times New Roman" w:hAnsi="Times New Roman"/>
          <w:sz w:val="28"/>
          <w:szCs w:val="28"/>
        </w:rPr>
        <w:t xml:space="preserve"> концентрировалось в основном в Индустриальном районе </w:t>
      </w:r>
      <w:r w:rsidR="00672709" w:rsidRPr="00577593">
        <w:rPr>
          <w:rFonts w:ascii="Times New Roman" w:hAnsi="Times New Roman"/>
          <w:sz w:val="28"/>
          <w:szCs w:val="28"/>
        </w:rPr>
        <w:t>–</w:t>
      </w:r>
      <w:r w:rsidRPr="00577593">
        <w:rPr>
          <w:rFonts w:ascii="Times New Roman" w:hAnsi="Times New Roman"/>
          <w:sz w:val="28"/>
          <w:szCs w:val="28"/>
        </w:rPr>
        <w:t xml:space="preserve"> в первую очередь это жилые проекты в микрорайонах Балтийском, Лазурном и Лазурном-2. </w:t>
      </w:r>
      <w:r w:rsidR="008413D1" w:rsidRPr="00577593">
        <w:rPr>
          <w:rFonts w:ascii="Times New Roman" w:hAnsi="Times New Roman"/>
          <w:sz w:val="28"/>
          <w:szCs w:val="28"/>
        </w:rPr>
        <w:t>Развитие этих территорий в 2012-2024 год</w:t>
      </w:r>
      <w:r w:rsidR="008D738C">
        <w:rPr>
          <w:rFonts w:ascii="Times New Roman" w:hAnsi="Times New Roman"/>
          <w:sz w:val="28"/>
          <w:szCs w:val="28"/>
        </w:rPr>
        <w:t>ах</w:t>
      </w:r>
      <w:r w:rsidRPr="00577593">
        <w:rPr>
          <w:rFonts w:ascii="Times New Roman" w:hAnsi="Times New Roman"/>
          <w:sz w:val="28"/>
          <w:szCs w:val="28"/>
        </w:rPr>
        <w:t xml:space="preserve"> было продолжением паттерна развития первых двух постсоветских десятилетий </w:t>
      </w:r>
      <w:r w:rsidR="00E258F8">
        <w:rPr>
          <w:rFonts w:ascii="Times New Roman" w:hAnsi="Times New Roman"/>
          <w:sz w:val="28"/>
          <w:szCs w:val="28"/>
        </w:rPr>
        <w:t>(Рисунок 52, Рисунок 53)</w:t>
      </w:r>
      <w:r w:rsidRPr="00577593">
        <w:rPr>
          <w:rFonts w:ascii="Times New Roman" w:hAnsi="Times New Roman"/>
          <w:sz w:val="28"/>
          <w:szCs w:val="28"/>
        </w:rPr>
        <w:t xml:space="preserve">. Именно в этой части </w:t>
      </w:r>
      <w:r w:rsidR="004B1E0B">
        <w:rPr>
          <w:rFonts w:ascii="Times New Roman" w:hAnsi="Times New Roman"/>
          <w:sz w:val="28"/>
          <w:szCs w:val="28"/>
        </w:rPr>
        <w:t>города Бар</w:t>
      </w:r>
      <w:r w:rsidRPr="00577593">
        <w:rPr>
          <w:rFonts w:ascii="Times New Roman" w:hAnsi="Times New Roman"/>
          <w:sz w:val="28"/>
          <w:szCs w:val="28"/>
        </w:rPr>
        <w:t xml:space="preserve">наула сформировался второй городской центр. При этом новая жилая застройка в других частях города носила хаотичный </w:t>
      </w:r>
      <w:r w:rsidR="008D738C">
        <w:rPr>
          <w:rFonts w:ascii="Times New Roman" w:hAnsi="Times New Roman"/>
          <w:sz w:val="28"/>
          <w:szCs w:val="28"/>
        </w:rPr>
        <w:br/>
      </w:r>
      <w:r w:rsidRPr="00577593">
        <w:rPr>
          <w:rFonts w:ascii="Times New Roman" w:hAnsi="Times New Roman"/>
          <w:sz w:val="28"/>
          <w:szCs w:val="28"/>
        </w:rPr>
        <w:t>и «точечный» характер, особенно в историческом р</w:t>
      </w:r>
      <w:r w:rsidR="008413D1" w:rsidRPr="00577593">
        <w:rPr>
          <w:rFonts w:ascii="Times New Roman" w:hAnsi="Times New Roman"/>
          <w:sz w:val="28"/>
          <w:szCs w:val="28"/>
        </w:rPr>
        <w:t xml:space="preserve">айоне. Как видно </w:t>
      </w:r>
      <w:r w:rsidR="008D738C">
        <w:rPr>
          <w:rFonts w:ascii="Times New Roman" w:hAnsi="Times New Roman"/>
          <w:sz w:val="28"/>
          <w:szCs w:val="28"/>
        </w:rPr>
        <w:br/>
      </w:r>
      <w:r w:rsidR="008413D1" w:rsidRPr="00577593">
        <w:rPr>
          <w:rFonts w:ascii="Times New Roman" w:hAnsi="Times New Roman"/>
          <w:sz w:val="28"/>
          <w:szCs w:val="28"/>
        </w:rPr>
        <w:t>из рисунков 53-</w:t>
      </w:r>
      <w:r w:rsidRPr="00577593">
        <w:rPr>
          <w:rFonts w:ascii="Times New Roman" w:hAnsi="Times New Roman"/>
          <w:sz w:val="28"/>
          <w:szCs w:val="28"/>
        </w:rPr>
        <w:t xml:space="preserve">57, в зонах советской </w:t>
      </w:r>
      <w:r w:rsidR="008413D1" w:rsidRPr="00577593">
        <w:rPr>
          <w:rFonts w:ascii="Times New Roman" w:hAnsi="Times New Roman"/>
          <w:sz w:val="28"/>
          <w:szCs w:val="28"/>
        </w:rPr>
        <w:t>многоквартирной застройки (1955-1980 годы</w:t>
      </w:r>
      <w:r w:rsidRPr="00577593">
        <w:rPr>
          <w:rFonts w:ascii="Times New Roman" w:hAnsi="Times New Roman"/>
          <w:sz w:val="28"/>
          <w:szCs w:val="28"/>
        </w:rPr>
        <w:t>) не сформировались активные городские центры.</w:t>
      </w:r>
    </w:p>
    <w:tbl>
      <w:tblPr>
        <w:tblW w:w="0" w:type="auto"/>
        <w:tblBorders>
          <w:top w:val="none" w:sz="12" w:space="0" w:color="000000"/>
          <w:left w:val="none" w:sz="12" w:space="0" w:color="000000"/>
          <w:bottom w:val="none" w:sz="12" w:space="0" w:color="000000"/>
          <w:right w:val="none" w:sz="12" w:space="0" w:color="000000"/>
          <w:insideH w:val="none" w:sz="12" w:space="0" w:color="000000"/>
          <w:insideV w:val="none" w:sz="12" w:space="0" w:color="000000"/>
        </w:tblBorders>
        <w:tblLook w:val="04A0" w:firstRow="1" w:lastRow="0" w:firstColumn="1" w:lastColumn="0" w:noHBand="0" w:noVBand="1"/>
      </w:tblPr>
      <w:tblGrid>
        <w:gridCol w:w="4759"/>
        <w:gridCol w:w="4641"/>
      </w:tblGrid>
      <w:tr w:rsidR="00FC41F4" w:rsidRPr="00577593" w:rsidTr="00E258F8">
        <w:tc>
          <w:tcPr>
            <w:tcW w:w="4649" w:type="dxa"/>
            <w:shd w:val="clear" w:color="auto" w:fill="auto"/>
          </w:tcPr>
          <w:p w:rsidR="00FC41F4" w:rsidRPr="00577593" w:rsidRDefault="000D3F7A" w:rsidP="002000D4">
            <w:pPr>
              <w:spacing w:after="0" w:line="240" w:lineRule="auto"/>
              <w:contextualSpacing/>
              <w:jc w:val="both"/>
              <w:rPr>
                <w:rFonts w:ascii="Times New Roman" w:hAnsi="Times New Roman"/>
                <w:sz w:val="24"/>
              </w:rPr>
            </w:pPr>
            <w:r w:rsidRPr="00577593">
              <w:rPr>
                <w:rFonts w:ascii="Times New Roman" w:hAnsi="Times New Roman"/>
                <w:noProof/>
                <w:sz w:val="24"/>
                <w:lang w:eastAsia="ru-RU"/>
              </w:rPr>
              <w:lastRenderedPageBreak/>
              <w:drawing>
                <wp:inline distT="0" distB="0" distL="0" distR="0">
                  <wp:extent cx="3056890" cy="4192905"/>
                  <wp:effectExtent l="0" t="0" r="0" b="0"/>
                  <wp:docPr id="5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56890" cy="4192905"/>
                          </a:xfrm>
                          <a:prstGeom prst="rect">
                            <a:avLst/>
                          </a:prstGeom>
                          <a:noFill/>
                          <a:ln>
                            <a:noFill/>
                          </a:ln>
                        </pic:spPr>
                      </pic:pic>
                    </a:graphicData>
                  </a:graphic>
                </wp:inline>
              </w:drawing>
            </w:r>
          </w:p>
        </w:tc>
        <w:tc>
          <w:tcPr>
            <w:tcW w:w="4535" w:type="dxa"/>
            <w:shd w:val="clear" w:color="auto" w:fill="auto"/>
          </w:tcPr>
          <w:p w:rsidR="00FC41F4" w:rsidRPr="00577593" w:rsidRDefault="000D3F7A" w:rsidP="002000D4">
            <w:pPr>
              <w:spacing w:after="0" w:line="240" w:lineRule="auto"/>
              <w:contextualSpacing/>
              <w:jc w:val="both"/>
              <w:rPr>
                <w:rFonts w:ascii="Times New Roman" w:hAnsi="Times New Roman"/>
                <w:sz w:val="24"/>
              </w:rPr>
            </w:pPr>
            <w:r w:rsidRPr="00577593">
              <w:rPr>
                <w:rFonts w:ascii="Times New Roman" w:hAnsi="Times New Roman"/>
                <w:noProof/>
                <w:sz w:val="24"/>
                <w:lang w:eastAsia="ru-RU"/>
              </w:rPr>
              <w:drawing>
                <wp:inline distT="0" distB="0" distL="0" distR="0">
                  <wp:extent cx="2978150" cy="4192905"/>
                  <wp:effectExtent l="0" t="0" r="0" b="0"/>
                  <wp:docPr id="5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78150" cy="4192905"/>
                          </a:xfrm>
                          <a:prstGeom prst="rect">
                            <a:avLst/>
                          </a:prstGeom>
                          <a:noFill/>
                          <a:ln>
                            <a:noFill/>
                          </a:ln>
                        </pic:spPr>
                      </pic:pic>
                    </a:graphicData>
                  </a:graphic>
                </wp:inline>
              </w:drawing>
            </w:r>
          </w:p>
        </w:tc>
      </w:tr>
      <w:tr w:rsidR="00FC41F4" w:rsidRPr="00577593" w:rsidTr="00E258F8">
        <w:tc>
          <w:tcPr>
            <w:tcW w:w="4649" w:type="dxa"/>
            <w:shd w:val="clear" w:color="auto" w:fill="auto"/>
          </w:tcPr>
          <w:p w:rsidR="00FC41F4" w:rsidRPr="00577593" w:rsidRDefault="008925FA" w:rsidP="00C3038B">
            <w:pPr>
              <w:spacing w:after="0" w:line="240" w:lineRule="auto"/>
              <w:contextualSpacing/>
              <w:jc w:val="center"/>
              <w:rPr>
                <w:rFonts w:ascii="Times New Roman" w:hAnsi="Times New Roman"/>
                <w:sz w:val="24"/>
                <w:szCs w:val="24"/>
              </w:rPr>
            </w:pPr>
            <w:bookmarkStart w:id="165" w:name="_Ref199466158"/>
            <w:r w:rsidRPr="00577593">
              <w:rPr>
                <w:rFonts w:ascii="Times New Roman" w:hAnsi="Times New Roman"/>
                <w:sz w:val="28"/>
                <w:szCs w:val="28"/>
              </w:rPr>
              <w:t xml:space="preserve">Рисунок </w:t>
            </w:r>
            <w:r w:rsidR="00C3038B">
              <w:rPr>
                <w:rFonts w:ascii="Times New Roman" w:hAnsi="Times New Roman"/>
                <w:sz w:val="28"/>
                <w:szCs w:val="28"/>
              </w:rPr>
              <w:t>52</w:t>
            </w:r>
            <w:bookmarkEnd w:id="165"/>
            <w:r w:rsidRPr="00577593">
              <w:rPr>
                <w:rFonts w:ascii="Times New Roman" w:hAnsi="Times New Roman"/>
                <w:sz w:val="28"/>
                <w:szCs w:val="28"/>
              </w:rPr>
              <w:t xml:space="preserve"> </w:t>
            </w:r>
            <w:r w:rsidR="00672709" w:rsidRPr="00577593">
              <w:rPr>
                <w:rFonts w:ascii="Times New Roman" w:hAnsi="Times New Roman"/>
                <w:sz w:val="28"/>
                <w:szCs w:val="28"/>
              </w:rPr>
              <w:t>–</w:t>
            </w:r>
            <w:r w:rsidRPr="00577593">
              <w:rPr>
                <w:rFonts w:ascii="Times New Roman" w:hAnsi="Times New Roman"/>
                <w:sz w:val="28"/>
                <w:szCs w:val="28"/>
              </w:rPr>
              <w:t xml:space="preserve"> Новое жили</w:t>
            </w:r>
            <w:r w:rsidR="008413D1" w:rsidRPr="00577593">
              <w:rPr>
                <w:rFonts w:ascii="Times New Roman" w:hAnsi="Times New Roman"/>
                <w:sz w:val="28"/>
                <w:szCs w:val="28"/>
              </w:rPr>
              <w:t xml:space="preserve">щное строительство (МКД) </w:t>
            </w:r>
            <w:r w:rsidR="00C3038B">
              <w:rPr>
                <w:rFonts w:ascii="Times New Roman" w:hAnsi="Times New Roman"/>
                <w:sz w:val="28"/>
                <w:szCs w:val="28"/>
              </w:rPr>
              <w:br/>
            </w:r>
            <w:r w:rsidR="008413D1" w:rsidRPr="00577593">
              <w:rPr>
                <w:rFonts w:ascii="Times New Roman" w:hAnsi="Times New Roman"/>
                <w:sz w:val="28"/>
                <w:szCs w:val="28"/>
              </w:rPr>
              <w:t>в 2012-</w:t>
            </w:r>
            <w:r w:rsidRPr="00577593">
              <w:rPr>
                <w:rFonts w:ascii="Times New Roman" w:hAnsi="Times New Roman"/>
                <w:sz w:val="28"/>
                <w:szCs w:val="28"/>
              </w:rPr>
              <w:t>2024 г</w:t>
            </w:r>
            <w:r w:rsidR="008413D1" w:rsidRPr="00577593">
              <w:rPr>
                <w:rFonts w:ascii="Times New Roman" w:hAnsi="Times New Roman"/>
                <w:sz w:val="28"/>
                <w:szCs w:val="28"/>
              </w:rPr>
              <w:t>оды</w:t>
            </w:r>
          </w:p>
        </w:tc>
        <w:tc>
          <w:tcPr>
            <w:tcW w:w="4535" w:type="dxa"/>
            <w:shd w:val="clear" w:color="auto" w:fill="auto"/>
          </w:tcPr>
          <w:p w:rsidR="00FC41F4" w:rsidRPr="00577593" w:rsidRDefault="008925FA" w:rsidP="00C3038B">
            <w:pPr>
              <w:spacing w:after="0" w:line="240" w:lineRule="auto"/>
              <w:contextualSpacing/>
              <w:jc w:val="center"/>
              <w:rPr>
                <w:rFonts w:ascii="Times New Roman" w:hAnsi="Times New Roman"/>
                <w:sz w:val="24"/>
                <w:szCs w:val="24"/>
              </w:rPr>
            </w:pPr>
            <w:bookmarkStart w:id="166" w:name="_Ref199466159"/>
            <w:r w:rsidRPr="00577593">
              <w:rPr>
                <w:rFonts w:ascii="Times New Roman" w:hAnsi="Times New Roman"/>
                <w:sz w:val="28"/>
                <w:szCs w:val="28"/>
              </w:rPr>
              <w:t xml:space="preserve">Рисунок </w:t>
            </w:r>
            <w:r w:rsidR="00C3038B">
              <w:rPr>
                <w:rFonts w:ascii="Times New Roman" w:hAnsi="Times New Roman"/>
                <w:sz w:val="28"/>
                <w:szCs w:val="28"/>
              </w:rPr>
              <w:t>53</w:t>
            </w:r>
            <w:bookmarkEnd w:id="166"/>
            <w:r w:rsidRPr="00577593">
              <w:rPr>
                <w:rFonts w:ascii="Times New Roman" w:hAnsi="Times New Roman"/>
                <w:sz w:val="28"/>
                <w:szCs w:val="28"/>
              </w:rPr>
              <w:t xml:space="preserve"> </w:t>
            </w:r>
            <w:r w:rsidR="00672709" w:rsidRPr="00577593">
              <w:rPr>
                <w:rFonts w:ascii="Times New Roman" w:hAnsi="Times New Roman"/>
                <w:sz w:val="28"/>
                <w:szCs w:val="28"/>
              </w:rPr>
              <w:t>–</w:t>
            </w:r>
            <w:r w:rsidRPr="00577593">
              <w:rPr>
                <w:rFonts w:ascii="Times New Roman" w:hAnsi="Times New Roman"/>
                <w:sz w:val="28"/>
                <w:szCs w:val="28"/>
              </w:rPr>
              <w:t xml:space="preserve"> Жили</w:t>
            </w:r>
            <w:r w:rsidR="008413D1" w:rsidRPr="00577593">
              <w:rPr>
                <w:rFonts w:ascii="Times New Roman" w:hAnsi="Times New Roman"/>
                <w:sz w:val="28"/>
                <w:szCs w:val="28"/>
              </w:rPr>
              <w:t xml:space="preserve">щное строительство (МКД) </w:t>
            </w:r>
            <w:r w:rsidR="00C3038B">
              <w:rPr>
                <w:rFonts w:ascii="Times New Roman" w:hAnsi="Times New Roman"/>
                <w:sz w:val="28"/>
                <w:szCs w:val="28"/>
              </w:rPr>
              <w:br/>
            </w:r>
            <w:r w:rsidR="008413D1" w:rsidRPr="00577593">
              <w:rPr>
                <w:rFonts w:ascii="Times New Roman" w:hAnsi="Times New Roman"/>
                <w:sz w:val="28"/>
                <w:szCs w:val="28"/>
              </w:rPr>
              <w:t>в 1991-</w:t>
            </w:r>
            <w:r w:rsidRPr="00577593">
              <w:rPr>
                <w:rFonts w:ascii="Times New Roman" w:hAnsi="Times New Roman"/>
                <w:sz w:val="28"/>
                <w:szCs w:val="28"/>
              </w:rPr>
              <w:t>2011 г</w:t>
            </w:r>
            <w:r w:rsidR="008413D1" w:rsidRPr="00577593">
              <w:rPr>
                <w:rFonts w:ascii="Times New Roman" w:hAnsi="Times New Roman"/>
                <w:sz w:val="28"/>
                <w:szCs w:val="28"/>
              </w:rPr>
              <w:t>оды</w:t>
            </w:r>
          </w:p>
        </w:tc>
      </w:tr>
      <w:tr w:rsidR="00E258F8" w:rsidRPr="00577593" w:rsidTr="00E258F8">
        <w:tc>
          <w:tcPr>
            <w:tcW w:w="9184" w:type="dxa"/>
            <w:gridSpan w:val="2"/>
            <w:shd w:val="clear" w:color="auto" w:fill="auto"/>
          </w:tcPr>
          <w:p w:rsidR="00E258F8" w:rsidRPr="00577593" w:rsidRDefault="00E258F8" w:rsidP="00E258F8">
            <w:pPr>
              <w:pStyle w:val="aff9"/>
              <w:rPr>
                <w:rFonts w:ascii="Times New Roman" w:hAnsi="Times New Roman"/>
                <w:i w:val="0"/>
                <w:color w:val="auto"/>
                <w:sz w:val="28"/>
                <w:szCs w:val="28"/>
              </w:rPr>
            </w:pPr>
            <w:r w:rsidRPr="00577593">
              <w:rPr>
                <w:rFonts w:ascii="Times New Roman" w:hAnsi="Times New Roman"/>
                <w:i w:val="0"/>
                <w:color w:val="auto"/>
                <w:sz w:val="28"/>
                <w:szCs w:val="28"/>
              </w:rPr>
              <w:t>Примечание – Источник: по данным открытых источников</w:t>
            </w:r>
          </w:p>
        </w:tc>
      </w:tr>
    </w:tbl>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К основным проблемам в сфере пространственного развития можно отнести:</w:t>
      </w:r>
    </w:p>
    <w:p w:rsidR="00FC41F4" w:rsidRPr="00577593" w:rsidRDefault="008925FA" w:rsidP="002000D4">
      <w:pPr>
        <w:pStyle w:val="af5"/>
        <w:numPr>
          <w:ilvl w:val="0"/>
          <w:numId w:val="19"/>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 xml:space="preserve">разрастание и расползание городской застройки; </w:t>
      </w:r>
    </w:p>
    <w:p w:rsidR="00FC41F4" w:rsidRPr="00577593" w:rsidRDefault="008925FA" w:rsidP="002000D4">
      <w:pPr>
        <w:pStyle w:val="af5"/>
        <w:numPr>
          <w:ilvl w:val="0"/>
          <w:numId w:val="19"/>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 xml:space="preserve">рыхлость городской застройки, чередование многоэтажной и частной застройки; </w:t>
      </w:r>
    </w:p>
    <w:p w:rsidR="00FC41F4" w:rsidRPr="00577593" w:rsidRDefault="008925FA" w:rsidP="002000D4">
      <w:pPr>
        <w:pStyle w:val="af5"/>
        <w:numPr>
          <w:ilvl w:val="0"/>
          <w:numId w:val="19"/>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пространственное неравенство в доступности городских благ;</w:t>
      </w:r>
    </w:p>
    <w:p w:rsidR="00FC41F4" w:rsidRPr="00577593" w:rsidRDefault="008925FA" w:rsidP="00E85445">
      <w:pPr>
        <w:pStyle w:val="af5"/>
        <w:numPr>
          <w:ilvl w:val="0"/>
          <w:numId w:val="19"/>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дефицит удобных земельных участков под новое производственное и жилищное строительство.</w:t>
      </w:r>
    </w:p>
    <w:p w:rsidR="00E85445" w:rsidRPr="00E85445" w:rsidRDefault="00E85445" w:rsidP="00E85445">
      <w:pPr>
        <w:pStyle w:val="3"/>
        <w:spacing w:before="0" w:line="240" w:lineRule="auto"/>
        <w:ind w:firstLine="709"/>
        <w:rPr>
          <w:rFonts w:ascii="Times New Roman" w:hAnsi="Times New Roman"/>
          <w:b/>
          <w:color w:val="auto"/>
          <w:sz w:val="20"/>
          <w:szCs w:val="20"/>
        </w:rPr>
      </w:pPr>
      <w:bookmarkStart w:id="167" w:name="_Toc212804281"/>
    </w:p>
    <w:p w:rsidR="00FC41F4" w:rsidRPr="00577593" w:rsidRDefault="008925FA" w:rsidP="00E85445">
      <w:pPr>
        <w:pStyle w:val="3"/>
        <w:spacing w:before="0" w:line="240" w:lineRule="auto"/>
        <w:ind w:firstLine="709"/>
        <w:rPr>
          <w:rFonts w:ascii="Times New Roman" w:hAnsi="Times New Roman"/>
          <w:b/>
          <w:bCs/>
          <w:color w:val="auto"/>
          <w:sz w:val="28"/>
          <w:szCs w:val="28"/>
        </w:rPr>
      </w:pPr>
      <w:r w:rsidRPr="00577593">
        <w:rPr>
          <w:rFonts w:ascii="Times New Roman" w:hAnsi="Times New Roman"/>
          <w:b/>
          <w:color w:val="auto"/>
          <w:sz w:val="28"/>
          <w:szCs w:val="28"/>
        </w:rPr>
        <w:t>2.9</w:t>
      </w:r>
      <w:r w:rsidR="008D738C">
        <w:rPr>
          <w:rFonts w:ascii="Times New Roman" w:hAnsi="Times New Roman"/>
          <w:b/>
          <w:color w:val="auto"/>
          <w:sz w:val="28"/>
          <w:szCs w:val="28"/>
        </w:rPr>
        <w:t>.</w:t>
      </w:r>
      <w:r w:rsidRPr="00577593">
        <w:rPr>
          <w:rFonts w:ascii="Times New Roman" w:hAnsi="Times New Roman"/>
          <w:b/>
          <w:color w:val="auto"/>
          <w:sz w:val="28"/>
          <w:szCs w:val="28"/>
        </w:rPr>
        <w:t xml:space="preserve"> Муниципальное управление</w:t>
      </w:r>
      <w:bookmarkEnd w:id="167"/>
    </w:p>
    <w:p w:rsidR="00FC41F4" w:rsidRPr="00577593" w:rsidRDefault="008925FA" w:rsidP="00E85445">
      <w:pPr>
        <w:pStyle w:val="3"/>
        <w:spacing w:before="0" w:line="240" w:lineRule="auto"/>
        <w:ind w:firstLine="709"/>
        <w:jc w:val="both"/>
        <w:rPr>
          <w:rFonts w:ascii="Times New Roman" w:hAnsi="Times New Roman"/>
          <w:b/>
          <w:color w:val="auto"/>
          <w:sz w:val="28"/>
          <w:szCs w:val="28"/>
        </w:rPr>
      </w:pPr>
      <w:bookmarkStart w:id="168" w:name="_Toc326071942"/>
      <w:bookmarkStart w:id="169" w:name="_Toc204923013"/>
      <w:bookmarkStart w:id="170" w:name="_Toc204933347"/>
      <w:bookmarkStart w:id="171" w:name="_Toc208496651"/>
      <w:bookmarkStart w:id="172" w:name="_Toc208668933"/>
      <w:bookmarkStart w:id="173" w:name="_Toc212804282"/>
      <w:r w:rsidRPr="00577593">
        <w:rPr>
          <w:rFonts w:ascii="Times New Roman" w:hAnsi="Times New Roman"/>
          <w:b/>
          <w:color w:val="auto"/>
          <w:sz w:val="28"/>
          <w:szCs w:val="28"/>
        </w:rPr>
        <w:t>2.9.1</w:t>
      </w:r>
      <w:r w:rsidR="00E85445">
        <w:rPr>
          <w:rFonts w:ascii="Times New Roman" w:hAnsi="Times New Roman"/>
          <w:b/>
          <w:color w:val="auto"/>
          <w:sz w:val="28"/>
          <w:szCs w:val="28"/>
        </w:rPr>
        <w:t>. </w:t>
      </w:r>
      <w:r w:rsidRPr="00577593">
        <w:rPr>
          <w:rFonts w:ascii="Times New Roman" w:hAnsi="Times New Roman"/>
          <w:b/>
          <w:color w:val="auto"/>
          <w:sz w:val="28"/>
          <w:szCs w:val="28"/>
        </w:rPr>
        <w:t>Динамика и структура доходов и расходов местного бюджета</w:t>
      </w:r>
      <w:bookmarkEnd w:id="168"/>
      <w:bookmarkEnd w:id="169"/>
      <w:bookmarkEnd w:id="170"/>
      <w:bookmarkEnd w:id="171"/>
      <w:bookmarkEnd w:id="172"/>
      <w:bookmarkEnd w:id="173"/>
    </w:p>
    <w:p w:rsidR="006D4120" w:rsidRPr="00577593" w:rsidRDefault="006D4120"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Структура доходной части бюджета города Барнаула за 13 лет претерпела значительные изменения (</w:t>
      </w:r>
      <w:r w:rsidR="00D558A5">
        <w:fldChar w:fldCharType="begin"/>
      </w:r>
      <w:r w:rsidR="00D558A5">
        <w:instrText xml:space="preserve"> REF _Ref199466842 \h  \* MERGEFORMAT </w:instrText>
      </w:r>
      <w:r w:rsidR="00D558A5">
        <w:fldChar w:fldCharType="separate"/>
      </w:r>
      <w:r w:rsidR="00071499" w:rsidRPr="00071499">
        <w:rPr>
          <w:rFonts w:ascii="Times New Roman" w:hAnsi="Times New Roman"/>
          <w:sz w:val="28"/>
          <w:szCs w:val="28"/>
        </w:rPr>
        <w:t xml:space="preserve">Рисунок </w:t>
      </w:r>
      <w:r w:rsidR="00D558A5">
        <w:fldChar w:fldCharType="end"/>
      </w:r>
      <w:r w:rsidR="00C3038B">
        <w:rPr>
          <w:rFonts w:ascii="Times New Roman" w:hAnsi="Times New Roman"/>
          <w:sz w:val="28"/>
          <w:szCs w:val="28"/>
        </w:rPr>
        <w:t>54</w:t>
      </w:r>
      <w:r w:rsidRPr="00577593">
        <w:rPr>
          <w:rFonts w:ascii="Times New Roman" w:hAnsi="Times New Roman"/>
          <w:sz w:val="28"/>
          <w:szCs w:val="28"/>
        </w:rPr>
        <w:t>). Доля налоговых и неналоговых доходов сократилась с 63 до</w:t>
      </w:r>
      <w:r w:rsidR="00E85445">
        <w:rPr>
          <w:rFonts w:ascii="Times New Roman" w:hAnsi="Times New Roman"/>
          <w:sz w:val="28"/>
          <w:szCs w:val="28"/>
        </w:rPr>
        <w:t xml:space="preserve"> </w:t>
      </w:r>
      <w:r w:rsidRPr="00577593">
        <w:rPr>
          <w:rFonts w:ascii="Times New Roman" w:hAnsi="Times New Roman"/>
          <w:sz w:val="28"/>
          <w:szCs w:val="28"/>
        </w:rPr>
        <w:t xml:space="preserve">49%, а доля межбюджетных трансфертов от вышестоящих уровней власти повысилась </w:t>
      </w:r>
      <w:r w:rsidR="00FA6076" w:rsidRPr="00577593">
        <w:rPr>
          <w:rFonts w:ascii="Times New Roman" w:hAnsi="Times New Roman"/>
          <w:sz w:val="28"/>
          <w:szCs w:val="28"/>
        </w:rPr>
        <w:t>с 39</w:t>
      </w:r>
      <w:r w:rsidRPr="00577593">
        <w:rPr>
          <w:rFonts w:ascii="Times New Roman" w:hAnsi="Times New Roman"/>
          <w:sz w:val="28"/>
          <w:szCs w:val="28"/>
        </w:rPr>
        <w:t xml:space="preserve"> до 51%. </w:t>
      </w:r>
      <w:r w:rsidR="006A68F2" w:rsidRPr="00577593">
        <w:rPr>
          <w:rFonts w:ascii="Times New Roman" w:hAnsi="Times New Roman"/>
          <w:sz w:val="28"/>
          <w:szCs w:val="28"/>
        </w:rPr>
        <w:br/>
      </w:r>
      <w:r w:rsidRPr="00577593">
        <w:rPr>
          <w:rFonts w:ascii="Times New Roman" w:hAnsi="Times New Roman"/>
          <w:sz w:val="28"/>
          <w:szCs w:val="28"/>
        </w:rPr>
        <w:t xml:space="preserve">Рост доли субвенций в структуре доходов на 12 п.п. объясняется ростом расходов на реализацию переданных государственных полномочий. Стабильная доля субсидий объясняется краевой бюджетной политикой, при этом в динамике их доля менялась от 9% в 2015 году до 24,4% в 2022 году. </w:t>
      </w:r>
      <w:r w:rsidRPr="00577593">
        <w:rPr>
          <w:rFonts w:ascii="Times New Roman" w:hAnsi="Times New Roman"/>
          <w:sz w:val="28"/>
          <w:szCs w:val="28"/>
        </w:rPr>
        <w:lastRenderedPageBreak/>
        <w:t xml:space="preserve">Снижение вклада НДФЛ в доходы бюджета связано с изменениями федерального законодательства о снижении нормы отчислений этого налога в местные бюджеты. </w:t>
      </w:r>
    </w:p>
    <w:p w:rsidR="006D4120" w:rsidRPr="00577593" w:rsidRDefault="000D3F7A" w:rsidP="00AB43F5">
      <w:pPr>
        <w:pStyle w:val="aff9"/>
        <w:spacing w:after="0"/>
        <w:jc w:val="both"/>
        <w:rPr>
          <w:rFonts w:ascii="Times New Roman" w:hAnsi="Times New Roman"/>
          <w:i w:val="0"/>
          <w:color w:val="auto"/>
          <w:sz w:val="28"/>
          <w:szCs w:val="28"/>
        </w:rPr>
      </w:pPr>
      <w:r w:rsidRPr="00577593">
        <w:rPr>
          <w:rFonts w:ascii="Times New Roman" w:hAnsi="Times New Roman"/>
          <w:noProof/>
          <w:color w:val="auto"/>
          <w:sz w:val="24"/>
          <w:lang w:eastAsia="ru-RU"/>
        </w:rPr>
        <w:drawing>
          <wp:inline distT="0" distB="0" distL="0" distR="0">
            <wp:extent cx="5943600" cy="4780915"/>
            <wp:effectExtent l="0" t="0" r="0" b="0"/>
            <wp:docPr id="54" name="Объект 5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8D738C" w:rsidRDefault="006D4120" w:rsidP="00E258F8">
      <w:pPr>
        <w:pStyle w:val="aff9"/>
        <w:spacing w:after="0"/>
        <w:ind w:firstLine="709"/>
        <w:jc w:val="both"/>
        <w:rPr>
          <w:rFonts w:ascii="Times New Roman" w:hAnsi="Times New Roman"/>
          <w:i w:val="0"/>
          <w:color w:val="auto"/>
          <w:sz w:val="28"/>
          <w:szCs w:val="28"/>
        </w:rPr>
      </w:pPr>
      <w:bookmarkStart w:id="174" w:name="_Ref199466842"/>
      <w:r w:rsidRPr="008D738C">
        <w:rPr>
          <w:rFonts w:ascii="Times New Roman" w:hAnsi="Times New Roman"/>
          <w:i w:val="0"/>
          <w:color w:val="auto"/>
          <w:sz w:val="28"/>
          <w:szCs w:val="28"/>
        </w:rPr>
        <w:t xml:space="preserve">Рисунок </w:t>
      </w:r>
      <w:bookmarkEnd w:id="174"/>
      <w:r w:rsidR="00C3038B" w:rsidRPr="008D738C">
        <w:rPr>
          <w:rFonts w:ascii="Times New Roman" w:hAnsi="Times New Roman"/>
          <w:i w:val="0"/>
          <w:color w:val="auto"/>
          <w:sz w:val="28"/>
          <w:szCs w:val="28"/>
        </w:rPr>
        <w:t>54</w:t>
      </w:r>
      <w:r w:rsidRPr="008D738C">
        <w:rPr>
          <w:rFonts w:ascii="Times New Roman" w:hAnsi="Times New Roman"/>
          <w:i w:val="0"/>
          <w:color w:val="auto"/>
          <w:sz w:val="28"/>
          <w:szCs w:val="28"/>
        </w:rPr>
        <w:t xml:space="preserve"> – Структура доходов бюдже</w:t>
      </w:r>
      <w:r w:rsidR="00373623" w:rsidRPr="008D738C">
        <w:rPr>
          <w:rFonts w:ascii="Times New Roman" w:hAnsi="Times New Roman"/>
          <w:i w:val="0"/>
          <w:color w:val="auto"/>
          <w:sz w:val="28"/>
          <w:szCs w:val="28"/>
        </w:rPr>
        <w:t xml:space="preserve">та </w:t>
      </w:r>
      <w:r w:rsidRPr="008D738C">
        <w:rPr>
          <w:rFonts w:ascii="Times New Roman" w:hAnsi="Times New Roman"/>
          <w:i w:val="0"/>
          <w:color w:val="auto"/>
          <w:sz w:val="28"/>
          <w:szCs w:val="28"/>
        </w:rPr>
        <w:t>в 2012 и 2024 годы</w:t>
      </w:r>
      <w:r w:rsidR="008D738C" w:rsidRPr="008D738C">
        <w:rPr>
          <w:rFonts w:ascii="Times New Roman" w:hAnsi="Times New Roman"/>
          <w:i w:val="0"/>
          <w:color w:val="auto"/>
          <w:sz w:val="28"/>
          <w:szCs w:val="28"/>
        </w:rPr>
        <w:t xml:space="preserve"> </w:t>
      </w:r>
    </w:p>
    <w:p w:rsidR="00E258F8" w:rsidRPr="00577593" w:rsidRDefault="00E258F8" w:rsidP="00E258F8">
      <w:pPr>
        <w:pStyle w:val="aff9"/>
        <w:spacing w:after="0"/>
        <w:jc w:val="both"/>
        <w:rPr>
          <w:rFonts w:ascii="Times New Roman" w:hAnsi="Times New Roman"/>
          <w:i w:val="0"/>
          <w:color w:val="auto"/>
          <w:sz w:val="28"/>
          <w:szCs w:val="28"/>
        </w:rPr>
      </w:pPr>
      <w:r w:rsidRPr="00577593">
        <w:rPr>
          <w:rFonts w:ascii="Times New Roman" w:hAnsi="Times New Roman"/>
          <w:i w:val="0"/>
          <w:color w:val="auto"/>
          <w:sz w:val="28"/>
          <w:szCs w:val="28"/>
        </w:rPr>
        <w:t xml:space="preserve">Примечание – Источник: на основе данных </w:t>
      </w:r>
      <w:r w:rsidRPr="00577593">
        <w:rPr>
          <w:rFonts w:ascii="Times New Roman" w:hAnsi="Times New Roman"/>
          <w:i w:val="0"/>
          <w:iCs w:val="0"/>
          <w:color w:val="auto"/>
          <w:sz w:val="28"/>
          <w:szCs w:val="28"/>
        </w:rPr>
        <w:t>администрации</w:t>
      </w:r>
      <w:r w:rsidRPr="00577593">
        <w:rPr>
          <w:rFonts w:ascii="Times New Roman" w:hAnsi="Times New Roman"/>
          <w:i w:val="0"/>
          <w:color w:val="auto"/>
          <w:sz w:val="28"/>
          <w:szCs w:val="28"/>
        </w:rPr>
        <w:t xml:space="preserve"> города Барнаула, решений Барнаульской городской Думы, данных Росстата</w:t>
      </w:r>
    </w:p>
    <w:p w:rsidR="00E258F8" w:rsidRDefault="00E258F8" w:rsidP="008D738C">
      <w:pPr>
        <w:pStyle w:val="aff9"/>
        <w:ind w:firstLine="709"/>
        <w:jc w:val="both"/>
        <w:rPr>
          <w:rFonts w:ascii="Times New Roman" w:hAnsi="Times New Roman"/>
          <w:i w:val="0"/>
          <w:color w:val="auto"/>
          <w:sz w:val="28"/>
          <w:szCs w:val="28"/>
        </w:rPr>
      </w:pPr>
    </w:p>
    <w:p w:rsidR="008D738C" w:rsidRPr="00577593" w:rsidRDefault="008D738C" w:rsidP="008D738C">
      <w:pPr>
        <w:pStyle w:val="aff9"/>
        <w:ind w:firstLine="709"/>
        <w:jc w:val="both"/>
        <w:rPr>
          <w:rFonts w:ascii="Times New Roman" w:hAnsi="Times New Roman"/>
          <w:i w:val="0"/>
          <w:color w:val="auto"/>
          <w:sz w:val="28"/>
          <w:szCs w:val="28"/>
        </w:rPr>
      </w:pPr>
      <w:r w:rsidRPr="00577593">
        <w:rPr>
          <w:rFonts w:ascii="Times New Roman" w:hAnsi="Times New Roman"/>
          <w:i w:val="0"/>
          <w:color w:val="auto"/>
          <w:sz w:val="28"/>
          <w:szCs w:val="28"/>
        </w:rPr>
        <w:t xml:space="preserve">За 13 лет доходы бюджета в расчете на 1 жителя выросли почти </w:t>
      </w:r>
      <w:r w:rsidRPr="00577593">
        <w:rPr>
          <w:rFonts w:ascii="Times New Roman" w:hAnsi="Times New Roman"/>
          <w:i w:val="0"/>
          <w:color w:val="auto"/>
          <w:sz w:val="28"/>
          <w:szCs w:val="28"/>
        </w:rPr>
        <w:br/>
        <w:t xml:space="preserve">в 1,5 раза с 30 тыс. рублей до 44,2 тыс. рублей в сопоставимых ценах декабря 2024 года </w:t>
      </w:r>
      <w:r w:rsidR="00E258F8">
        <w:rPr>
          <w:rFonts w:ascii="Times New Roman" w:hAnsi="Times New Roman"/>
          <w:i w:val="0"/>
          <w:color w:val="auto"/>
          <w:sz w:val="28"/>
          <w:szCs w:val="28"/>
        </w:rPr>
        <w:t>(Рисунок 55)</w:t>
      </w:r>
      <w:r w:rsidRPr="00577593">
        <w:rPr>
          <w:rFonts w:ascii="Times New Roman" w:hAnsi="Times New Roman"/>
          <w:i w:val="0"/>
          <w:color w:val="auto"/>
          <w:sz w:val="28"/>
          <w:szCs w:val="28"/>
        </w:rPr>
        <w:t xml:space="preserve">. Снижение доходов в 2014-2018 годы связано с национальным экономическим кризисом 2014 года и снижением поступлений неналоговых доходов, восстановление же произошло </w:t>
      </w:r>
      <w:r w:rsidRPr="00577593">
        <w:rPr>
          <w:rFonts w:ascii="Times New Roman" w:hAnsi="Times New Roman"/>
          <w:i w:val="0"/>
          <w:color w:val="auto"/>
          <w:sz w:val="28"/>
          <w:szCs w:val="28"/>
        </w:rPr>
        <w:br/>
        <w:t>к 2019 году, а с 2016 года наблюдается устойчивый тренд роста доходов.</w:t>
      </w:r>
    </w:p>
    <w:p w:rsidR="006D4120" w:rsidRPr="00577593" w:rsidRDefault="006D4120" w:rsidP="00AB43F5">
      <w:pPr>
        <w:spacing w:after="0" w:line="240" w:lineRule="auto"/>
        <w:jc w:val="center"/>
        <w:rPr>
          <w:rFonts w:ascii="Times New Roman" w:hAnsi="Times New Roman"/>
          <w:sz w:val="28"/>
          <w:szCs w:val="28"/>
        </w:rPr>
      </w:pPr>
    </w:p>
    <w:p w:rsidR="006D4120" w:rsidRPr="00577593" w:rsidRDefault="000D3F7A" w:rsidP="00DA609F">
      <w:pPr>
        <w:spacing w:after="0" w:line="240" w:lineRule="auto"/>
        <w:jc w:val="both"/>
        <w:rPr>
          <w:rFonts w:ascii="Times New Roman" w:hAnsi="Times New Roman"/>
          <w:sz w:val="24"/>
          <w:szCs w:val="24"/>
        </w:rPr>
      </w:pPr>
      <w:r w:rsidRPr="00577593">
        <w:rPr>
          <w:rFonts w:ascii="Times New Roman" w:hAnsi="Times New Roman"/>
          <w:noProof/>
          <w:sz w:val="24"/>
          <w:lang w:eastAsia="ru-RU"/>
        </w:rPr>
        <w:lastRenderedPageBreak/>
        <w:drawing>
          <wp:inline distT="0" distB="0" distL="0" distR="0">
            <wp:extent cx="5943600" cy="3853815"/>
            <wp:effectExtent l="0" t="0" r="0" b="0"/>
            <wp:docPr id="55" name="Объект 5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6D4120" w:rsidRDefault="006D4120" w:rsidP="00E258F8">
      <w:pPr>
        <w:spacing w:after="0" w:line="240" w:lineRule="auto"/>
        <w:ind w:hanging="142"/>
        <w:jc w:val="center"/>
        <w:rPr>
          <w:rFonts w:ascii="Times New Roman" w:hAnsi="Times New Roman"/>
          <w:sz w:val="28"/>
          <w:szCs w:val="28"/>
        </w:rPr>
      </w:pPr>
      <w:bookmarkStart w:id="175" w:name="_Ref199466867"/>
      <w:r w:rsidRPr="00577593">
        <w:rPr>
          <w:rFonts w:ascii="Times New Roman" w:hAnsi="Times New Roman"/>
          <w:sz w:val="28"/>
          <w:szCs w:val="28"/>
        </w:rPr>
        <w:t xml:space="preserve">Рисунок </w:t>
      </w:r>
      <w:bookmarkEnd w:id="175"/>
      <w:r w:rsidRPr="00577593">
        <w:rPr>
          <w:rFonts w:ascii="Times New Roman" w:hAnsi="Times New Roman"/>
          <w:sz w:val="28"/>
          <w:szCs w:val="28"/>
        </w:rPr>
        <w:t>5</w:t>
      </w:r>
      <w:r w:rsidR="00C3038B">
        <w:rPr>
          <w:rFonts w:ascii="Times New Roman" w:hAnsi="Times New Roman"/>
          <w:sz w:val="28"/>
          <w:szCs w:val="28"/>
        </w:rPr>
        <w:t>5</w:t>
      </w:r>
      <w:r w:rsidRPr="00577593">
        <w:rPr>
          <w:rFonts w:ascii="Times New Roman" w:hAnsi="Times New Roman"/>
          <w:sz w:val="28"/>
          <w:szCs w:val="28"/>
        </w:rPr>
        <w:t xml:space="preserve"> – Доходы бюджета на одного жителя в ценах 2024 года, рублей</w:t>
      </w:r>
    </w:p>
    <w:p w:rsidR="00E258F8" w:rsidRPr="00577593" w:rsidRDefault="00E258F8" w:rsidP="00E258F8">
      <w:pPr>
        <w:spacing w:after="0" w:line="240" w:lineRule="auto"/>
        <w:jc w:val="both"/>
        <w:rPr>
          <w:rFonts w:ascii="Times New Roman" w:hAnsi="Times New Roman"/>
          <w:sz w:val="24"/>
          <w:szCs w:val="24"/>
        </w:rPr>
      </w:pPr>
      <w:r w:rsidRPr="00577593">
        <w:rPr>
          <w:rFonts w:ascii="Times New Roman" w:hAnsi="Times New Roman"/>
          <w:iCs/>
          <w:sz w:val="28"/>
          <w:szCs w:val="28"/>
        </w:rPr>
        <w:t>Примечание – Источник: на основе данных администрации города Барнаула, решений Барнаульской городской Думы, данных Росстата</w:t>
      </w:r>
    </w:p>
    <w:p w:rsidR="006D4120" w:rsidRPr="00577593" w:rsidRDefault="006D4120" w:rsidP="002000D4">
      <w:pPr>
        <w:spacing w:after="0" w:line="240" w:lineRule="auto"/>
        <w:ind w:firstLine="709"/>
        <w:jc w:val="both"/>
        <w:rPr>
          <w:rFonts w:ascii="Times New Roman" w:hAnsi="Times New Roman"/>
          <w:sz w:val="24"/>
          <w:szCs w:val="24"/>
        </w:rPr>
      </w:pPr>
    </w:p>
    <w:p w:rsidR="00315903"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Структура расходной части бюджета города Барнаула за 13 лет претерпела незначительные изменения (</w:t>
      </w:r>
      <w:r w:rsidR="00D558A5">
        <w:fldChar w:fldCharType="begin"/>
      </w:r>
      <w:r w:rsidR="00D558A5">
        <w:instrText xml:space="preserve"> REF _Ref199466598 \h  \* MERGEFORMAT </w:instrText>
      </w:r>
      <w:r w:rsidR="00D558A5">
        <w:fldChar w:fldCharType="separate"/>
      </w:r>
      <w:r w:rsidR="00071499" w:rsidRPr="00577593">
        <w:rPr>
          <w:rFonts w:ascii="Times New Roman" w:hAnsi="Times New Roman"/>
          <w:sz w:val="28"/>
          <w:szCs w:val="28"/>
        </w:rPr>
        <w:t xml:space="preserve">Рисунок </w:t>
      </w:r>
      <w:r w:rsidR="00D558A5">
        <w:fldChar w:fldCharType="end"/>
      </w:r>
      <w:r w:rsidR="00C3038B">
        <w:rPr>
          <w:rFonts w:ascii="Times New Roman" w:hAnsi="Times New Roman"/>
          <w:sz w:val="28"/>
          <w:szCs w:val="28"/>
        </w:rPr>
        <w:t>56</w:t>
      </w:r>
      <w:r w:rsidRPr="00577593">
        <w:rPr>
          <w:rFonts w:ascii="Times New Roman" w:hAnsi="Times New Roman"/>
          <w:sz w:val="28"/>
          <w:szCs w:val="28"/>
        </w:rPr>
        <w:t xml:space="preserve">). Основным направлением расходов осталось образование </w:t>
      </w:r>
      <w:r w:rsidR="00672709" w:rsidRPr="00577593">
        <w:rPr>
          <w:rFonts w:ascii="Times New Roman" w:hAnsi="Times New Roman"/>
          <w:sz w:val="28"/>
          <w:szCs w:val="28"/>
        </w:rPr>
        <w:t>–</w:t>
      </w:r>
      <w:r w:rsidRPr="00577593">
        <w:rPr>
          <w:rFonts w:ascii="Times New Roman" w:hAnsi="Times New Roman"/>
          <w:sz w:val="28"/>
          <w:szCs w:val="28"/>
        </w:rPr>
        <w:t xml:space="preserve"> 54%. Значительно снизилась доля социальной политики, что связано в основном с уменьшением поступлений федеральных и краевых средств на приобретение жилья молодыми семьями и количества молодых семей – участников программы, сократился удельный вес расходов на общегосударственные вопросы при росте их в абсолютном значении (в них входят в основном расходы на функционирование органов местного самоуправления). Доля рас</w:t>
      </w:r>
      <w:bookmarkStart w:id="176" w:name="_GoBack"/>
      <w:bookmarkEnd w:id="176"/>
      <w:r w:rsidRPr="00577593">
        <w:rPr>
          <w:rFonts w:ascii="Times New Roman" w:hAnsi="Times New Roman"/>
          <w:sz w:val="28"/>
          <w:szCs w:val="28"/>
        </w:rPr>
        <w:t>ходов бюджета на</w:t>
      </w:r>
      <w:r w:rsidR="00071499">
        <w:rPr>
          <w:rFonts w:ascii="Times New Roman" w:hAnsi="Times New Roman"/>
          <w:sz w:val="28"/>
          <w:szCs w:val="28"/>
        </w:rPr>
        <w:t xml:space="preserve"> жилищно-коммунальное хозяйство</w:t>
      </w:r>
      <w:r w:rsidRPr="00577593">
        <w:rPr>
          <w:rFonts w:ascii="Times New Roman" w:hAnsi="Times New Roman"/>
          <w:sz w:val="28"/>
          <w:szCs w:val="28"/>
        </w:rPr>
        <w:t xml:space="preserve"> и национальную экономику подросли примерно на 5 п.п. каждый. В то же время за 13 лет доля расходов на решение вопрос</w:t>
      </w:r>
      <w:r w:rsidR="00A34295" w:rsidRPr="00577593">
        <w:rPr>
          <w:rFonts w:ascii="Times New Roman" w:hAnsi="Times New Roman"/>
          <w:sz w:val="28"/>
          <w:szCs w:val="28"/>
        </w:rPr>
        <w:t>ов местного значения упала с 81</w:t>
      </w:r>
      <w:r w:rsidRPr="00577593">
        <w:rPr>
          <w:rFonts w:ascii="Times New Roman" w:hAnsi="Times New Roman"/>
          <w:sz w:val="28"/>
          <w:szCs w:val="28"/>
        </w:rPr>
        <w:t xml:space="preserve"> до 68%, а расходы на реализацию государственных полномочий, переданных на местный уровень, выросли с 19% до 32%.</w:t>
      </w:r>
      <w:r w:rsidR="00315903" w:rsidRPr="00577593">
        <w:rPr>
          <w:rFonts w:ascii="Times New Roman" w:hAnsi="Times New Roman"/>
          <w:sz w:val="28"/>
          <w:szCs w:val="28"/>
        </w:rPr>
        <w:t xml:space="preserve"> За 13 лет расходы бюджета в расчете на 1 жит</w:t>
      </w:r>
      <w:r w:rsidR="00E65F98" w:rsidRPr="00577593">
        <w:rPr>
          <w:rFonts w:ascii="Times New Roman" w:hAnsi="Times New Roman"/>
          <w:sz w:val="28"/>
          <w:szCs w:val="28"/>
        </w:rPr>
        <w:t xml:space="preserve">еля выросли с 12,9 тыс. рублей </w:t>
      </w:r>
      <w:r w:rsidR="00315903" w:rsidRPr="00577593">
        <w:rPr>
          <w:rFonts w:ascii="Times New Roman" w:hAnsi="Times New Roman"/>
          <w:sz w:val="28"/>
          <w:szCs w:val="28"/>
        </w:rPr>
        <w:t>до 42,7 тыс. рублей в сопоставимых ценах декабря</w:t>
      </w:r>
      <w:r w:rsidR="007D492B">
        <w:rPr>
          <w:rFonts w:ascii="Times New Roman" w:hAnsi="Times New Roman"/>
          <w:sz w:val="28"/>
          <w:szCs w:val="28"/>
        </w:rPr>
        <w:t xml:space="preserve"> </w:t>
      </w:r>
      <w:r w:rsidR="00315903" w:rsidRPr="00577593">
        <w:rPr>
          <w:rFonts w:ascii="Times New Roman" w:hAnsi="Times New Roman"/>
          <w:sz w:val="28"/>
          <w:szCs w:val="28"/>
        </w:rPr>
        <w:t>2024 года.</w:t>
      </w:r>
    </w:p>
    <w:p w:rsidR="00FC41F4" w:rsidRPr="00577593" w:rsidRDefault="000D3F7A" w:rsidP="002000D4">
      <w:pPr>
        <w:spacing w:after="0" w:line="240" w:lineRule="auto"/>
        <w:jc w:val="center"/>
        <w:rPr>
          <w:rFonts w:ascii="Times New Roman" w:hAnsi="Times New Roman"/>
          <w:sz w:val="24"/>
          <w:szCs w:val="24"/>
        </w:rPr>
      </w:pPr>
      <w:r w:rsidRPr="00577593">
        <w:rPr>
          <w:rFonts w:ascii="Times New Roman" w:hAnsi="Times New Roman"/>
          <w:noProof/>
          <w:sz w:val="24"/>
          <w:lang w:eastAsia="ru-RU"/>
        </w:rPr>
        <w:lastRenderedPageBreak/>
        <w:drawing>
          <wp:inline distT="0" distB="0" distL="0" distR="0">
            <wp:extent cx="5447030" cy="3488055"/>
            <wp:effectExtent l="0" t="0" r="0" b="0"/>
            <wp:docPr id="56"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FC41F4" w:rsidRDefault="008925FA" w:rsidP="00FC234A">
      <w:pPr>
        <w:spacing w:after="0" w:line="240" w:lineRule="auto"/>
        <w:jc w:val="center"/>
        <w:rPr>
          <w:rFonts w:ascii="Times New Roman" w:hAnsi="Times New Roman"/>
          <w:sz w:val="28"/>
          <w:szCs w:val="28"/>
        </w:rPr>
      </w:pPr>
      <w:bookmarkStart w:id="177" w:name="_Ref199466598"/>
      <w:r w:rsidRPr="00577593">
        <w:rPr>
          <w:rFonts w:ascii="Times New Roman" w:hAnsi="Times New Roman"/>
          <w:sz w:val="28"/>
          <w:szCs w:val="28"/>
        </w:rPr>
        <w:t xml:space="preserve">Рисунок </w:t>
      </w:r>
      <w:bookmarkEnd w:id="177"/>
      <w:r w:rsidR="00C3038B">
        <w:rPr>
          <w:rFonts w:ascii="Times New Roman" w:hAnsi="Times New Roman"/>
          <w:sz w:val="28"/>
          <w:szCs w:val="28"/>
        </w:rPr>
        <w:t>56</w:t>
      </w:r>
      <w:r w:rsidRPr="00577593">
        <w:rPr>
          <w:rFonts w:ascii="Times New Roman" w:hAnsi="Times New Roman"/>
          <w:sz w:val="28"/>
          <w:szCs w:val="28"/>
        </w:rPr>
        <w:t xml:space="preserve"> </w:t>
      </w:r>
      <w:r w:rsidR="00672709" w:rsidRPr="00577593">
        <w:rPr>
          <w:rFonts w:ascii="Times New Roman" w:hAnsi="Times New Roman"/>
          <w:sz w:val="28"/>
          <w:szCs w:val="28"/>
        </w:rPr>
        <w:t>–</w:t>
      </w:r>
      <w:r w:rsidRPr="00577593">
        <w:rPr>
          <w:rFonts w:ascii="Times New Roman" w:hAnsi="Times New Roman"/>
          <w:sz w:val="28"/>
          <w:szCs w:val="28"/>
        </w:rPr>
        <w:t xml:space="preserve"> Структура расходов бюдже</w:t>
      </w:r>
      <w:r w:rsidR="008413D1" w:rsidRPr="00577593">
        <w:rPr>
          <w:rFonts w:ascii="Times New Roman" w:hAnsi="Times New Roman"/>
          <w:sz w:val="28"/>
          <w:szCs w:val="28"/>
        </w:rPr>
        <w:t>та в 2012 и 2024 годы</w:t>
      </w:r>
    </w:p>
    <w:p w:rsidR="00E258F8" w:rsidRPr="00577593" w:rsidRDefault="00E258F8" w:rsidP="00E258F8">
      <w:pPr>
        <w:pStyle w:val="aff9"/>
        <w:spacing w:after="0"/>
        <w:jc w:val="both"/>
        <w:rPr>
          <w:rFonts w:ascii="Times New Roman" w:hAnsi="Times New Roman"/>
          <w:i w:val="0"/>
          <w:iCs w:val="0"/>
          <w:color w:val="auto"/>
          <w:sz w:val="28"/>
          <w:szCs w:val="28"/>
        </w:rPr>
      </w:pPr>
      <w:r w:rsidRPr="00577593">
        <w:rPr>
          <w:rFonts w:ascii="Times New Roman" w:hAnsi="Times New Roman"/>
          <w:i w:val="0"/>
          <w:iCs w:val="0"/>
          <w:color w:val="auto"/>
          <w:sz w:val="28"/>
          <w:szCs w:val="28"/>
        </w:rPr>
        <w:t>Примечание – Источник: на основе данных администрации города Барнаула, решений Барнаульской городской Думы, данных Росстата</w:t>
      </w:r>
    </w:p>
    <w:p w:rsidR="00AB43F5" w:rsidRPr="00577593" w:rsidRDefault="00AB43F5" w:rsidP="00FC234A">
      <w:pPr>
        <w:spacing w:after="0" w:line="240" w:lineRule="auto"/>
        <w:jc w:val="center"/>
        <w:rPr>
          <w:rFonts w:ascii="Times New Roman" w:hAnsi="Times New Roman"/>
          <w:sz w:val="28"/>
          <w:szCs w:val="28"/>
        </w:rPr>
      </w:pPr>
    </w:p>
    <w:p w:rsidR="00FC41F4" w:rsidRPr="00577593" w:rsidRDefault="008925FA" w:rsidP="00FC234A">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Бюджетная политика </w:t>
      </w:r>
      <w:r w:rsidR="00955692">
        <w:rPr>
          <w:rFonts w:ascii="Times New Roman" w:hAnsi="Times New Roman"/>
          <w:sz w:val="28"/>
          <w:szCs w:val="28"/>
        </w:rPr>
        <w:t xml:space="preserve">города </w:t>
      </w:r>
      <w:r w:rsidRPr="00577593">
        <w:rPr>
          <w:rFonts w:ascii="Times New Roman" w:hAnsi="Times New Roman"/>
          <w:sz w:val="28"/>
          <w:szCs w:val="28"/>
        </w:rPr>
        <w:t xml:space="preserve">Барнаула отличается сбалансированностью </w:t>
      </w:r>
      <w:r w:rsidR="00431D46" w:rsidRPr="00577593">
        <w:rPr>
          <w:rFonts w:ascii="Times New Roman" w:hAnsi="Times New Roman"/>
          <w:sz w:val="28"/>
          <w:szCs w:val="28"/>
        </w:rPr>
        <w:t>–</w:t>
      </w:r>
      <w:r w:rsidRPr="00577593">
        <w:rPr>
          <w:rFonts w:ascii="Times New Roman" w:hAnsi="Times New Roman"/>
          <w:sz w:val="28"/>
          <w:szCs w:val="28"/>
        </w:rPr>
        <w:t xml:space="preserve"> в 2012</w:t>
      </w:r>
      <w:r w:rsidR="00431D46" w:rsidRPr="00577593">
        <w:rPr>
          <w:rFonts w:ascii="Times New Roman" w:hAnsi="Times New Roman"/>
          <w:sz w:val="28"/>
          <w:szCs w:val="28"/>
        </w:rPr>
        <w:t xml:space="preserve">-2024 годы </w:t>
      </w:r>
      <w:r w:rsidRPr="00577593">
        <w:rPr>
          <w:rFonts w:ascii="Times New Roman" w:hAnsi="Times New Roman"/>
          <w:sz w:val="28"/>
          <w:szCs w:val="28"/>
        </w:rPr>
        <w:t>профицит бюджета прева</w:t>
      </w:r>
      <w:r w:rsidR="00431D46" w:rsidRPr="00577593">
        <w:rPr>
          <w:rFonts w:ascii="Times New Roman" w:hAnsi="Times New Roman"/>
          <w:sz w:val="28"/>
          <w:szCs w:val="28"/>
        </w:rPr>
        <w:t>лировал над дефицитом. В 2024 годы</w:t>
      </w:r>
      <w:r w:rsidRPr="00577593">
        <w:rPr>
          <w:rFonts w:ascii="Times New Roman" w:hAnsi="Times New Roman"/>
          <w:sz w:val="28"/>
          <w:szCs w:val="28"/>
        </w:rPr>
        <w:t xml:space="preserve"> п</w:t>
      </w:r>
      <w:r w:rsidR="00431D46" w:rsidRPr="00577593">
        <w:rPr>
          <w:rFonts w:ascii="Times New Roman" w:hAnsi="Times New Roman"/>
          <w:sz w:val="28"/>
          <w:szCs w:val="28"/>
        </w:rPr>
        <w:t>рофицит составил 3,3%, в 2023 году</w:t>
      </w:r>
      <w:r w:rsidRPr="00577593">
        <w:rPr>
          <w:rFonts w:ascii="Times New Roman" w:hAnsi="Times New Roman"/>
          <w:sz w:val="28"/>
          <w:szCs w:val="28"/>
        </w:rPr>
        <w:t xml:space="preserve"> дефицит составил 1,7%, самый большой дефицит был в кризисный</w:t>
      </w:r>
      <w:r w:rsidR="00431D46" w:rsidRPr="00577593">
        <w:rPr>
          <w:rFonts w:ascii="Times New Roman" w:hAnsi="Times New Roman"/>
          <w:sz w:val="28"/>
          <w:szCs w:val="28"/>
        </w:rPr>
        <w:t xml:space="preserve"> 2015 год</w:t>
      </w:r>
      <w:r w:rsidRPr="00577593">
        <w:rPr>
          <w:rFonts w:ascii="Times New Roman" w:hAnsi="Times New Roman"/>
          <w:sz w:val="28"/>
          <w:szCs w:val="28"/>
        </w:rPr>
        <w:t xml:space="preserve"> </w:t>
      </w:r>
      <w:r w:rsidR="00431D46" w:rsidRPr="00577593">
        <w:rPr>
          <w:rFonts w:ascii="Times New Roman" w:hAnsi="Times New Roman"/>
          <w:sz w:val="28"/>
          <w:szCs w:val="28"/>
        </w:rPr>
        <w:t>– 3,4%. В 2012-2024 годы</w:t>
      </w:r>
      <w:r w:rsidRPr="00577593">
        <w:rPr>
          <w:rFonts w:ascii="Times New Roman" w:hAnsi="Times New Roman"/>
          <w:sz w:val="28"/>
          <w:szCs w:val="28"/>
        </w:rPr>
        <w:t xml:space="preserve"> бюджет города сбалансирован по доходам и расходам с учетом требования действующего бюджетного законодательства. С 2013 года муниципальный долг отсутствует.</w:t>
      </w:r>
    </w:p>
    <w:p w:rsidR="006614BD" w:rsidRPr="00577593" w:rsidRDefault="006614BD" w:rsidP="006614BD">
      <w:pPr>
        <w:spacing w:after="0" w:line="240" w:lineRule="auto"/>
        <w:ind w:firstLine="709"/>
        <w:jc w:val="both"/>
        <w:rPr>
          <w:rFonts w:ascii="Times New Roman" w:hAnsi="Times New Roman"/>
          <w:sz w:val="28"/>
          <w:szCs w:val="28"/>
        </w:rPr>
      </w:pPr>
      <w:r w:rsidRPr="00577593">
        <w:rPr>
          <w:rFonts w:ascii="Times New Roman" w:hAnsi="Times New Roman"/>
          <w:sz w:val="28"/>
          <w:szCs w:val="28"/>
        </w:rPr>
        <w:t>Динамика собираемости НДФЛ и налога на совокупный доход в 2012-2024 годы в ценах 2024 года показывает устойчивый рост (</w:t>
      </w:r>
      <w:r w:rsidR="00D558A5">
        <w:fldChar w:fldCharType="begin"/>
      </w:r>
      <w:r w:rsidR="00D558A5">
        <w:instrText xml:space="preserve"> REF _Ref199467019 \h  \* MERGEFORMAT </w:instrText>
      </w:r>
      <w:r w:rsidR="00D558A5">
        <w:fldChar w:fldCharType="separate"/>
      </w:r>
      <w:r w:rsidR="00071499" w:rsidRPr="00577593">
        <w:rPr>
          <w:rFonts w:ascii="Times New Roman" w:hAnsi="Times New Roman"/>
          <w:sz w:val="28"/>
          <w:szCs w:val="28"/>
        </w:rPr>
        <w:t xml:space="preserve">Рисунок </w:t>
      </w:r>
      <w:r w:rsidR="00D558A5">
        <w:fldChar w:fldCharType="end"/>
      </w:r>
      <w:r w:rsidR="00C3038B">
        <w:rPr>
          <w:rFonts w:ascii="Times New Roman" w:hAnsi="Times New Roman"/>
          <w:sz w:val="28"/>
          <w:szCs w:val="28"/>
        </w:rPr>
        <w:t>57</w:t>
      </w:r>
      <w:r w:rsidRPr="00577593">
        <w:rPr>
          <w:rFonts w:ascii="Times New Roman" w:hAnsi="Times New Roman"/>
          <w:sz w:val="28"/>
          <w:szCs w:val="28"/>
        </w:rPr>
        <w:t xml:space="preserve">). Снижение </w:t>
      </w:r>
      <w:r w:rsidR="00666EA1" w:rsidRPr="00577593">
        <w:rPr>
          <w:rFonts w:ascii="Times New Roman" w:hAnsi="Times New Roman"/>
          <w:sz w:val="28"/>
          <w:szCs w:val="28"/>
        </w:rPr>
        <w:t>сборов НДФЛ с 5,63 до 3,16 млрд</w:t>
      </w:r>
      <w:r w:rsidRPr="00577593">
        <w:rPr>
          <w:rFonts w:ascii="Times New Roman" w:hAnsi="Times New Roman"/>
          <w:sz w:val="28"/>
          <w:szCs w:val="28"/>
        </w:rPr>
        <w:t xml:space="preserve"> рублей связан</w:t>
      </w:r>
      <w:r w:rsidR="00666EA1" w:rsidRPr="00577593">
        <w:rPr>
          <w:rFonts w:ascii="Times New Roman" w:hAnsi="Times New Roman"/>
          <w:sz w:val="28"/>
          <w:szCs w:val="28"/>
        </w:rPr>
        <w:t>о</w:t>
      </w:r>
      <w:r w:rsidRPr="00577593">
        <w:rPr>
          <w:rFonts w:ascii="Times New Roman" w:hAnsi="Times New Roman"/>
          <w:sz w:val="28"/>
          <w:szCs w:val="28"/>
        </w:rPr>
        <w:t xml:space="preserve"> с изменением федерального законодательства, достигнув</w:t>
      </w:r>
      <w:r w:rsidR="00666EA1" w:rsidRPr="00577593">
        <w:rPr>
          <w:rFonts w:ascii="Times New Roman" w:hAnsi="Times New Roman"/>
          <w:sz w:val="28"/>
          <w:szCs w:val="28"/>
        </w:rPr>
        <w:t xml:space="preserve"> минимального значения </w:t>
      </w:r>
      <w:r w:rsidR="00666EA1" w:rsidRPr="00577593">
        <w:rPr>
          <w:rFonts w:ascii="Times New Roman" w:hAnsi="Times New Roman"/>
          <w:sz w:val="28"/>
          <w:szCs w:val="28"/>
        </w:rPr>
        <w:br/>
        <w:t>в 2017 году</w:t>
      </w:r>
      <w:r w:rsidRPr="00577593">
        <w:rPr>
          <w:rFonts w:ascii="Times New Roman" w:hAnsi="Times New Roman"/>
          <w:sz w:val="28"/>
          <w:szCs w:val="28"/>
        </w:rPr>
        <w:t>, собирае</w:t>
      </w:r>
      <w:r w:rsidR="00666EA1" w:rsidRPr="00577593">
        <w:rPr>
          <w:rFonts w:ascii="Times New Roman" w:hAnsi="Times New Roman"/>
          <w:sz w:val="28"/>
          <w:szCs w:val="28"/>
        </w:rPr>
        <w:t>мость устойчиво росла до 2022 года, а в 2023</w:t>
      </w:r>
      <w:r w:rsidR="00666EA1" w:rsidRPr="00577593">
        <w:rPr>
          <w:rFonts w:ascii="Times New Roman" w:hAnsi="Times New Roman"/>
          <w:sz w:val="28"/>
          <w:szCs w:val="28"/>
        </w:rPr>
        <w:noBreakHyphen/>
        <w:t xml:space="preserve">2024 годы </w:t>
      </w:r>
      <w:r w:rsidRPr="00577593">
        <w:rPr>
          <w:rFonts w:ascii="Times New Roman" w:hAnsi="Times New Roman"/>
          <w:sz w:val="28"/>
          <w:szCs w:val="28"/>
        </w:rPr>
        <w:t xml:space="preserve">резко поднялась почти </w:t>
      </w:r>
      <w:r w:rsidR="00B54E09">
        <w:rPr>
          <w:rFonts w:ascii="Times New Roman" w:hAnsi="Times New Roman"/>
          <w:sz w:val="28"/>
          <w:szCs w:val="28"/>
        </w:rPr>
        <w:t>до уровня</w:t>
      </w:r>
      <w:r w:rsidRPr="00577593">
        <w:rPr>
          <w:rFonts w:ascii="Times New Roman" w:hAnsi="Times New Roman"/>
          <w:sz w:val="28"/>
          <w:szCs w:val="28"/>
        </w:rPr>
        <w:t xml:space="preserve"> показател</w:t>
      </w:r>
      <w:r w:rsidR="00B54E09">
        <w:rPr>
          <w:rFonts w:ascii="Times New Roman" w:hAnsi="Times New Roman"/>
          <w:sz w:val="28"/>
          <w:szCs w:val="28"/>
        </w:rPr>
        <w:t>ей</w:t>
      </w:r>
      <w:r w:rsidRPr="00577593">
        <w:rPr>
          <w:rFonts w:ascii="Times New Roman" w:hAnsi="Times New Roman"/>
          <w:sz w:val="28"/>
          <w:szCs w:val="28"/>
        </w:rPr>
        <w:t xml:space="preserve"> докризисного 2013 г</w:t>
      </w:r>
      <w:r w:rsidR="00666EA1" w:rsidRPr="00577593">
        <w:rPr>
          <w:rFonts w:ascii="Times New Roman" w:hAnsi="Times New Roman"/>
          <w:sz w:val="28"/>
          <w:szCs w:val="28"/>
        </w:rPr>
        <w:t>ода</w:t>
      </w:r>
      <w:r w:rsidRPr="00577593">
        <w:rPr>
          <w:rFonts w:ascii="Times New Roman" w:hAnsi="Times New Roman"/>
          <w:sz w:val="28"/>
          <w:szCs w:val="28"/>
        </w:rPr>
        <w:t>. Налог на совокупный доход показал схожую с НДФЛ динамику, при этом собираемость выросла в 1,76 раза, а доля в бюджете стала почти сопоставимой с вкладом НДФЛ в структуре городского бюджета.</w:t>
      </w:r>
    </w:p>
    <w:p w:rsidR="007E50B3" w:rsidRPr="00577593" w:rsidRDefault="007E50B3" w:rsidP="002000D4">
      <w:pPr>
        <w:spacing w:after="0" w:line="240" w:lineRule="auto"/>
        <w:ind w:firstLine="709"/>
        <w:jc w:val="both"/>
        <w:rPr>
          <w:rFonts w:ascii="Times New Roman" w:hAnsi="Times New Roman"/>
          <w:sz w:val="28"/>
          <w:szCs w:val="28"/>
        </w:rPr>
      </w:pPr>
    </w:p>
    <w:p w:rsidR="00FC41F4" w:rsidRPr="00577593" w:rsidRDefault="000D3F7A" w:rsidP="00FA6076">
      <w:pPr>
        <w:spacing w:line="240" w:lineRule="auto"/>
        <w:rPr>
          <w:rFonts w:ascii="Times New Roman" w:hAnsi="Times New Roman"/>
          <w:sz w:val="2"/>
          <w:szCs w:val="2"/>
        </w:rPr>
      </w:pPr>
      <w:r w:rsidRPr="00577593">
        <w:rPr>
          <w:rFonts w:ascii="Times New Roman" w:hAnsi="Times New Roman"/>
          <w:noProof/>
          <w:sz w:val="24"/>
          <w:szCs w:val="24"/>
          <w:lang w:eastAsia="ru-RU"/>
        </w:rPr>
        <w:lastRenderedPageBreak/>
        <w:drawing>
          <wp:inline distT="0" distB="0" distL="0" distR="0">
            <wp:extent cx="5943600" cy="2703830"/>
            <wp:effectExtent l="0" t="0" r="0" b="0"/>
            <wp:docPr id="57" name="Объект 5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FC41F4" w:rsidRDefault="008925FA" w:rsidP="00FC234A">
      <w:pPr>
        <w:spacing w:after="0" w:line="240" w:lineRule="auto"/>
        <w:jc w:val="center"/>
        <w:rPr>
          <w:rFonts w:ascii="Times New Roman" w:hAnsi="Times New Roman"/>
          <w:sz w:val="28"/>
          <w:szCs w:val="28"/>
        </w:rPr>
      </w:pPr>
      <w:bookmarkStart w:id="178" w:name="_Ref199467019"/>
      <w:r w:rsidRPr="00577593">
        <w:rPr>
          <w:rFonts w:ascii="Times New Roman" w:hAnsi="Times New Roman"/>
          <w:sz w:val="28"/>
          <w:szCs w:val="28"/>
        </w:rPr>
        <w:t xml:space="preserve">Рисунок </w:t>
      </w:r>
      <w:bookmarkEnd w:id="178"/>
      <w:r w:rsidR="00C3038B">
        <w:rPr>
          <w:rFonts w:ascii="Times New Roman" w:hAnsi="Times New Roman"/>
          <w:sz w:val="28"/>
          <w:szCs w:val="28"/>
        </w:rPr>
        <w:t>57</w:t>
      </w:r>
      <w:r w:rsidRPr="00577593">
        <w:rPr>
          <w:rFonts w:ascii="Times New Roman" w:hAnsi="Times New Roman"/>
          <w:sz w:val="28"/>
          <w:szCs w:val="28"/>
        </w:rPr>
        <w:t xml:space="preserve"> </w:t>
      </w:r>
      <w:r w:rsidR="00F558DF" w:rsidRPr="00577593">
        <w:rPr>
          <w:rFonts w:ascii="Times New Roman" w:hAnsi="Times New Roman"/>
          <w:sz w:val="28"/>
          <w:szCs w:val="28"/>
        </w:rPr>
        <w:t>–</w:t>
      </w:r>
      <w:r w:rsidRPr="00577593">
        <w:rPr>
          <w:rFonts w:ascii="Times New Roman" w:hAnsi="Times New Roman"/>
          <w:sz w:val="28"/>
          <w:szCs w:val="28"/>
        </w:rPr>
        <w:t xml:space="preserve"> Динамика собираемости НДФЛ и налога на совокупный </w:t>
      </w:r>
      <w:r w:rsidR="00DB51A8" w:rsidRPr="00577593">
        <w:rPr>
          <w:rFonts w:ascii="Times New Roman" w:hAnsi="Times New Roman"/>
          <w:sz w:val="28"/>
          <w:szCs w:val="28"/>
        </w:rPr>
        <w:br/>
        <w:t xml:space="preserve">доход </w:t>
      </w:r>
      <w:r w:rsidRPr="00577593">
        <w:rPr>
          <w:rFonts w:ascii="Times New Roman" w:hAnsi="Times New Roman"/>
          <w:sz w:val="28"/>
          <w:szCs w:val="28"/>
        </w:rPr>
        <w:t>в 2012</w:t>
      </w:r>
      <w:r w:rsidR="00F558DF" w:rsidRPr="00577593">
        <w:rPr>
          <w:rFonts w:ascii="Times New Roman" w:hAnsi="Times New Roman"/>
          <w:sz w:val="28"/>
          <w:szCs w:val="28"/>
        </w:rPr>
        <w:t>-2024 годы,</w:t>
      </w:r>
      <w:r w:rsidR="00431D46" w:rsidRPr="00577593">
        <w:rPr>
          <w:rFonts w:ascii="Times New Roman" w:hAnsi="Times New Roman"/>
          <w:sz w:val="28"/>
          <w:szCs w:val="28"/>
        </w:rPr>
        <w:t xml:space="preserve"> в ценах 2024 года</w:t>
      </w:r>
      <w:r w:rsidRPr="00577593">
        <w:rPr>
          <w:rFonts w:ascii="Times New Roman" w:hAnsi="Times New Roman"/>
          <w:sz w:val="28"/>
          <w:szCs w:val="28"/>
        </w:rPr>
        <w:t>, млрд рублей</w:t>
      </w:r>
    </w:p>
    <w:p w:rsidR="00E258F8" w:rsidRPr="00577593" w:rsidRDefault="00E258F8" w:rsidP="00E258F8">
      <w:pPr>
        <w:pStyle w:val="aff9"/>
        <w:spacing w:after="0"/>
        <w:jc w:val="both"/>
        <w:rPr>
          <w:rFonts w:ascii="Times New Roman" w:hAnsi="Times New Roman"/>
          <w:i w:val="0"/>
          <w:iCs w:val="0"/>
          <w:color w:val="auto"/>
          <w:sz w:val="28"/>
          <w:szCs w:val="28"/>
        </w:rPr>
      </w:pPr>
      <w:r w:rsidRPr="00577593">
        <w:rPr>
          <w:rFonts w:ascii="Times New Roman" w:hAnsi="Times New Roman"/>
          <w:i w:val="0"/>
          <w:iCs w:val="0"/>
          <w:color w:val="auto"/>
          <w:sz w:val="28"/>
          <w:szCs w:val="28"/>
        </w:rPr>
        <w:t>Примечание – Источник: данные администрации города Барнаула, решения Барнаульской городской Думы, данные Росстата</w:t>
      </w:r>
    </w:p>
    <w:p w:rsidR="00AB43F5" w:rsidRPr="00577593" w:rsidRDefault="00AB43F5" w:rsidP="00FC234A">
      <w:pPr>
        <w:spacing w:after="0" w:line="240" w:lineRule="auto"/>
        <w:jc w:val="center"/>
        <w:rPr>
          <w:rFonts w:ascii="Times New Roman" w:hAnsi="Times New Roman"/>
          <w:sz w:val="28"/>
          <w:szCs w:val="28"/>
        </w:rPr>
      </w:pPr>
    </w:p>
    <w:p w:rsidR="00C81268" w:rsidRDefault="00A82158" w:rsidP="00A82158">
      <w:pPr>
        <w:spacing w:after="0" w:line="240" w:lineRule="auto"/>
        <w:ind w:firstLine="709"/>
        <w:jc w:val="both"/>
        <w:rPr>
          <w:rFonts w:ascii="Times New Roman" w:hAnsi="Times New Roman"/>
          <w:sz w:val="28"/>
          <w:szCs w:val="28"/>
        </w:rPr>
      </w:pPr>
      <w:r w:rsidRPr="00577593">
        <w:rPr>
          <w:rFonts w:ascii="Times New Roman" w:hAnsi="Times New Roman"/>
          <w:sz w:val="28"/>
          <w:szCs w:val="28"/>
        </w:rPr>
        <w:t>Два других налога - налог на имущество и налог на землю - показывают негативную динамику собираемости со снижением в доле городских доходов (</w:t>
      </w:r>
      <w:r w:rsidR="00955692" w:rsidRPr="00955692">
        <w:rPr>
          <w:rFonts w:ascii="Times New Roman" w:hAnsi="Times New Roman"/>
          <w:sz w:val="28"/>
          <w:szCs w:val="28"/>
        </w:rPr>
        <w:t>Рисунок 58</w:t>
      </w:r>
      <w:r w:rsidRPr="00577593">
        <w:rPr>
          <w:rFonts w:ascii="Times New Roman" w:hAnsi="Times New Roman"/>
          <w:sz w:val="28"/>
          <w:szCs w:val="28"/>
        </w:rPr>
        <w:t>). При расчете в постоян</w:t>
      </w:r>
      <w:r w:rsidR="00BD7E7A" w:rsidRPr="00577593">
        <w:rPr>
          <w:rFonts w:ascii="Times New Roman" w:hAnsi="Times New Roman"/>
          <w:sz w:val="28"/>
          <w:szCs w:val="28"/>
        </w:rPr>
        <w:t>ных ценах</w:t>
      </w:r>
      <w:r w:rsidR="00955692">
        <w:rPr>
          <w:rFonts w:ascii="Times New Roman" w:hAnsi="Times New Roman"/>
          <w:sz w:val="28"/>
          <w:szCs w:val="28"/>
        </w:rPr>
        <w:br/>
      </w:r>
      <w:r w:rsidR="00BD7E7A" w:rsidRPr="00577593">
        <w:rPr>
          <w:rFonts w:ascii="Times New Roman" w:hAnsi="Times New Roman"/>
          <w:sz w:val="28"/>
          <w:szCs w:val="28"/>
        </w:rPr>
        <w:t xml:space="preserve">2024 года </w:t>
      </w:r>
      <w:r w:rsidRPr="00577593">
        <w:rPr>
          <w:rFonts w:ascii="Times New Roman" w:hAnsi="Times New Roman"/>
          <w:sz w:val="28"/>
          <w:szCs w:val="28"/>
        </w:rPr>
        <w:t>сборы налога на имуществ</w:t>
      </w:r>
      <w:r w:rsidR="00BD7E7A" w:rsidRPr="00577593">
        <w:rPr>
          <w:rFonts w:ascii="Times New Roman" w:hAnsi="Times New Roman"/>
          <w:sz w:val="28"/>
          <w:szCs w:val="28"/>
        </w:rPr>
        <w:t>о уменьшились с 2012 по 2024 годы</w:t>
      </w:r>
      <w:r w:rsidRPr="00577593">
        <w:rPr>
          <w:rFonts w:ascii="Times New Roman" w:hAnsi="Times New Roman"/>
          <w:sz w:val="28"/>
          <w:szCs w:val="28"/>
        </w:rPr>
        <w:t xml:space="preserve"> </w:t>
      </w:r>
      <w:r w:rsidR="00C81268">
        <w:rPr>
          <w:rFonts w:ascii="Times New Roman" w:hAnsi="Times New Roman"/>
          <w:sz w:val="28"/>
          <w:szCs w:val="28"/>
        </w:rPr>
        <w:t xml:space="preserve">     </w:t>
      </w:r>
      <w:r w:rsidRPr="00577593">
        <w:rPr>
          <w:rFonts w:ascii="Times New Roman" w:hAnsi="Times New Roman"/>
          <w:sz w:val="28"/>
          <w:szCs w:val="28"/>
        </w:rPr>
        <w:t xml:space="preserve">в 1,45 раза за счет сокращения в 3 раза сборов земельного налога. </w:t>
      </w:r>
      <w:r w:rsidR="00C81268">
        <w:rPr>
          <w:rFonts w:ascii="Times New Roman" w:hAnsi="Times New Roman"/>
          <w:sz w:val="28"/>
          <w:szCs w:val="28"/>
        </w:rPr>
        <w:t xml:space="preserve">                </w:t>
      </w:r>
      <w:r w:rsidRPr="00577593">
        <w:rPr>
          <w:rFonts w:ascii="Times New Roman" w:hAnsi="Times New Roman"/>
          <w:sz w:val="28"/>
          <w:szCs w:val="28"/>
        </w:rPr>
        <w:t xml:space="preserve">В структуре налога на имущество выросла доля и сумма сборов налога </w:t>
      </w:r>
      <w:r w:rsidR="00C81268">
        <w:rPr>
          <w:rFonts w:ascii="Times New Roman" w:hAnsi="Times New Roman"/>
          <w:sz w:val="28"/>
          <w:szCs w:val="28"/>
        </w:rPr>
        <w:t xml:space="preserve">      </w:t>
      </w:r>
      <w:r w:rsidRPr="00577593">
        <w:rPr>
          <w:rFonts w:ascii="Times New Roman" w:hAnsi="Times New Roman"/>
          <w:sz w:val="28"/>
          <w:szCs w:val="28"/>
        </w:rPr>
        <w:t>на имуществ</w:t>
      </w:r>
      <w:r w:rsidR="00B54E09">
        <w:rPr>
          <w:rFonts w:ascii="Times New Roman" w:hAnsi="Times New Roman"/>
          <w:sz w:val="28"/>
          <w:szCs w:val="28"/>
        </w:rPr>
        <w:t>о</w:t>
      </w:r>
      <w:r w:rsidRPr="00577593">
        <w:rPr>
          <w:rFonts w:ascii="Times New Roman" w:hAnsi="Times New Roman"/>
          <w:sz w:val="28"/>
          <w:szCs w:val="28"/>
        </w:rPr>
        <w:t xml:space="preserve"> физических лиц, что связано с переходом с 2020 года </w:t>
      </w:r>
      <w:r w:rsidR="00C81268">
        <w:rPr>
          <w:rFonts w:ascii="Times New Roman" w:hAnsi="Times New Roman"/>
          <w:sz w:val="28"/>
          <w:szCs w:val="28"/>
        </w:rPr>
        <w:t xml:space="preserve">            </w:t>
      </w:r>
      <w:r w:rsidRPr="00577593">
        <w:rPr>
          <w:rFonts w:ascii="Times New Roman" w:hAnsi="Times New Roman"/>
          <w:sz w:val="28"/>
          <w:szCs w:val="28"/>
        </w:rPr>
        <w:t xml:space="preserve">на исчисление налога от кадастровой стоимости. </w:t>
      </w:r>
    </w:p>
    <w:p w:rsidR="00A82158" w:rsidRPr="00577593" w:rsidRDefault="00A82158" w:rsidP="00A82158">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В целом снижение сборов имущественных налогов связано </w:t>
      </w:r>
      <w:r w:rsidR="00C81268">
        <w:rPr>
          <w:rFonts w:ascii="Times New Roman" w:hAnsi="Times New Roman"/>
          <w:sz w:val="28"/>
          <w:szCs w:val="28"/>
        </w:rPr>
        <w:t xml:space="preserve">               </w:t>
      </w:r>
      <w:r w:rsidRPr="00577593">
        <w:rPr>
          <w:rFonts w:ascii="Times New Roman" w:hAnsi="Times New Roman"/>
          <w:sz w:val="28"/>
          <w:szCs w:val="28"/>
        </w:rPr>
        <w:t xml:space="preserve">со снижением кадастровой стоимости земли в результате ее оспаривания, </w:t>
      </w:r>
      <w:r w:rsidR="00C81268">
        <w:rPr>
          <w:rFonts w:ascii="Times New Roman" w:hAnsi="Times New Roman"/>
          <w:sz w:val="28"/>
          <w:szCs w:val="28"/>
        </w:rPr>
        <w:t xml:space="preserve">    </w:t>
      </w:r>
      <w:r w:rsidRPr="00577593">
        <w:rPr>
          <w:rFonts w:ascii="Times New Roman" w:hAnsi="Times New Roman"/>
          <w:sz w:val="28"/>
          <w:szCs w:val="28"/>
        </w:rPr>
        <w:t>а также переоценкой в 2022 году. Опыт кадастровой оценки земельных участков за предыдущие годы показывает, что кадастровая стоимость превышала рыночную стоимость объектов оценки. Указанное подтверждалось массовым снижением кадастровой стоимости и установлением кадастровой стоимости в размере рыночной, как в судебном, так и в административном порядке.</w:t>
      </w:r>
    </w:p>
    <w:p w:rsidR="00A82158" w:rsidRPr="00577593" w:rsidRDefault="000D3F7A" w:rsidP="00A33C95">
      <w:pPr>
        <w:spacing w:after="0" w:line="240" w:lineRule="auto"/>
        <w:ind w:firstLine="142"/>
        <w:jc w:val="both"/>
        <w:rPr>
          <w:rFonts w:ascii="Times New Roman" w:hAnsi="Times New Roman"/>
          <w:sz w:val="2"/>
          <w:szCs w:val="2"/>
        </w:rPr>
      </w:pPr>
      <w:r w:rsidRPr="00577593">
        <w:rPr>
          <w:rFonts w:ascii="Times New Roman" w:hAnsi="Times New Roman"/>
          <w:noProof/>
          <w:sz w:val="24"/>
          <w:szCs w:val="24"/>
          <w:lang w:eastAsia="ru-RU"/>
        </w:rPr>
        <w:lastRenderedPageBreak/>
        <w:drawing>
          <wp:inline distT="0" distB="0" distL="0" distR="0">
            <wp:extent cx="5943600" cy="5290185"/>
            <wp:effectExtent l="0" t="0" r="0" b="0"/>
            <wp:docPr id="58" name="Объект 5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FC41F4" w:rsidRPr="00577593" w:rsidRDefault="00FC41F4" w:rsidP="00AB43F5">
      <w:pPr>
        <w:spacing w:after="0" w:line="240" w:lineRule="auto"/>
        <w:jc w:val="center"/>
        <w:rPr>
          <w:rFonts w:ascii="Times New Roman" w:hAnsi="Times New Roman"/>
          <w:sz w:val="2"/>
          <w:szCs w:val="2"/>
        </w:rPr>
      </w:pPr>
    </w:p>
    <w:p w:rsidR="00FC41F4" w:rsidRDefault="008925FA" w:rsidP="00FC234A">
      <w:pPr>
        <w:spacing w:after="0" w:line="240" w:lineRule="auto"/>
        <w:jc w:val="center"/>
        <w:rPr>
          <w:rFonts w:ascii="Times New Roman" w:hAnsi="Times New Roman"/>
          <w:sz w:val="28"/>
          <w:szCs w:val="28"/>
        </w:rPr>
      </w:pPr>
      <w:bookmarkStart w:id="179" w:name="_Ref199467167"/>
      <w:r w:rsidRPr="00577593">
        <w:rPr>
          <w:rFonts w:ascii="Times New Roman" w:hAnsi="Times New Roman"/>
          <w:sz w:val="28"/>
          <w:szCs w:val="28"/>
        </w:rPr>
        <w:t xml:space="preserve">Рисунок </w:t>
      </w:r>
      <w:r w:rsidR="00C3038B">
        <w:rPr>
          <w:rFonts w:ascii="Times New Roman" w:hAnsi="Times New Roman"/>
          <w:sz w:val="28"/>
          <w:szCs w:val="28"/>
        </w:rPr>
        <w:t>58</w:t>
      </w:r>
      <w:bookmarkEnd w:id="179"/>
      <w:r w:rsidRPr="00577593">
        <w:rPr>
          <w:rFonts w:ascii="Times New Roman" w:hAnsi="Times New Roman"/>
          <w:sz w:val="28"/>
          <w:szCs w:val="28"/>
        </w:rPr>
        <w:t xml:space="preserve"> </w:t>
      </w:r>
      <w:r w:rsidR="00431D46" w:rsidRPr="00577593">
        <w:rPr>
          <w:rFonts w:ascii="Times New Roman" w:hAnsi="Times New Roman"/>
          <w:sz w:val="28"/>
          <w:szCs w:val="28"/>
        </w:rPr>
        <w:t>–</w:t>
      </w:r>
      <w:r w:rsidRPr="00577593">
        <w:rPr>
          <w:rFonts w:ascii="Times New Roman" w:hAnsi="Times New Roman"/>
          <w:sz w:val="28"/>
          <w:szCs w:val="28"/>
        </w:rPr>
        <w:t xml:space="preserve"> Собираемость налога на имущество и з</w:t>
      </w:r>
      <w:r w:rsidR="00431D46" w:rsidRPr="00577593">
        <w:rPr>
          <w:rFonts w:ascii="Times New Roman" w:hAnsi="Times New Roman"/>
          <w:sz w:val="28"/>
          <w:szCs w:val="28"/>
        </w:rPr>
        <w:t xml:space="preserve">емельного налога </w:t>
      </w:r>
      <w:r w:rsidR="00955692">
        <w:rPr>
          <w:rFonts w:ascii="Times New Roman" w:hAnsi="Times New Roman"/>
          <w:sz w:val="28"/>
          <w:szCs w:val="28"/>
        </w:rPr>
        <w:br/>
      </w:r>
      <w:r w:rsidR="00431D46" w:rsidRPr="00577593">
        <w:rPr>
          <w:rFonts w:ascii="Times New Roman" w:hAnsi="Times New Roman"/>
          <w:sz w:val="28"/>
          <w:szCs w:val="28"/>
        </w:rPr>
        <w:t>в ценах 2024 года</w:t>
      </w:r>
      <w:r w:rsidRPr="00577593">
        <w:rPr>
          <w:rFonts w:ascii="Times New Roman" w:hAnsi="Times New Roman"/>
          <w:sz w:val="28"/>
          <w:szCs w:val="28"/>
        </w:rPr>
        <w:t>, млрд рублей</w:t>
      </w:r>
    </w:p>
    <w:p w:rsidR="00E258F8" w:rsidRPr="00577593" w:rsidRDefault="00E258F8" w:rsidP="00E258F8">
      <w:pPr>
        <w:pStyle w:val="aff9"/>
        <w:spacing w:after="0"/>
        <w:jc w:val="both"/>
        <w:rPr>
          <w:rFonts w:ascii="Times New Roman" w:hAnsi="Times New Roman"/>
          <w:i w:val="0"/>
          <w:iCs w:val="0"/>
          <w:color w:val="auto"/>
          <w:sz w:val="28"/>
          <w:szCs w:val="28"/>
        </w:rPr>
      </w:pPr>
      <w:r w:rsidRPr="00577593">
        <w:rPr>
          <w:rFonts w:ascii="Times New Roman" w:hAnsi="Times New Roman"/>
          <w:i w:val="0"/>
          <w:iCs w:val="0"/>
          <w:color w:val="auto"/>
          <w:sz w:val="28"/>
          <w:szCs w:val="28"/>
        </w:rPr>
        <w:t>Примечание – Источник: данные администрации города Барнаула, решения Барнаульской городской Думы, данные Росстата</w:t>
      </w:r>
    </w:p>
    <w:p w:rsidR="00A33C95" w:rsidRPr="00577593" w:rsidRDefault="00A33C95" w:rsidP="00FC234A">
      <w:pPr>
        <w:spacing w:after="0" w:line="240" w:lineRule="auto"/>
        <w:jc w:val="center"/>
        <w:rPr>
          <w:rFonts w:ascii="Times New Roman" w:hAnsi="Times New Roman"/>
          <w:sz w:val="28"/>
          <w:szCs w:val="28"/>
        </w:rPr>
      </w:pPr>
    </w:p>
    <w:p w:rsidR="00FC41F4" w:rsidRPr="00577593" w:rsidRDefault="008925FA" w:rsidP="00FC234A">
      <w:pPr>
        <w:spacing w:after="0" w:line="240" w:lineRule="auto"/>
        <w:ind w:firstLine="709"/>
        <w:jc w:val="both"/>
        <w:rPr>
          <w:rFonts w:ascii="Times New Roman" w:hAnsi="Times New Roman"/>
          <w:sz w:val="28"/>
          <w:szCs w:val="28"/>
        </w:rPr>
      </w:pPr>
      <w:r w:rsidRPr="00577593">
        <w:rPr>
          <w:rFonts w:ascii="Times New Roman" w:hAnsi="Times New Roman"/>
          <w:sz w:val="28"/>
          <w:szCs w:val="28"/>
        </w:rPr>
        <w:t>Доходы от использования и приватизации муниципального имущества в 2012</w:t>
      </w:r>
      <w:r w:rsidR="00431D46" w:rsidRPr="00577593">
        <w:rPr>
          <w:rFonts w:ascii="Times New Roman" w:hAnsi="Times New Roman"/>
          <w:sz w:val="28"/>
          <w:szCs w:val="28"/>
        </w:rPr>
        <w:t>-2024 год</w:t>
      </w:r>
      <w:r w:rsidR="00955692">
        <w:rPr>
          <w:rFonts w:ascii="Times New Roman" w:hAnsi="Times New Roman"/>
          <w:sz w:val="28"/>
          <w:szCs w:val="28"/>
        </w:rPr>
        <w:t>ах</w:t>
      </w:r>
      <w:r w:rsidRPr="00577593">
        <w:rPr>
          <w:rFonts w:ascii="Times New Roman" w:hAnsi="Times New Roman"/>
          <w:sz w:val="28"/>
          <w:szCs w:val="28"/>
        </w:rPr>
        <w:t>, рассчит</w:t>
      </w:r>
      <w:r w:rsidR="00431D46" w:rsidRPr="00577593">
        <w:rPr>
          <w:rFonts w:ascii="Times New Roman" w:hAnsi="Times New Roman"/>
          <w:sz w:val="28"/>
          <w:szCs w:val="28"/>
        </w:rPr>
        <w:t>анные в постоянных ценах 2024 года</w:t>
      </w:r>
      <w:r w:rsidRPr="00577593">
        <w:rPr>
          <w:rFonts w:ascii="Times New Roman" w:hAnsi="Times New Roman"/>
          <w:sz w:val="28"/>
          <w:szCs w:val="28"/>
        </w:rPr>
        <w:t xml:space="preserve">, </w:t>
      </w:r>
      <w:r w:rsidR="001660E8" w:rsidRPr="00577593">
        <w:rPr>
          <w:rFonts w:ascii="Times New Roman" w:hAnsi="Times New Roman"/>
          <w:sz w:val="28"/>
          <w:szCs w:val="28"/>
        </w:rPr>
        <w:t>имеют тенденцию к снижению</w:t>
      </w:r>
      <w:r w:rsidRPr="00577593">
        <w:rPr>
          <w:rFonts w:ascii="Times New Roman" w:hAnsi="Times New Roman"/>
          <w:sz w:val="28"/>
          <w:szCs w:val="28"/>
        </w:rPr>
        <w:t xml:space="preserve"> (</w:t>
      </w:r>
      <w:r w:rsidR="00955692" w:rsidRPr="00955692">
        <w:rPr>
          <w:rFonts w:ascii="Times New Roman" w:hAnsi="Times New Roman"/>
          <w:sz w:val="28"/>
          <w:szCs w:val="28"/>
        </w:rPr>
        <w:t>Рисунок 59</w:t>
      </w:r>
      <w:r w:rsidRPr="00577593">
        <w:rPr>
          <w:rFonts w:ascii="Times New Roman" w:hAnsi="Times New Roman"/>
          <w:sz w:val="28"/>
          <w:szCs w:val="28"/>
        </w:rPr>
        <w:t xml:space="preserve">). Хотя в определенные годы (2014, 2020 </w:t>
      </w:r>
      <w:r w:rsidR="00431D46" w:rsidRPr="00577593">
        <w:rPr>
          <w:rFonts w:ascii="Times New Roman" w:hAnsi="Times New Roman"/>
          <w:sz w:val="28"/>
          <w:szCs w:val="28"/>
        </w:rPr>
        <w:t>и 2024 годы</w:t>
      </w:r>
      <w:r w:rsidRPr="00577593">
        <w:rPr>
          <w:rFonts w:ascii="Times New Roman" w:hAnsi="Times New Roman"/>
          <w:sz w:val="28"/>
          <w:szCs w:val="28"/>
        </w:rPr>
        <w:t>) наблюдался рост поступлений от использования имущества, между ними наблюдается устойчивая тенденция к снижению поступлений. Приватизация городского имущества имеет разнонап</w:t>
      </w:r>
      <w:r w:rsidR="00431D46" w:rsidRPr="00577593">
        <w:rPr>
          <w:rFonts w:ascii="Times New Roman" w:hAnsi="Times New Roman"/>
          <w:sz w:val="28"/>
          <w:szCs w:val="28"/>
        </w:rPr>
        <w:t>равленную динамику: рост в 2012-</w:t>
      </w:r>
      <w:r w:rsidRPr="00577593">
        <w:rPr>
          <w:rFonts w:ascii="Times New Roman" w:hAnsi="Times New Roman"/>
          <w:sz w:val="28"/>
          <w:szCs w:val="28"/>
        </w:rPr>
        <w:t xml:space="preserve">2014 </w:t>
      </w:r>
      <w:r w:rsidR="00431D46" w:rsidRPr="00577593">
        <w:rPr>
          <w:rFonts w:ascii="Times New Roman" w:hAnsi="Times New Roman"/>
          <w:sz w:val="28"/>
          <w:szCs w:val="28"/>
        </w:rPr>
        <w:t>год</w:t>
      </w:r>
      <w:r w:rsidR="00955692">
        <w:rPr>
          <w:rFonts w:ascii="Times New Roman" w:hAnsi="Times New Roman"/>
          <w:sz w:val="28"/>
          <w:szCs w:val="28"/>
        </w:rPr>
        <w:t>ах</w:t>
      </w:r>
      <w:r w:rsidRPr="00577593">
        <w:rPr>
          <w:rFonts w:ascii="Times New Roman" w:hAnsi="Times New Roman"/>
          <w:sz w:val="28"/>
          <w:szCs w:val="28"/>
        </w:rPr>
        <w:t xml:space="preserve"> в связи с реализацией крупной собственности, снижение темпов из-за эконо</w:t>
      </w:r>
      <w:r w:rsidR="00431D46" w:rsidRPr="00577593">
        <w:rPr>
          <w:rFonts w:ascii="Times New Roman" w:hAnsi="Times New Roman"/>
          <w:sz w:val="28"/>
          <w:szCs w:val="28"/>
        </w:rPr>
        <w:t>мического</w:t>
      </w:r>
      <w:r w:rsidR="00955692">
        <w:rPr>
          <w:rFonts w:ascii="Times New Roman" w:hAnsi="Times New Roman"/>
          <w:sz w:val="28"/>
          <w:szCs w:val="28"/>
        </w:rPr>
        <w:t xml:space="preserve"> спада в стране в 2015-2018 годах</w:t>
      </w:r>
      <w:r w:rsidRPr="00577593">
        <w:rPr>
          <w:rFonts w:ascii="Times New Roman" w:hAnsi="Times New Roman"/>
          <w:sz w:val="28"/>
          <w:szCs w:val="28"/>
        </w:rPr>
        <w:t xml:space="preserve">, восстановление интереса предпринимательского сообщества к приобретению </w:t>
      </w:r>
      <w:r w:rsidR="00431D46" w:rsidRPr="00577593">
        <w:rPr>
          <w:rFonts w:ascii="Times New Roman" w:hAnsi="Times New Roman"/>
          <w:sz w:val="28"/>
          <w:szCs w:val="28"/>
        </w:rPr>
        <w:t>городской недвижимости с 2019 года.</w:t>
      </w:r>
    </w:p>
    <w:p w:rsidR="00FC41F4" w:rsidRPr="00577593" w:rsidRDefault="000D3F7A" w:rsidP="00B2739B">
      <w:pPr>
        <w:spacing w:after="0" w:line="240" w:lineRule="auto"/>
        <w:ind w:firstLine="142"/>
        <w:jc w:val="center"/>
        <w:rPr>
          <w:rFonts w:ascii="Times New Roman" w:hAnsi="Times New Roman"/>
          <w:sz w:val="2"/>
          <w:szCs w:val="2"/>
        </w:rPr>
      </w:pPr>
      <w:r w:rsidRPr="00577593">
        <w:rPr>
          <w:rFonts w:ascii="Times New Roman" w:hAnsi="Times New Roman"/>
          <w:noProof/>
          <w:sz w:val="28"/>
          <w:szCs w:val="28"/>
          <w:lang w:eastAsia="ru-RU"/>
        </w:rPr>
        <w:lastRenderedPageBreak/>
        <w:drawing>
          <wp:inline distT="0" distB="0" distL="0" distR="0">
            <wp:extent cx="5943600" cy="2926080"/>
            <wp:effectExtent l="0" t="0" r="0" b="0"/>
            <wp:docPr id="59" name="Объект 5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FC41F4" w:rsidRDefault="00955692" w:rsidP="00FC234A">
      <w:pPr>
        <w:spacing w:after="0" w:line="240" w:lineRule="auto"/>
        <w:jc w:val="center"/>
        <w:rPr>
          <w:rFonts w:ascii="Times New Roman" w:hAnsi="Times New Roman"/>
          <w:sz w:val="28"/>
          <w:szCs w:val="28"/>
        </w:rPr>
      </w:pPr>
      <w:r>
        <w:rPr>
          <w:rFonts w:ascii="Times New Roman" w:hAnsi="Times New Roman"/>
          <w:sz w:val="28"/>
          <w:szCs w:val="28"/>
        </w:rPr>
        <w:t xml:space="preserve">Рисунок 59 </w:t>
      </w:r>
      <w:r w:rsidR="00F558DF" w:rsidRPr="00577593">
        <w:rPr>
          <w:rFonts w:ascii="Times New Roman" w:hAnsi="Times New Roman"/>
          <w:sz w:val="28"/>
          <w:szCs w:val="28"/>
        </w:rPr>
        <w:t>–</w:t>
      </w:r>
      <w:r w:rsidR="008925FA" w:rsidRPr="00577593">
        <w:rPr>
          <w:rFonts w:ascii="Times New Roman" w:hAnsi="Times New Roman"/>
          <w:sz w:val="28"/>
          <w:szCs w:val="28"/>
        </w:rPr>
        <w:t xml:space="preserve"> Доходы от использования и приватизации муниципа</w:t>
      </w:r>
      <w:r w:rsidR="00C95596" w:rsidRPr="00577593">
        <w:rPr>
          <w:rFonts w:ascii="Times New Roman" w:hAnsi="Times New Roman"/>
          <w:sz w:val="28"/>
          <w:szCs w:val="28"/>
        </w:rPr>
        <w:t>льного имущества в ценах 2024 года</w:t>
      </w:r>
      <w:r w:rsidR="008925FA" w:rsidRPr="00577593">
        <w:rPr>
          <w:rFonts w:ascii="Times New Roman" w:hAnsi="Times New Roman"/>
          <w:sz w:val="28"/>
          <w:szCs w:val="28"/>
        </w:rPr>
        <w:t>, млрд рублей</w:t>
      </w:r>
    </w:p>
    <w:p w:rsidR="00955692" w:rsidRPr="00577593" w:rsidRDefault="00955692" w:rsidP="00955692">
      <w:pPr>
        <w:pStyle w:val="aff9"/>
        <w:spacing w:after="0"/>
        <w:jc w:val="both"/>
        <w:rPr>
          <w:rFonts w:ascii="Times New Roman" w:hAnsi="Times New Roman"/>
          <w:i w:val="0"/>
          <w:iCs w:val="0"/>
          <w:color w:val="auto"/>
          <w:sz w:val="28"/>
          <w:szCs w:val="28"/>
        </w:rPr>
      </w:pPr>
      <w:r w:rsidRPr="00577593">
        <w:rPr>
          <w:rFonts w:ascii="Times New Roman" w:hAnsi="Times New Roman"/>
          <w:i w:val="0"/>
          <w:iCs w:val="0"/>
          <w:color w:val="auto"/>
          <w:sz w:val="28"/>
          <w:szCs w:val="28"/>
        </w:rPr>
        <w:t>Примечание – Источник: на основе данных администрации города Барнаула, решений Барнаульской городской Думы, данных Росстата</w:t>
      </w:r>
    </w:p>
    <w:p w:rsidR="00950472" w:rsidRPr="00577593" w:rsidRDefault="00950472" w:rsidP="00FC234A">
      <w:pPr>
        <w:spacing w:after="0" w:line="240" w:lineRule="auto"/>
        <w:jc w:val="center"/>
        <w:rPr>
          <w:rFonts w:ascii="Times New Roman" w:hAnsi="Times New Roman"/>
          <w:sz w:val="28"/>
          <w:szCs w:val="28"/>
        </w:rPr>
      </w:pPr>
    </w:p>
    <w:p w:rsidR="00FC41F4" w:rsidRPr="00577593" w:rsidRDefault="008925FA" w:rsidP="00FC234A">
      <w:pPr>
        <w:spacing w:after="0" w:line="240" w:lineRule="auto"/>
        <w:ind w:firstLine="709"/>
        <w:jc w:val="both"/>
        <w:rPr>
          <w:rFonts w:ascii="Times New Roman" w:hAnsi="Times New Roman"/>
          <w:sz w:val="28"/>
          <w:szCs w:val="28"/>
        </w:rPr>
      </w:pPr>
      <w:r w:rsidRPr="00577593">
        <w:rPr>
          <w:rFonts w:ascii="Times New Roman" w:hAnsi="Times New Roman"/>
          <w:sz w:val="28"/>
          <w:szCs w:val="28"/>
        </w:rPr>
        <w:t>Динамика расходов н</w:t>
      </w:r>
      <w:r w:rsidR="00C95596" w:rsidRPr="00577593">
        <w:rPr>
          <w:rFonts w:ascii="Times New Roman" w:hAnsi="Times New Roman"/>
          <w:sz w:val="28"/>
          <w:szCs w:val="28"/>
        </w:rPr>
        <w:t xml:space="preserve">а производственную сферу в 2012-2024 годы </w:t>
      </w:r>
      <w:r w:rsidR="00E65F98" w:rsidRPr="00577593">
        <w:rPr>
          <w:rFonts w:ascii="Times New Roman" w:hAnsi="Times New Roman"/>
          <w:sz w:val="28"/>
          <w:szCs w:val="28"/>
        </w:rPr>
        <w:br/>
      </w:r>
      <w:r w:rsidR="00C95596" w:rsidRPr="00577593">
        <w:rPr>
          <w:rFonts w:ascii="Times New Roman" w:hAnsi="Times New Roman"/>
          <w:sz w:val="28"/>
          <w:szCs w:val="28"/>
        </w:rPr>
        <w:t>(в ценах 2024 года</w:t>
      </w:r>
      <w:r w:rsidRPr="00577593">
        <w:rPr>
          <w:rFonts w:ascii="Times New Roman" w:hAnsi="Times New Roman"/>
          <w:sz w:val="28"/>
          <w:szCs w:val="28"/>
        </w:rPr>
        <w:t>) связана с реализацией федеральных и региональных программ на территории городского округа, поэтому в некоторые годы наблюда</w:t>
      </w:r>
      <w:r w:rsidR="00C3152E">
        <w:rPr>
          <w:rFonts w:ascii="Times New Roman" w:hAnsi="Times New Roman"/>
          <w:sz w:val="28"/>
          <w:szCs w:val="28"/>
        </w:rPr>
        <w:t>ю</w:t>
      </w:r>
      <w:r w:rsidRPr="00577593">
        <w:rPr>
          <w:rFonts w:ascii="Times New Roman" w:hAnsi="Times New Roman"/>
          <w:sz w:val="28"/>
          <w:szCs w:val="28"/>
        </w:rPr>
        <w:t>тся всплески и понижения, но в целом динамика положительная, при этом</w:t>
      </w:r>
      <w:r w:rsidR="00C95596" w:rsidRPr="00577593">
        <w:rPr>
          <w:rFonts w:ascii="Times New Roman" w:hAnsi="Times New Roman"/>
          <w:sz w:val="28"/>
          <w:szCs w:val="28"/>
        </w:rPr>
        <w:t xml:space="preserve"> можно выделить два этапа: 2012-2020 и 2021-2024 годы</w:t>
      </w:r>
      <w:r w:rsidRPr="00577593">
        <w:rPr>
          <w:rFonts w:ascii="Times New Roman" w:hAnsi="Times New Roman"/>
          <w:sz w:val="28"/>
          <w:szCs w:val="28"/>
        </w:rPr>
        <w:t xml:space="preserve">, где в последнем расходы увеличились почти в 2 раза </w:t>
      </w:r>
      <w:r w:rsidR="00955692">
        <w:rPr>
          <w:rFonts w:ascii="Times New Roman" w:hAnsi="Times New Roman"/>
          <w:sz w:val="28"/>
          <w:szCs w:val="28"/>
        </w:rPr>
        <w:t>(Рисунок 60</w:t>
      </w:r>
      <w:r w:rsidRPr="00577593">
        <w:rPr>
          <w:rFonts w:ascii="Times New Roman" w:hAnsi="Times New Roman"/>
          <w:sz w:val="28"/>
          <w:szCs w:val="28"/>
        </w:rPr>
        <w:t>).</w:t>
      </w:r>
    </w:p>
    <w:p w:rsidR="00B76239" w:rsidRPr="00577593" w:rsidRDefault="000D3F7A" w:rsidP="00B76239">
      <w:pPr>
        <w:spacing w:after="0" w:line="240" w:lineRule="auto"/>
        <w:ind w:firstLine="142"/>
        <w:jc w:val="center"/>
        <w:rPr>
          <w:rFonts w:ascii="Times New Roman" w:hAnsi="Times New Roman"/>
          <w:sz w:val="28"/>
          <w:szCs w:val="28"/>
        </w:rPr>
      </w:pPr>
      <w:r w:rsidRPr="00577593">
        <w:rPr>
          <w:rFonts w:ascii="Times New Roman" w:hAnsi="Times New Roman"/>
          <w:noProof/>
          <w:sz w:val="28"/>
          <w:szCs w:val="28"/>
          <w:lang w:eastAsia="ru-RU"/>
        </w:rPr>
        <w:drawing>
          <wp:inline distT="0" distB="0" distL="0" distR="0">
            <wp:extent cx="5826125" cy="2168525"/>
            <wp:effectExtent l="0" t="0" r="0" b="0"/>
            <wp:docPr id="60" name="Объект 6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FC41F4" w:rsidRPr="00577593" w:rsidRDefault="00FC41F4" w:rsidP="00B76239">
      <w:pPr>
        <w:spacing w:after="0" w:line="240" w:lineRule="auto"/>
        <w:jc w:val="both"/>
        <w:rPr>
          <w:rFonts w:ascii="Times New Roman" w:hAnsi="Times New Roman"/>
          <w:sz w:val="2"/>
          <w:szCs w:val="2"/>
        </w:rPr>
      </w:pPr>
    </w:p>
    <w:p w:rsidR="00FC41F4" w:rsidRPr="00577593" w:rsidRDefault="008925FA" w:rsidP="00950472">
      <w:pPr>
        <w:spacing w:after="0" w:line="240" w:lineRule="auto"/>
        <w:jc w:val="center"/>
        <w:rPr>
          <w:rFonts w:ascii="Times New Roman" w:hAnsi="Times New Roman"/>
          <w:sz w:val="28"/>
          <w:szCs w:val="28"/>
        </w:rPr>
      </w:pPr>
      <w:bookmarkStart w:id="180" w:name="_Ref199467475"/>
      <w:r w:rsidRPr="00577593">
        <w:rPr>
          <w:rFonts w:ascii="Times New Roman" w:hAnsi="Times New Roman"/>
          <w:sz w:val="28"/>
          <w:szCs w:val="28"/>
        </w:rPr>
        <w:t xml:space="preserve">Рисунок </w:t>
      </w:r>
      <w:r w:rsidR="00C3038B">
        <w:rPr>
          <w:rFonts w:ascii="Times New Roman" w:hAnsi="Times New Roman"/>
          <w:sz w:val="28"/>
          <w:szCs w:val="28"/>
        </w:rPr>
        <w:t>60</w:t>
      </w:r>
      <w:bookmarkEnd w:id="180"/>
      <w:r w:rsidRPr="00577593">
        <w:rPr>
          <w:rFonts w:ascii="Times New Roman" w:hAnsi="Times New Roman"/>
          <w:sz w:val="28"/>
          <w:szCs w:val="28"/>
        </w:rPr>
        <w:t xml:space="preserve"> </w:t>
      </w:r>
      <w:r w:rsidR="00F558DF" w:rsidRPr="00577593">
        <w:rPr>
          <w:rFonts w:ascii="Times New Roman" w:hAnsi="Times New Roman"/>
          <w:sz w:val="28"/>
          <w:szCs w:val="28"/>
        </w:rPr>
        <w:t>–</w:t>
      </w:r>
      <w:r w:rsidRPr="00577593">
        <w:rPr>
          <w:rFonts w:ascii="Times New Roman" w:hAnsi="Times New Roman"/>
          <w:sz w:val="28"/>
          <w:szCs w:val="28"/>
        </w:rPr>
        <w:t xml:space="preserve"> Динамика расходов на производственную сферу </w:t>
      </w:r>
      <w:r w:rsidR="00E65F98" w:rsidRPr="00577593">
        <w:rPr>
          <w:rFonts w:ascii="Times New Roman" w:hAnsi="Times New Roman"/>
          <w:sz w:val="28"/>
          <w:szCs w:val="28"/>
        </w:rPr>
        <w:br/>
      </w:r>
      <w:r w:rsidRPr="00577593">
        <w:rPr>
          <w:rFonts w:ascii="Times New Roman" w:hAnsi="Times New Roman"/>
          <w:sz w:val="28"/>
          <w:szCs w:val="28"/>
        </w:rPr>
        <w:t>в 2012</w:t>
      </w:r>
      <w:r w:rsidR="00C95596" w:rsidRPr="00577593">
        <w:rPr>
          <w:rFonts w:ascii="Times New Roman" w:hAnsi="Times New Roman"/>
          <w:sz w:val="28"/>
          <w:szCs w:val="28"/>
        </w:rPr>
        <w:t>-</w:t>
      </w:r>
      <w:r w:rsidRPr="00577593">
        <w:rPr>
          <w:rFonts w:ascii="Times New Roman" w:hAnsi="Times New Roman"/>
          <w:sz w:val="28"/>
          <w:szCs w:val="28"/>
        </w:rPr>
        <w:t>2024 г</w:t>
      </w:r>
      <w:r w:rsidR="00C95596" w:rsidRPr="00577593">
        <w:rPr>
          <w:rFonts w:ascii="Times New Roman" w:hAnsi="Times New Roman"/>
          <w:sz w:val="28"/>
          <w:szCs w:val="28"/>
        </w:rPr>
        <w:t>оды в ценах 2024 года</w:t>
      </w:r>
      <w:r w:rsidRPr="00577593">
        <w:rPr>
          <w:rFonts w:ascii="Times New Roman" w:hAnsi="Times New Roman"/>
          <w:sz w:val="28"/>
          <w:szCs w:val="28"/>
        </w:rPr>
        <w:t>, млрд рублей</w:t>
      </w:r>
    </w:p>
    <w:p w:rsidR="00E258F8" w:rsidRPr="00577593" w:rsidRDefault="00E258F8" w:rsidP="00E258F8">
      <w:pPr>
        <w:pStyle w:val="aff9"/>
        <w:spacing w:after="0"/>
        <w:jc w:val="both"/>
        <w:rPr>
          <w:rFonts w:ascii="Times New Roman" w:hAnsi="Times New Roman"/>
          <w:i w:val="0"/>
          <w:iCs w:val="0"/>
          <w:color w:val="auto"/>
          <w:sz w:val="28"/>
          <w:szCs w:val="28"/>
        </w:rPr>
      </w:pPr>
      <w:r w:rsidRPr="00577593">
        <w:rPr>
          <w:rFonts w:ascii="Times New Roman" w:hAnsi="Times New Roman"/>
          <w:i w:val="0"/>
          <w:iCs w:val="0"/>
          <w:color w:val="auto"/>
          <w:sz w:val="28"/>
          <w:szCs w:val="28"/>
        </w:rPr>
        <w:t>Примечание – Источник: данные администрации города Барнаула, решения Барнаульской городской Думы, данные Росстата</w:t>
      </w:r>
    </w:p>
    <w:p w:rsidR="00B2739B" w:rsidRPr="00577593" w:rsidRDefault="00B2739B" w:rsidP="00950472">
      <w:pPr>
        <w:spacing w:after="0" w:line="240" w:lineRule="auto"/>
        <w:jc w:val="center"/>
        <w:rPr>
          <w:rFonts w:ascii="Times New Roman" w:hAnsi="Times New Roman"/>
          <w:sz w:val="28"/>
          <w:szCs w:val="28"/>
        </w:rPr>
      </w:pP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Рост расходов может быть связан с реализацией проекта или программы, поэтому снижение расходов в следующие годы ожидаемо, так как это инвестиционные расходы. Так, динамика расходов на жилищное хозяйство связана с реализацией программы расселения аварийного жилья, </w:t>
      </w:r>
      <w:r w:rsidR="001660E8" w:rsidRPr="00577593">
        <w:rPr>
          <w:rFonts w:ascii="Times New Roman" w:hAnsi="Times New Roman"/>
          <w:sz w:val="28"/>
          <w:szCs w:val="28"/>
        </w:rPr>
        <w:lastRenderedPageBreak/>
        <w:t xml:space="preserve">признанного таковым до 01.01.2017, </w:t>
      </w:r>
      <w:r w:rsidRPr="00577593">
        <w:rPr>
          <w:rFonts w:ascii="Times New Roman" w:hAnsi="Times New Roman"/>
          <w:sz w:val="28"/>
          <w:szCs w:val="28"/>
        </w:rPr>
        <w:t>по окончании которой произошло снижение расхо</w:t>
      </w:r>
      <w:r w:rsidR="00C95596" w:rsidRPr="00577593">
        <w:rPr>
          <w:rFonts w:ascii="Times New Roman" w:hAnsi="Times New Roman"/>
          <w:sz w:val="28"/>
          <w:szCs w:val="28"/>
        </w:rPr>
        <w:t>дов до 1,5 млрд рублей в 2023 году.</w:t>
      </w:r>
      <w:r w:rsidRPr="00577593">
        <w:rPr>
          <w:rFonts w:ascii="Times New Roman" w:hAnsi="Times New Roman"/>
          <w:sz w:val="28"/>
          <w:szCs w:val="28"/>
        </w:rPr>
        <w:t xml:space="preserve"> За счет запуска национальных проектов и участия в них </w:t>
      </w:r>
      <w:r w:rsidR="00C3152E">
        <w:rPr>
          <w:rFonts w:ascii="Times New Roman" w:hAnsi="Times New Roman"/>
          <w:sz w:val="28"/>
          <w:szCs w:val="28"/>
        </w:rPr>
        <w:t>города Барнаула</w:t>
      </w:r>
      <w:r w:rsidRPr="00577593">
        <w:rPr>
          <w:rFonts w:ascii="Times New Roman" w:hAnsi="Times New Roman"/>
          <w:sz w:val="28"/>
          <w:szCs w:val="28"/>
        </w:rPr>
        <w:t xml:space="preserve"> расходы в городскую экономик</w:t>
      </w:r>
      <w:r w:rsidR="00C3152E">
        <w:rPr>
          <w:rFonts w:ascii="Times New Roman" w:hAnsi="Times New Roman"/>
          <w:sz w:val="28"/>
          <w:szCs w:val="28"/>
        </w:rPr>
        <w:t>у</w:t>
      </w:r>
      <w:r w:rsidRPr="00577593">
        <w:rPr>
          <w:rFonts w:ascii="Times New Roman" w:hAnsi="Times New Roman"/>
          <w:sz w:val="28"/>
          <w:szCs w:val="28"/>
        </w:rPr>
        <w:t xml:space="preserve"> значительно выросли. В городе фиксируется устойчивый рост расходов на благоустройство (в т. ч. на развитие город</w:t>
      </w:r>
      <w:r w:rsidR="00275627" w:rsidRPr="00577593">
        <w:rPr>
          <w:rFonts w:ascii="Times New Roman" w:hAnsi="Times New Roman"/>
          <w:sz w:val="28"/>
          <w:szCs w:val="28"/>
        </w:rPr>
        <w:t>ской комфортной среды) с 2017 года, с 2021 года</w:t>
      </w:r>
      <w:r w:rsidRPr="00577593">
        <w:rPr>
          <w:rFonts w:ascii="Times New Roman" w:hAnsi="Times New Roman"/>
          <w:sz w:val="28"/>
          <w:szCs w:val="28"/>
        </w:rPr>
        <w:t xml:space="preserve"> почти удвоились расходы на развитие общественного транспорта и в 12 раз выросли расходы на обновление коммунальной инфраструктуры </w:t>
      </w:r>
      <w:r w:rsidR="00E258F8">
        <w:rPr>
          <w:rFonts w:ascii="Times New Roman" w:hAnsi="Times New Roman"/>
          <w:sz w:val="28"/>
          <w:szCs w:val="28"/>
        </w:rPr>
        <w:t>(Рисунок 61)</w:t>
      </w:r>
      <w:r w:rsidRPr="00577593">
        <w:rPr>
          <w:rFonts w:ascii="Times New Roman" w:hAnsi="Times New Roman"/>
          <w:sz w:val="28"/>
          <w:szCs w:val="28"/>
        </w:rPr>
        <w:t>. Крупнейшей статьей явля</w:t>
      </w:r>
      <w:r w:rsidR="00275627" w:rsidRPr="00577593">
        <w:rPr>
          <w:rFonts w:ascii="Times New Roman" w:hAnsi="Times New Roman"/>
          <w:sz w:val="28"/>
          <w:szCs w:val="28"/>
        </w:rPr>
        <w:t>ется дорожное хозяйство, в 2017-2024 годы</w:t>
      </w:r>
      <w:r w:rsidRPr="00577593">
        <w:rPr>
          <w:rFonts w:ascii="Times New Roman" w:hAnsi="Times New Roman"/>
          <w:sz w:val="28"/>
          <w:szCs w:val="28"/>
        </w:rPr>
        <w:t xml:space="preserve"> в среднем на нее приходилось 3,3 млрд</w:t>
      </w:r>
      <w:r w:rsidR="00275627" w:rsidRPr="00577593">
        <w:rPr>
          <w:rFonts w:ascii="Times New Roman" w:hAnsi="Times New Roman"/>
          <w:sz w:val="28"/>
          <w:szCs w:val="28"/>
        </w:rPr>
        <w:t>. рублей, тогда как в 2012-</w:t>
      </w:r>
      <w:r w:rsidRPr="00577593">
        <w:rPr>
          <w:rFonts w:ascii="Times New Roman" w:hAnsi="Times New Roman"/>
          <w:sz w:val="28"/>
          <w:szCs w:val="28"/>
        </w:rPr>
        <w:t>2016 г</w:t>
      </w:r>
      <w:r w:rsidR="00275627" w:rsidRPr="00577593">
        <w:rPr>
          <w:rFonts w:ascii="Times New Roman" w:hAnsi="Times New Roman"/>
          <w:sz w:val="28"/>
          <w:szCs w:val="28"/>
        </w:rPr>
        <w:t>оды</w:t>
      </w:r>
      <w:r w:rsidRPr="00577593">
        <w:rPr>
          <w:rFonts w:ascii="Times New Roman" w:hAnsi="Times New Roman"/>
          <w:sz w:val="28"/>
          <w:szCs w:val="28"/>
        </w:rPr>
        <w:t xml:space="preserve"> только 1,6 млрд</w:t>
      </w:r>
      <w:r w:rsidR="00275627" w:rsidRPr="00577593">
        <w:rPr>
          <w:rFonts w:ascii="Times New Roman" w:hAnsi="Times New Roman"/>
          <w:sz w:val="28"/>
          <w:szCs w:val="28"/>
        </w:rPr>
        <w:t>.</w:t>
      </w:r>
      <w:r w:rsidRPr="00577593">
        <w:rPr>
          <w:rFonts w:ascii="Times New Roman" w:hAnsi="Times New Roman"/>
          <w:sz w:val="28"/>
          <w:szCs w:val="28"/>
        </w:rPr>
        <w:t> ру</w:t>
      </w:r>
      <w:r w:rsidR="00275627" w:rsidRPr="00577593">
        <w:rPr>
          <w:rFonts w:ascii="Times New Roman" w:hAnsi="Times New Roman"/>
          <w:sz w:val="28"/>
          <w:szCs w:val="28"/>
        </w:rPr>
        <w:t>блей (в постоянных ценах 2024 года</w:t>
      </w:r>
      <w:r w:rsidRPr="00577593">
        <w:rPr>
          <w:rFonts w:ascii="Times New Roman" w:hAnsi="Times New Roman"/>
          <w:sz w:val="28"/>
          <w:szCs w:val="28"/>
        </w:rPr>
        <w:t>).</w:t>
      </w:r>
    </w:p>
    <w:p w:rsidR="00365C10" w:rsidRPr="00577593" w:rsidRDefault="000D3F7A" w:rsidP="00120120">
      <w:pPr>
        <w:spacing w:after="0" w:line="240" w:lineRule="auto"/>
        <w:ind w:firstLine="142"/>
        <w:jc w:val="center"/>
        <w:rPr>
          <w:rFonts w:ascii="Times New Roman" w:hAnsi="Times New Roman"/>
          <w:sz w:val="24"/>
          <w:szCs w:val="24"/>
        </w:rPr>
      </w:pPr>
      <w:r w:rsidRPr="00577593">
        <w:rPr>
          <w:rFonts w:ascii="Times New Roman" w:hAnsi="Times New Roman"/>
          <w:noProof/>
          <w:sz w:val="24"/>
          <w:szCs w:val="24"/>
          <w:lang w:eastAsia="ru-RU"/>
        </w:rPr>
        <w:drawing>
          <wp:inline distT="0" distB="0" distL="0" distR="0">
            <wp:extent cx="5943600" cy="5290185"/>
            <wp:effectExtent l="0" t="0" r="0" b="0"/>
            <wp:docPr id="61" name="Объект 6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FC41F4" w:rsidRPr="00577593" w:rsidRDefault="00FC41F4" w:rsidP="00AB43F5">
      <w:pPr>
        <w:spacing w:after="0" w:line="240" w:lineRule="auto"/>
        <w:jc w:val="center"/>
        <w:rPr>
          <w:rFonts w:ascii="Times New Roman" w:hAnsi="Times New Roman"/>
          <w:sz w:val="2"/>
          <w:szCs w:val="2"/>
        </w:rPr>
      </w:pPr>
    </w:p>
    <w:p w:rsidR="00FC41F4" w:rsidRDefault="00E258F8" w:rsidP="00950472">
      <w:pPr>
        <w:spacing w:after="0" w:line="240" w:lineRule="auto"/>
        <w:jc w:val="center"/>
        <w:rPr>
          <w:rFonts w:ascii="Times New Roman" w:hAnsi="Times New Roman"/>
          <w:sz w:val="28"/>
          <w:szCs w:val="28"/>
        </w:rPr>
      </w:pPr>
      <w:r>
        <w:rPr>
          <w:rFonts w:ascii="Times New Roman" w:hAnsi="Times New Roman"/>
          <w:sz w:val="28"/>
          <w:szCs w:val="28"/>
        </w:rPr>
        <w:t>Рисунок 61</w:t>
      </w:r>
      <w:r w:rsidR="008925FA" w:rsidRPr="00577593">
        <w:rPr>
          <w:rFonts w:ascii="Times New Roman" w:hAnsi="Times New Roman"/>
          <w:sz w:val="28"/>
          <w:szCs w:val="28"/>
        </w:rPr>
        <w:t xml:space="preserve"> </w:t>
      </w:r>
      <w:r w:rsidR="0099669C" w:rsidRPr="00577593">
        <w:rPr>
          <w:rFonts w:ascii="Times New Roman" w:hAnsi="Times New Roman"/>
          <w:sz w:val="28"/>
          <w:szCs w:val="28"/>
        </w:rPr>
        <w:t>–</w:t>
      </w:r>
      <w:r w:rsidR="008925FA" w:rsidRPr="00577593">
        <w:rPr>
          <w:rFonts w:ascii="Times New Roman" w:hAnsi="Times New Roman"/>
          <w:sz w:val="28"/>
          <w:szCs w:val="28"/>
        </w:rPr>
        <w:t xml:space="preserve"> </w:t>
      </w:r>
      <w:r w:rsidR="00C72AB6" w:rsidRPr="00577593">
        <w:rPr>
          <w:rFonts w:ascii="Times New Roman" w:hAnsi="Times New Roman"/>
          <w:sz w:val="28"/>
          <w:szCs w:val="28"/>
        </w:rPr>
        <w:t>Динамика расходов на городское хозяйство</w:t>
      </w:r>
      <w:r w:rsidR="007931AD" w:rsidRPr="00577593">
        <w:rPr>
          <w:rFonts w:ascii="Times New Roman" w:hAnsi="Times New Roman"/>
          <w:sz w:val="28"/>
          <w:szCs w:val="28"/>
        </w:rPr>
        <w:t xml:space="preserve"> в 2012-</w:t>
      </w:r>
      <w:r w:rsidR="00120120" w:rsidRPr="00577593">
        <w:rPr>
          <w:rFonts w:ascii="Times New Roman" w:hAnsi="Times New Roman"/>
          <w:sz w:val="28"/>
          <w:szCs w:val="28"/>
        </w:rPr>
        <w:t>2024 годы</w:t>
      </w:r>
      <w:r w:rsidR="008925FA" w:rsidRPr="00577593">
        <w:rPr>
          <w:rFonts w:ascii="Times New Roman" w:hAnsi="Times New Roman"/>
          <w:sz w:val="28"/>
          <w:szCs w:val="28"/>
        </w:rPr>
        <w:t xml:space="preserve"> в ценах </w:t>
      </w:r>
      <w:r w:rsidR="007931AD" w:rsidRPr="00577593">
        <w:rPr>
          <w:rFonts w:ascii="Times New Roman" w:hAnsi="Times New Roman"/>
          <w:sz w:val="28"/>
          <w:szCs w:val="28"/>
        </w:rPr>
        <w:t>2024 года</w:t>
      </w:r>
      <w:r w:rsidR="008925FA" w:rsidRPr="00577593">
        <w:rPr>
          <w:rFonts w:ascii="Times New Roman" w:hAnsi="Times New Roman"/>
          <w:sz w:val="28"/>
          <w:szCs w:val="28"/>
        </w:rPr>
        <w:t>, млрд рублей</w:t>
      </w:r>
    </w:p>
    <w:p w:rsidR="00E258F8" w:rsidRPr="00577593" w:rsidRDefault="00E258F8" w:rsidP="00E258F8">
      <w:pPr>
        <w:pStyle w:val="aff9"/>
        <w:spacing w:after="0"/>
        <w:jc w:val="both"/>
        <w:rPr>
          <w:rFonts w:ascii="Times New Roman" w:hAnsi="Times New Roman"/>
          <w:i w:val="0"/>
          <w:iCs w:val="0"/>
          <w:color w:val="auto"/>
          <w:sz w:val="28"/>
          <w:szCs w:val="28"/>
        </w:rPr>
      </w:pPr>
      <w:r w:rsidRPr="00577593">
        <w:rPr>
          <w:rFonts w:ascii="Times New Roman" w:hAnsi="Times New Roman"/>
          <w:i w:val="0"/>
          <w:iCs w:val="0"/>
          <w:color w:val="auto"/>
          <w:sz w:val="28"/>
          <w:szCs w:val="28"/>
        </w:rPr>
        <w:t>Примечание – Источник: данные администрации города Барнаула, решения Барнаульской городской Думы, данные Росстата</w:t>
      </w:r>
    </w:p>
    <w:p w:rsidR="00E258F8" w:rsidRPr="00577593" w:rsidRDefault="00E258F8" w:rsidP="00950472">
      <w:pPr>
        <w:spacing w:after="0" w:line="240" w:lineRule="auto"/>
        <w:jc w:val="center"/>
        <w:rPr>
          <w:rFonts w:ascii="Times New Roman" w:hAnsi="Times New Roman"/>
          <w:sz w:val="28"/>
          <w:szCs w:val="28"/>
        </w:rPr>
      </w:pP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Динамика расходов на образование в 2012</w:t>
      </w:r>
      <w:r w:rsidR="007931AD" w:rsidRPr="00577593">
        <w:rPr>
          <w:rFonts w:ascii="Times New Roman" w:hAnsi="Times New Roman"/>
          <w:sz w:val="28"/>
          <w:szCs w:val="28"/>
        </w:rPr>
        <w:t>-</w:t>
      </w:r>
      <w:r w:rsidRPr="00577593">
        <w:rPr>
          <w:rFonts w:ascii="Times New Roman" w:hAnsi="Times New Roman"/>
          <w:sz w:val="28"/>
          <w:szCs w:val="28"/>
        </w:rPr>
        <w:t>2024 г</w:t>
      </w:r>
      <w:r w:rsidR="007931AD" w:rsidRPr="00577593">
        <w:rPr>
          <w:rFonts w:ascii="Times New Roman" w:hAnsi="Times New Roman"/>
          <w:sz w:val="28"/>
          <w:szCs w:val="28"/>
        </w:rPr>
        <w:t>оды</w:t>
      </w:r>
      <w:r w:rsidRPr="00577593">
        <w:rPr>
          <w:rFonts w:ascii="Times New Roman" w:hAnsi="Times New Roman"/>
          <w:sz w:val="28"/>
          <w:szCs w:val="28"/>
        </w:rPr>
        <w:t xml:space="preserve"> (</w:t>
      </w:r>
      <w:r w:rsidR="00D558A5">
        <w:fldChar w:fldCharType="begin"/>
      </w:r>
      <w:r w:rsidR="00D558A5">
        <w:instrText xml:space="preserve"> REF _Ref199467705 \h  \* MERGEFORMAT </w:instrText>
      </w:r>
      <w:r w:rsidR="00D558A5">
        <w:fldChar w:fldCharType="separate"/>
      </w:r>
      <w:r w:rsidR="00071499" w:rsidRPr="00577593">
        <w:rPr>
          <w:rFonts w:ascii="Times New Roman" w:hAnsi="Times New Roman"/>
          <w:sz w:val="28"/>
          <w:szCs w:val="28"/>
        </w:rPr>
        <w:t xml:space="preserve">Рисунок </w:t>
      </w:r>
      <w:r w:rsidR="00D558A5">
        <w:fldChar w:fldCharType="end"/>
      </w:r>
      <w:r w:rsidR="00C3038B">
        <w:rPr>
          <w:rFonts w:ascii="Times New Roman" w:hAnsi="Times New Roman"/>
          <w:sz w:val="28"/>
          <w:szCs w:val="28"/>
        </w:rPr>
        <w:t>62</w:t>
      </w:r>
      <w:r w:rsidRPr="00577593">
        <w:rPr>
          <w:rFonts w:ascii="Times New Roman" w:hAnsi="Times New Roman"/>
          <w:sz w:val="28"/>
          <w:szCs w:val="28"/>
        </w:rPr>
        <w:t>) объя</w:t>
      </w:r>
      <w:r w:rsidR="007931AD" w:rsidRPr="00577593">
        <w:rPr>
          <w:rFonts w:ascii="Times New Roman" w:hAnsi="Times New Roman"/>
          <w:sz w:val="28"/>
          <w:szCs w:val="28"/>
        </w:rPr>
        <w:t>сняется майскими указами</w:t>
      </w:r>
      <w:r w:rsidR="00C3152E">
        <w:rPr>
          <w:rFonts w:ascii="Times New Roman" w:hAnsi="Times New Roman"/>
          <w:sz w:val="28"/>
          <w:szCs w:val="28"/>
        </w:rPr>
        <w:t xml:space="preserve"> Президента Российской Федерации</w:t>
      </w:r>
      <w:r w:rsidR="00C3152E">
        <w:rPr>
          <w:rFonts w:ascii="Times New Roman" w:hAnsi="Times New Roman"/>
          <w:sz w:val="28"/>
          <w:szCs w:val="28"/>
        </w:rPr>
        <w:br/>
      </w:r>
      <w:r w:rsidR="007931AD" w:rsidRPr="00577593">
        <w:rPr>
          <w:rFonts w:ascii="Times New Roman" w:hAnsi="Times New Roman"/>
          <w:sz w:val="28"/>
          <w:szCs w:val="28"/>
        </w:rPr>
        <w:lastRenderedPageBreak/>
        <w:t>2012 года</w:t>
      </w:r>
      <w:r w:rsidRPr="00577593">
        <w:rPr>
          <w:rFonts w:ascii="Times New Roman" w:hAnsi="Times New Roman"/>
          <w:sz w:val="28"/>
          <w:szCs w:val="28"/>
        </w:rPr>
        <w:t xml:space="preserve">, восстановлением в условиях экономического кризиса </w:t>
      </w:r>
      <w:r w:rsidR="00C3152E">
        <w:rPr>
          <w:rFonts w:ascii="Times New Roman" w:hAnsi="Times New Roman"/>
          <w:sz w:val="28"/>
          <w:szCs w:val="28"/>
        </w:rPr>
        <w:br/>
      </w:r>
      <w:r w:rsidRPr="00577593">
        <w:rPr>
          <w:rFonts w:ascii="Times New Roman" w:hAnsi="Times New Roman"/>
          <w:sz w:val="28"/>
          <w:szCs w:val="28"/>
        </w:rPr>
        <w:t>2014</w:t>
      </w:r>
      <w:r w:rsidR="007931AD" w:rsidRPr="00577593">
        <w:rPr>
          <w:rFonts w:ascii="Times New Roman" w:hAnsi="Times New Roman"/>
          <w:sz w:val="28"/>
          <w:szCs w:val="28"/>
        </w:rPr>
        <w:t>-2018 годов</w:t>
      </w:r>
      <w:r w:rsidRPr="00577593">
        <w:rPr>
          <w:rFonts w:ascii="Times New Roman" w:hAnsi="Times New Roman"/>
          <w:sz w:val="28"/>
          <w:szCs w:val="28"/>
        </w:rPr>
        <w:t>, стабилизацией в 2022</w:t>
      </w:r>
      <w:r w:rsidR="007931AD" w:rsidRPr="00577593">
        <w:rPr>
          <w:rFonts w:ascii="Times New Roman" w:hAnsi="Times New Roman"/>
          <w:sz w:val="28"/>
          <w:szCs w:val="28"/>
        </w:rPr>
        <w:t>-2024 годы</w:t>
      </w:r>
      <w:r w:rsidRPr="00577593">
        <w:rPr>
          <w:rFonts w:ascii="Times New Roman" w:hAnsi="Times New Roman"/>
          <w:sz w:val="28"/>
          <w:szCs w:val="28"/>
        </w:rPr>
        <w:t>.</w:t>
      </w:r>
    </w:p>
    <w:p w:rsidR="00FC41F4" w:rsidRPr="00577593" w:rsidRDefault="000D3F7A" w:rsidP="007C2485">
      <w:pPr>
        <w:spacing w:after="0" w:line="240" w:lineRule="auto"/>
        <w:ind w:firstLine="142"/>
        <w:jc w:val="center"/>
        <w:rPr>
          <w:rFonts w:ascii="Times New Roman" w:hAnsi="Times New Roman"/>
          <w:sz w:val="2"/>
          <w:szCs w:val="2"/>
        </w:rPr>
      </w:pPr>
      <w:r w:rsidRPr="00577593">
        <w:rPr>
          <w:rFonts w:ascii="Times New Roman" w:hAnsi="Times New Roman"/>
          <w:noProof/>
          <w:sz w:val="28"/>
          <w:szCs w:val="28"/>
          <w:lang w:eastAsia="ru-RU"/>
        </w:rPr>
        <w:drawing>
          <wp:inline distT="0" distB="0" distL="0" distR="0">
            <wp:extent cx="5943600" cy="3957955"/>
            <wp:effectExtent l="0" t="0" r="0" b="0"/>
            <wp:docPr id="62" name="Объект 6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FC41F4" w:rsidRPr="00577593" w:rsidRDefault="008925FA" w:rsidP="00950472">
      <w:pPr>
        <w:spacing w:after="0" w:line="240" w:lineRule="auto"/>
        <w:jc w:val="center"/>
        <w:rPr>
          <w:rFonts w:ascii="Times New Roman" w:hAnsi="Times New Roman"/>
          <w:sz w:val="28"/>
          <w:szCs w:val="28"/>
        </w:rPr>
      </w:pPr>
      <w:bookmarkStart w:id="181" w:name="_Ref199467705"/>
      <w:r w:rsidRPr="00577593">
        <w:rPr>
          <w:rFonts w:ascii="Times New Roman" w:hAnsi="Times New Roman"/>
          <w:sz w:val="28"/>
          <w:szCs w:val="28"/>
        </w:rPr>
        <w:t xml:space="preserve">Рисунок </w:t>
      </w:r>
      <w:bookmarkEnd w:id="181"/>
      <w:r w:rsidR="00C3038B">
        <w:rPr>
          <w:rFonts w:ascii="Times New Roman" w:hAnsi="Times New Roman"/>
          <w:sz w:val="28"/>
          <w:szCs w:val="28"/>
        </w:rPr>
        <w:t>62</w:t>
      </w:r>
      <w:r w:rsidRPr="00577593">
        <w:rPr>
          <w:rFonts w:ascii="Times New Roman" w:hAnsi="Times New Roman"/>
          <w:sz w:val="28"/>
          <w:szCs w:val="28"/>
        </w:rPr>
        <w:t xml:space="preserve"> </w:t>
      </w:r>
      <w:r w:rsidR="0099669C" w:rsidRPr="00577593">
        <w:rPr>
          <w:rFonts w:ascii="Times New Roman" w:hAnsi="Times New Roman"/>
          <w:sz w:val="28"/>
          <w:szCs w:val="28"/>
        </w:rPr>
        <w:t>–</w:t>
      </w:r>
      <w:r w:rsidRPr="00577593">
        <w:rPr>
          <w:rFonts w:ascii="Times New Roman" w:hAnsi="Times New Roman"/>
          <w:sz w:val="28"/>
          <w:szCs w:val="28"/>
        </w:rPr>
        <w:t xml:space="preserve"> Динамика расходов на образование в 2012</w:t>
      </w:r>
      <w:r w:rsidR="007931AD" w:rsidRPr="00577593">
        <w:rPr>
          <w:rFonts w:ascii="Times New Roman" w:hAnsi="Times New Roman"/>
          <w:sz w:val="28"/>
          <w:szCs w:val="28"/>
        </w:rPr>
        <w:t>-2024 год</w:t>
      </w:r>
      <w:r w:rsidR="005F1DC6">
        <w:rPr>
          <w:rFonts w:ascii="Times New Roman" w:hAnsi="Times New Roman"/>
          <w:sz w:val="28"/>
          <w:szCs w:val="28"/>
        </w:rPr>
        <w:t>ах</w:t>
      </w:r>
      <w:r w:rsidR="007931AD" w:rsidRPr="00577593">
        <w:rPr>
          <w:rFonts w:ascii="Times New Roman" w:hAnsi="Times New Roman"/>
          <w:sz w:val="28"/>
          <w:szCs w:val="28"/>
        </w:rPr>
        <w:t xml:space="preserve"> в ценах 2024 года</w:t>
      </w:r>
      <w:r w:rsidRPr="00577593">
        <w:rPr>
          <w:rFonts w:ascii="Times New Roman" w:hAnsi="Times New Roman"/>
          <w:sz w:val="28"/>
          <w:szCs w:val="28"/>
        </w:rPr>
        <w:t>, млрд рублей</w:t>
      </w:r>
    </w:p>
    <w:p w:rsidR="00E258F8" w:rsidRPr="00577593" w:rsidRDefault="00E258F8" w:rsidP="00E258F8">
      <w:pPr>
        <w:pStyle w:val="aff9"/>
        <w:spacing w:after="0"/>
        <w:jc w:val="both"/>
        <w:rPr>
          <w:rFonts w:ascii="Times New Roman" w:hAnsi="Times New Roman"/>
          <w:i w:val="0"/>
          <w:iCs w:val="0"/>
          <w:color w:val="auto"/>
          <w:sz w:val="28"/>
          <w:szCs w:val="28"/>
        </w:rPr>
      </w:pPr>
      <w:r w:rsidRPr="00577593">
        <w:rPr>
          <w:rFonts w:ascii="Times New Roman" w:hAnsi="Times New Roman"/>
          <w:i w:val="0"/>
          <w:iCs w:val="0"/>
          <w:color w:val="auto"/>
          <w:sz w:val="28"/>
          <w:szCs w:val="28"/>
        </w:rPr>
        <w:t>Примечание – Источник: на основе данных администрации города Барнаула, решений Барнаульской городской Думы, данных Росстата</w:t>
      </w:r>
    </w:p>
    <w:p w:rsidR="00950472" w:rsidRPr="00577593" w:rsidRDefault="00950472" w:rsidP="00950472">
      <w:pPr>
        <w:spacing w:after="0" w:line="240" w:lineRule="auto"/>
        <w:jc w:val="center"/>
        <w:rPr>
          <w:rFonts w:ascii="Times New Roman" w:hAnsi="Times New Roman"/>
          <w:sz w:val="28"/>
          <w:szCs w:val="28"/>
        </w:rPr>
      </w:pP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К основным проблемам в бюджетной сфере можно отнести:</w:t>
      </w:r>
    </w:p>
    <w:p w:rsidR="004C33D9" w:rsidRPr="00577593" w:rsidRDefault="004C33D9" w:rsidP="002000D4">
      <w:pPr>
        <w:pStyle w:val="af5"/>
        <w:numPr>
          <w:ilvl w:val="0"/>
          <w:numId w:val="24"/>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Calibri" w:hAnsi="Times New Roman"/>
          <w:sz w:val="28"/>
          <w:szCs w:val="28"/>
        </w:rPr>
        <w:t>снижение удельного веса налоговых и неналоговых доходов в общем объеме доходов бюджета города, которое вызвано: низкой кадастровой стоимостью земли в результате ее оспаривания, дефицитом свободных земельных участков под жилищное строительство, сокращением количества муниципального имущества, пригодного для приватизации и сдачи в аренду;</w:t>
      </w:r>
    </w:p>
    <w:p w:rsidR="00FC41F4" w:rsidRPr="00577593" w:rsidRDefault="004C33D9" w:rsidP="002000D4">
      <w:pPr>
        <w:pStyle w:val="af5"/>
        <w:numPr>
          <w:ilvl w:val="0"/>
          <w:numId w:val="24"/>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Calibri" w:hAnsi="Times New Roman"/>
          <w:sz w:val="28"/>
          <w:szCs w:val="28"/>
        </w:rPr>
        <w:t>ограниченность бюджетных средств, что не позволяет в полном объеме обеспечить город объектами социальной, инженерной и транспортной инфраструктуры.</w:t>
      </w:r>
    </w:p>
    <w:p w:rsidR="00FC41F4" w:rsidRPr="00577593" w:rsidRDefault="008925FA" w:rsidP="002000D4">
      <w:pPr>
        <w:pStyle w:val="3"/>
        <w:spacing w:before="0" w:line="240" w:lineRule="auto"/>
        <w:ind w:firstLine="709"/>
        <w:rPr>
          <w:rFonts w:ascii="Times New Roman" w:hAnsi="Times New Roman"/>
          <w:b/>
          <w:color w:val="auto"/>
          <w:sz w:val="28"/>
          <w:szCs w:val="28"/>
        </w:rPr>
      </w:pPr>
      <w:bookmarkStart w:id="182" w:name="_Toc204923014"/>
      <w:bookmarkStart w:id="183" w:name="_Toc204933348"/>
      <w:bookmarkStart w:id="184" w:name="_Toc208496652"/>
      <w:bookmarkStart w:id="185" w:name="_Toc208668934"/>
      <w:bookmarkStart w:id="186" w:name="_Toc212804283"/>
      <w:r w:rsidRPr="00577593">
        <w:rPr>
          <w:rFonts w:ascii="Times New Roman" w:hAnsi="Times New Roman"/>
          <w:b/>
          <w:color w:val="auto"/>
          <w:sz w:val="28"/>
          <w:szCs w:val="28"/>
        </w:rPr>
        <w:t>2.9.2</w:t>
      </w:r>
      <w:r w:rsidR="00C3152E">
        <w:rPr>
          <w:rFonts w:ascii="Times New Roman" w:hAnsi="Times New Roman"/>
          <w:b/>
          <w:color w:val="auto"/>
          <w:sz w:val="28"/>
          <w:szCs w:val="28"/>
        </w:rPr>
        <w:t>.</w:t>
      </w:r>
      <w:r w:rsidRPr="00577593">
        <w:rPr>
          <w:rFonts w:ascii="Times New Roman" w:hAnsi="Times New Roman"/>
          <w:b/>
          <w:color w:val="auto"/>
          <w:sz w:val="28"/>
          <w:szCs w:val="28"/>
        </w:rPr>
        <w:t xml:space="preserve"> Электронный муниципалитет и муниципальные услуги</w:t>
      </w:r>
      <w:bookmarkEnd w:id="182"/>
      <w:bookmarkEnd w:id="183"/>
      <w:bookmarkEnd w:id="184"/>
      <w:bookmarkEnd w:id="185"/>
      <w:bookmarkEnd w:id="186"/>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В течение 2012</w:t>
      </w:r>
      <w:r w:rsidR="007931AD" w:rsidRPr="00577593">
        <w:rPr>
          <w:rFonts w:ascii="Times New Roman" w:hAnsi="Times New Roman"/>
          <w:sz w:val="28"/>
          <w:szCs w:val="28"/>
        </w:rPr>
        <w:t>-2024 годов</w:t>
      </w:r>
      <w:r w:rsidRPr="00577593">
        <w:rPr>
          <w:rFonts w:ascii="Times New Roman" w:hAnsi="Times New Roman"/>
          <w:sz w:val="28"/>
          <w:szCs w:val="28"/>
        </w:rPr>
        <w:t xml:space="preserve"> формировалась система муниципального управления. Действует официальный сайт города Барнаула barnaul.org, правовой портал law-portal22.ru, портал открытых данных органов местного самоуправления города Барнаула opendata.barnaul.org, инвестиционный портал города Барнаула invest.barnaul.org, в городе действует электронный туристический ресурс guestcard.barnaul.org.</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lastRenderedPageBreak/>
        <w:t xml:space="preserve">Более 350 рабочих мест являются аттестованными рабочими местами муниципальных информационных систем. В работу муниципалитета внедрены АИС «Социально-экономическое развитие города Барнаула», </w:t>
      </w:r>
      <w:r w:rsidR="00E65F98" w:rsidRPr="00577593">
        <w:rPr>
          <w:rFonts w:ascii="Times New Roman" w:hAnsi="Times New Roman"/>
          <w:sz w:val="28"/>
          <w:szCs w:val="28"/>
        </w:rPr>
        <w:br/>
      </w:r>
      <w:r w:rsidRPr="00577593">
        <w:rPr>
          <w:rFonts w:ascii="Times New Roman" w:hAnsi="Times New Roman"/>
          <w:sz w:val="28"/>
          <w:szCs w:val="28"/>
        </w:rPr>
        <w:t xml:space="preserve">МИС «Система учета административных правонарушений» (действует </w:t>
      </w:r>
      <w:r w:rsidR="00E65F98" w:rsidRPr="00577593">
        <w:rPr>
          <w:rFonts w:ascii="Times New Roman" w:hAnsi="Times New Roman"/>
          <w:sz w:val="28"/>
          <w:szCs w:val="28"/>
        </w:rPr>
        <w:br/>
      </w:r>
      <w:r w:rsidRPr="00577593">
        <w:rPr>
          <w:rFonts w:ascii="Times New Roman" w:hAnsi="Times New Roman"/>
          <w:sz w:val="28"/>
          <w:szCs w:val="28"/>
        </w:rPr>
        <w:t xml:space="preserve">в 11 административных комиссиях города). Осуществляется внедрение геопортала цифровой интерактивной аналитической системы города Барнаула. В городе развивается и модернизируется муниципальная информационная система обеспечения градостроительной деятельности (ИСОГД). Внедрена ЕСЭД </w:t>
      </w:r>
      <w:r w:rsidR="0099669C" w:rsidRPr="00577593">
        <w:rPr>
          <w:rFonts w:ascii="Times New Roman" w:hAnsi="Times New Roman"/>
          <w:sz w:val="28"/>
          <w:szCs w:val="28"/>
        </w:rPr>
        <w:t>–</w:t>
      </w:r>
      <w:r w:rsidRPr="00577593">
        <w:rPr>
          <w:rFonts w:ascii="Times New Roman" w:hAnsi="Times New Roman"/>
          <w:sz w:val="28"/>
          <w:szCs w:val="28"/>
        </w:rPr>
        <w:t xml:space="preserve"> единая система электронного документооборота Алтайского края для обмена документами между органами м</w:t>
      </w:r>
      <w:r w:rsidR="00C3152E">
        <w:rPr>
          <w:rFonts w:ascii="Times New Roman" w:hAnsi="Times New Roman"/>
          <w:sz w:val="28"/>
          <w:szCs w:val="28"/>
        </w:rPr>
        <w:t xml:space="preserve">естного самоуправления города и </w:t>
      </w:r>
      <w:r w:rsidRPr="00577593">
        <w:rPr>
          <w:rFonts w:ascii="Times New Roman" w:hAnsi="Times New Roman"/>
          <w:sz w:val="28"/>
          <w:szCs w:val="28"/>
        </w:rPr>
        <w:t>Правительством Алтайского края, исполнительными органами Алтайского края.</w:t>
      </w:r>
    </w:p>
    <w:p w:rsidR="001433AD" w:rsidRPr="00577593" w:rsidRDefault="008925FA" w:rsidP="002000D4">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Из 89 муниципальных услуг 57 переведены в электронный вид </w:t>
      </w:r>
      <w:r w:rsidR="00E65F98" w:rsidRPr="00577593">
        <w:rPr>
          <w:rFonts w:ascii="Times New Roman" w:eastAsia="Times New Roman" w:hAnsi="Times New Roman"/>
          <w:sz w:val="28"/>
          <w:szCs w:val="28"/>
        </w:rPr>
        <w:br/>
      </w:r>
      <w:r w:rsidRPr="00577593">
        <w:rPr>
          <w:rFonts w:ascii="Times New Roman" w:eastAsia="Times New Roman" w:hAnsi="Times New Roman"/>
          <w:sz w:val="28"/>
          <w:szCs w:val="28"/>
        </w:rPr>
        <w:t xml:space="preserve">на городском портале «Электронный Барнаул» (в том числе 15 из них </w:t>
      </w:r>
      <w:r w:rsidR="0099669C" w:rsidRPr="00577593">
        <w:rPr>
          <w:rFonts w:ascii="Times New Roman" w:eastAsia="Times New Roman" w:hAnsi="Times New Roman"/>
          <w:sz w:val="28"/>
          <w:szCs w:val="28"/>
        </w:rPr>
        <w:t>–</w:t>
      </w:r>
      <w:r w:rsidRPr="00577593">
        <w:rPr>
          <w:rFonts w:ascii="Times New Roman" w:eastAsia="Times New Roman" w:hAnsi="Times New Roman"/>
          <w:sz w:val="28"/>
          <w:szCs w:val="28"/>
        </w:rPr>
        <w:t xml:space="preserve"> </w:t>
      </w:r>
      <w:r w:rsidR="00E65F98" w:rsidRPr="00577593">
        <w:rPr>
          <w:rFonts w:ascii="Times New Roman" w:eastAsia="Times New Roman" w:hAnsi="Times New Roman"/>
          <w:sz w:val="28"/>
          <w:szCs w:val="28"/>
        </w:rPr>
        <w:br/>
      </w:r>
      <w:r w:rsidRPr="00577593">
        <w:rPr>
          <w:rFonts w:ascii="Times New Roman" w:eastAsia="Times New Roman" w:hAnsi="Times New Roman"/>
          <w:sz w:val="28"/>
          <w:szCs w:val="28"/>
        </w:rPr>
        <w:t xml:space="preserve">на портале «Госуслуги»), три услуги предоставляются </w:t>
      </w:r>
      <w:r w:rsidR="00E65F98" w:rsidRPr="00577593">
        <w:rPr>
          <w:rFonts w:ascii="Times New Roman" w:eastAsia="Times New Roman" w:hAnsi="Times New Roman"/>
          <w:sz w:val="28"/>
          <w:szCs w:val="28"/>
        </w:rPr>
        <w:br/>
      </w:r>
      <w:r w:rsidRPr="00577593">
        <w:rPr>
          <w:rFonts w:ascii="Times New Roman" w:eastAsia="Times New Roman" w:hAnsi="Times New Roman"/>
          <w:sz w:val="28"/>
          <w:szCs w:val="28"/>
        </w:rPr>
        <w:t xml:space="preserve">на специализированных сайтах образовательных услуг Алтайского края </w:t>
      </w:r>
      <w:r w:rsidR="00E65F98" w:rsidRPr="00577593">
        <w:rPr>
          <w:rFonts w:ascii="Times New Roman" w:eastAsia="Times New Roman" w:hAnsi="Times New Roman"/>
          <w:sz w:val="28"/>
          <w:szCs w:val="28"/>
        </w:rPr>
        <w:br/>
      </w:r>
      <w:r w:rsidRPr="00577593">
        <w:rPr>
          <w:rFonts w:ascii="Times New Roman" w:eastAsia="Times New Roman" w:hAnsi="Times New Roman"/>
          <w:sz w:val="28"/>
          <w:szCs w:val="28"/>
        </w:rPr>
        <w:t xml:space="preserve">(в том числе 2 из них </w:t>
      </w:r>
      <w:r w:rsidR="0099669C" w:rsidRPr="00577593">
        <w:rPr>
          <w:rFonts w:ascii="Times New Roman" w:eastAsia="Times New Roman" w:hAnsi="Times New Roman"/>
          <w:sz w:val="28"/>
          <w:szCs w:val="28"/>
        </w:rPr>
        <w:t>–</w:t>
      </w:r>
      <w:r w:rsidRPr="00577593">
        <w:rPr>
          <w:rFonts w:ascii="Times New Roman" w:eastAsia="Times New Roman" w:hAnsi="Times New Roman"/>
          <w:sz w:val="28"/>
          <w:szCs w:val="28"/>
        </w:rPr>
        <w:t xml:space="preserve"> на портале «Госуслуги»), 23 муниципальные услуги предоставляются в электронном виде только на портале «Госуслуги», предоставление шести услуг в электронном виде не предусмотрено административными регламентами. Уровень удовлетворенности граждан города Барнаула качеством предоставления муниципальных услуг, определяемый по результатам монито</w:t>
      </w:r>
      <w:r w:rsidR="007931AD" w:rsidRPr="00577593">
        <w:rPr>
          <w:rFonts w:ascii="Times New Roman" w:eastAsia="Times New Roman" w:hAnsi="Times New Roman"/>
          <w:sz w:val="28"/>
          <w:szCs w:val="28"/>
        </w:rPr>
        <w:t>ринга, составляет 99%. В 2024 году</w:t>
      </w:r>
      <w:r w:rsidRPr="00577593">
        <w:rPr>
          <w:rFonts w:ascii="Times New Roman" w:eastAsia="Times New Roman" w:hAnsi="Times New Roman"/>
          <w:sz w:val="28"/>
          <w:szCs w:val="28"/>
        </w:rPr>
        <w:t xml:space="preserve"> более 70% всех обращений за получением государственных и муниципальных услуг происходило в электр</w:t>
      </w:r>
      <w:r w:rsidR="007931AD" w:rsidRPr="00577593">
        <w:rPr>
          <w:rFonts w:ascii="Times New Roman" w:eastAsia="Times New Roman" w:hAnsi="Times New Roman"/>
          <w:sz w:val="28"/>
          <w:szCs w:val="28"/>
        </w:rPr>
        <w:t xml:space="preserve">онной форме, тогда как </w:t>
      </w:r>
      <w:r w:rsidR="00E65F98" w:rsidRPr="00577593">
        <w:rPr>
          <w:rFonts w:ascii="Times New Roman" w:eastAsia="Times New Roman" w:hAnsi="Times New Roman"/>
          <w:sz w:val="28"/>
          <w:szCs w:val="28"/>
        </w:rPr>
        <w:br/>
      </w:r>
      <w:r w:rsidR="007931AD" w:rsidRPr="00577593">
        <w:rPr>
          <w:rFonts w:ascii="Times New Roman" w:eastAsia="Times New Roman" w:hAnsi="Times New Roman"/>
          <w:sz w:val="28"/>
          <w:szCs w:val="28"/>
        </w:rPr>
        <w:t>в 2012 году</w:t>
      </w:r>
      <w:r w:rsidRPr="00577593">
        <w:rPr>
          <w:rFonts w:ascii="Times New Roman" w:eastAsia="Times New Roman" w:hAnsi="Times New Roman"/>
          <w:sz w:val="28"/>
          <w:szCs w:val="28"/>
        </w:rPr>
        <w:t xml:space="preserve"> </w:t>
      </w:r>
      <w:r w:rsidR="0099669C" w:rsidRPr="00577593">
        <w:rPr>
          <w:rFonts w:ascii="Times New Roman" w:eastAsia="Times New Roman" w:hAnsi="Times New Roman"/>
          <w:sz w:val="28"/>
          <w:szCs w:val="28"/>
        </w:rPr>
        <w:t>–</w:t>
      </w:r>
      <w:r w:rsidRPr="00577593">
        <w:rPr>
          <w:rFonts w:ascii="Times New Roman" w:eastAsia="Times New Roman" w:hAnsi="Times New Roman"/>
          <w:sz w:val="28"/>
          <w:szCs w:val="28"/>
        </w:rPr>
        <w:t xml:space="preserve"> 0%.</w:t>
      </w:r>
    </w:p>
    <w:p w:rsidR="001433AD" w:rsidRPr="00577593" w:rsidRDefault="001433AD" w:rsidP="002000D4">
      <w:pPr>
        <w:spacing w:after="0" w:line="240" w:lineRule="auto"/>
        <w:ind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rPr>
        <w:t xml:space="preserve">С ноября 2020 года в администрации города Барнаула ведется работа </w:t>
      </w:r>
      <w:r w:rsidRPr="00577593">
        <w:rPr>
          <w:rFonts w:ascii="Times New Roman" w:eastAsia="Times New Roman" w:hAnsi="Times New Roman"/>
          <w:sz w:val="28"/>
          <w:szCs w:val="28"/>
        </w:rPr>
        <w:br/>
        <w:t xml:space="preserve">на </w:t>
      </w:r>
      <w:r w:rsidRPr="00577593">
        <w:rPr>
          <w:rFonts w:ascii="Times New Roman" w:hAnsi="Times New Roman"/>
          <w:sz w:val="28"/>
          <w:szCs w:val="28"/>
          <w:shd w:val="clear" w:color="auto" w:fill="FFFFFF"/>
          <w:lang w:eastAsia="ru-RU"/>
        </w:rPr>
        <w:t xml:space="preserve">платформе обратной связи (далее - ПОС). </w:t>
      </w:r>
      <w:r w:rsidRPr="00577593">
        <w:rPr>
          <w:rFonts w:ascii="Times New Roman" w:eastAsia="Times New Roman" w:hAnsi="Times New Roman"/>
          <w:sz w:val="28"/>
          <w:szCs w:val="28"/>
          <w:lang w:eastAsia="ru-RU"/>
        </w:rPr>
        <w:t xml:space="preserve">На официальном сайте города размещено и работает пять виджетов для направления сообщений гражданами, юридическими лицами по широкому спектру вопросов, а также для участия в опросах, голосованиях и общественных обсуждениях </w:t>
      </w:r>
      <w:r w:rsidR="00E65F98" w:rsidRPr="00577593">
        <w:rPr>
          <w:rFonts w:ascii="Times New Roman" w:eastAsia="Times New Roman" w:hAnsi="Times New Roman"/>
          <w:sz w:val="28"/>
          <w:szCs w:val="28"/>
          <w:lang w:eastAsia="ru-RU"/>
        </w:rPr>
        <w:br/>
      </w:r>
      <w:r w:rsidRPr="00577593">
        <w:rPr>
          <w:rFonts w:ascii="Times New Roman" w:eastAsia="Times New Roman" w:hAnsi="Times New Roman"/>
          <w:sz w:val="28"/>
          <w:szCs w:val="28"/>
          <w:lang w:eastAsia="ru-RU"/>
        </w:rPr>
        <w:t xml:space="preserve">по проектам благоустройства территории, реконструкции, строительства, землепользования. </w:t>
      </w:r>
      <w:r w:rsidR="00F224E3" w:rsidRPr="00577593">
        <w:rPr>
          <w:rFonts w:ascii="Times New Roman" w:eastAsia="Times New Roman" w:hAnsi="Times New Roman"/>
          <w:sz w:val="28"/>
          <w:szCs w:val="28"/>
        </w:rPr>
        <w:t>В результате наблюдается</w:t>
      </w:r>
      <w:r w:rsidR="001931CA" w:rsidRPr="00577593">
        <w:rPr>
          <w:rFonts w:ascii="Times New Roman" w:eastAsia="Times New Roman" w:hAnsi="Times New Roman"/>
          <w:sz w:val="28"/>
          <w:szCs w:val="28"/>
        </w:rPr>
        <w:t xml:space="preserve"> усто</w:t>
      </w:r>
      <w:r w:rsidR="00F224E3" w:rsidRPr="00577593">
        <w:rPr>
          <w:rFonts w:ascii="Times New Roman" w:eastAsia="Times New Roman" w:hAnsi="Times New Roman"/>
          <w:sz w:val="28"/>
          <w:szCs w:val="28"/>
        </w:rPr>
        <w:t>й</w:t>
      </w:r>
      <w:r w:rsidR="001931CA" w:rsidRPr="00577593">
        <w:rPr>
          <w:rFonts w:ascii="Times New Roman" w:eastAsia="Times New Roman" w:hAnsi="Times New Roman"/>
          <w:sz w:val="28"/>
          <w:szCs w:val="28"/>
        </w:rPr>
        <w:t>чив</w:t>
      </w:r>
      <w:r w:rsidR="00F224E3" w:rsidRPr="00577593">
        <w:rPr>
          <w:rFonts w:ascii="Times New Roman" w:eastAsia="Times New Roman" w:hAnsi="Times New Roman"/>
          <w:sz w:val="28"/>
          <w:szCs w:val="28"/>
        </w:rPr>
        <w:t>ая</w:t>
      </w:r>
      <w:r w:rsidR="001931CA" w:rsidRPr="00577593">
        <w:rPr>
          <w:rFonts w:ascii="Times New Roman" w:eastAsia="Times New Roman" w:hAnsi="Times New Roman"/>
          <w:sz w:val="28"/>
          <w:szCs w:val="28"/>
        </w:rPr>
        <w:t xml:space="preserve"> тенденци</w:t>
      </w:r>
      <w:r w:rsidR="00F224E3" w:rsidRPr="00577593">
        <w:rPr>
          <w:rFonts w:ascii="Times New Roman" w:eastAsia="Times New Roman" w:hAnsi="Times New Roman"/>
          <w:sz w:val="28"/>
          <w:szCs w:val="28"/>
        </w:rPr>
        <w:t>я</w:t>
      </w:r>
      <w:r w:rsidR="001931CA" w:rsidRPr="00577593">
        <w:rPr>
          <w:rFonts w:ascii="Times New Roman" w:eastAsia="Times New Roman" w:hAnsi="Times New Roman"/>
          <w:sz w:val="28"/>
          <w:szCs w:val="28"/>
        </w:rPr>
        <w:t xml:space="preserve"> ежегодного увеличения обращений, которые в совокупности за период </w:t>
      </w:r>
      <w:r w:rsidR="00E65F98" w:rsidRPr="00577593">
        <w:rPr>
          <w:rFonts w:ascii="Times New Roman" w:eastAsia="Times New Roman" w:hAnsi="Times New Roman"/>
          <w:sz w:val="28"/>
          <w:szCs w:val="28"/>
        </w:rPr>
        <w:br/>
      </w:r>
      <w:r w:rsidR="001931CA" w:rsidRPr="00577593">
        <w:rPr>
          <w:rFonts w:ascii="Times New Roman" w:eastAsia="Times New Roman" w:hAnsi="Times New Roman"/>
          <w:sz w:val="28"/>
          <w:szCs w:val="28"/>
        </w:rPr>
        <w:t xml:space="preserve">с </w:t>
      </w:r>
      <w:r w:rsidRPr="00577593">
        <w:rPr>
          <w:rFonts w:ascii="Times New Roman" w:eastAsia="Times New Roman" w:hAnsi="Times New Roman"/>
          <w:sz w:val="28"/>
          <w:szCs w:val="28"/>
          <w:lang w:eastAsia="ru-RU"/>
        </w:rPr>
        <w:t xml:space="preserve">20.11.2020 по </w:t>
      </w:r>
      <w:r w:rsidR="001931CA" w:rsidRPr="00577593">
        <w:rPr>
          <w:rFonts w:ascii="Times New Roman" w:eastAsia="Times New Roman" w:hAnsi="Times New Roman"/>
          <w:sz w:val="28"/>
          <w:szCs w:val="28"/>
          <w:lang w:eastAsia="ru-RU"/>
        </w:rPr>
        <w:t>2024 год превыс</w:t>
      </w:r>
      <w:r w:rsidR="00F224E3" w:rsidRPr="00577593">
        <w:rPr>
          <w:rFonts w:ascii="Times New Roman" w:eastAsia="Times New Roman" w:hAnsi="Times New Roman"/>
          <w:sz w:val="28"/>
          <w:szCs w:val="28"/>
          <w:lang w:eastAsia="ru-RU"/>
        </w:rPr>
        <w:t>и</w:t>
      </w:r>
      <w:r w:rsidR="001931CA" w:rsidRPr="00577593">
        <w:rPr>
          <w:rFonts w:ascii="Times New Roman" w:eastAsia="Times New Roman" w:hAnsi="Times New Roman"/>
          <w:sz w:val="28"/>
          <w:szCs w:val="28"/>
          <w:lang w:eastAsia="ru-RU"/>
        </w:rPr>
        <w:t>л</w:t>
      </w:r>
      <w:r w:rsidR="00F224E3" w:rsidRPr="00577593">
        <w:rPr>
          <w:rFonts w:ascii="Times New Roman" w:eastAsia="Times New Roman" w:hAnsi="Times New Roman"/>
          <w:sz w:val="28"/>
          <w:szCs w:val="28"/>
          <w:lang w:eastAsia="ru-RU"/>
        </w:rPr>
        <w:t>и</w:t>
      </w:r>
      <w:r w:rsidRPr="00577593">
        <w:rPr>
          <w:rFonts w:ascii="Times New Roman" w:eastAsia="Times New Roman" w:hAnsi="Times New Roman"/>
          <w:sz w:val="28"/>
          <w:szCs w:val="28"/>
          <w:lang w:eastAsia="ru-RU"/>
        </w:rPr>
        <w:t xml:space="preserve"> </w:t>
      </w:r>
      <w:r w:rsidR="00F224E3" w:rsidRPr="00577593">
        <w:rPr>
          <w:rFonts w:ascii="Times New Roman" w:eastAsia="Times New Roman" w:hAnsi="Times New Roman"/>
          <w:sz w:val="28"/>
          <w:szCs w:val="28"/>
          <w:lang w:eastAsia="ru-RU"/>
        </w:rPr>
        <w:t>14,8 тысяч.</w:t>
      </w:r>
    </w:p>
    <w:p w:rsidR="00950472" w:rsidRPr="00577593" w:rsidRDefault="008925FA" w:rsidP="00950472">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Администрация города Барнаула ведет официальные страницы </w:t>
      </w:r>
      <w:r w:rsidR="00E65F98" w:rsidRPr="00577593">
        <w:rPr>
          <w:rFonts w:ascii="Times New Roman" w:hAnsi="Times New Roman"/>
          <w:sz w:val="28"/>
          <w:szCs w:val="28"/>
        </w:rPr>
        <w:br/>
      </w:r>
      <w:r w:rsidRPr="00577593">
        <w:rPr>
          <w:rFonts w:ascii="Times New Roman" w:hAnsi="Times New Roman"/>
          <w:sz w:val="28"/>
          <w:szCs w:val="28"/>
        </w:rPr>
        <w:t xml:space="preserve">в социальных сетях ВКонтакте, Одноклассники, Телеграм-канале, где ежемесячно размещается более 200 новостей, а также фото- </w:t>
      </w:r>
      <w:r w:rsidR="00E65F98" w:rsidRPr="00577593">
        <w:rPr>
          <w:rFonts w:ascii="Times New Roman" w:hAnsi="Times New Roman"/>
          <w:sz w:val="28"/>
          <w:szCs w:val="28"/>
        </w:rPr>
        <w:br/>
      </w:r>
      <w:r w:rsidRPr="00577593">
        <w:rPr>
          <w:rFonts w:ascii="Times New Roman" w:hAnsi="Times New Roman"/>
          <w:sz w:val="28"/>
          <w:szCs w:val="28"/>
        </w:rPr>
        <w:t>и видеоматериалы. Совокупная аудитория в</w:t>
      </w:r>
      <w:r w:rsidR="00110080" w:rsidRPr="00577593">
        <w:rPr>
          <w:rFonts w:ascii="Times New Roman" w:hAnsi="Times New Roman"/>
          <w:sz w:val="28"/>
          <w:szCs w:val="28"/>
        </w:rPr>
        <w:t xml:space="preserve"> течение года составляет </w:t>
      </w:r>
      <w:r w:rsidR="00E65F98" w:rsidRPr="00577593">
        <w:rPr>
          <w:rFonts w:ascii="Times New Roman" w:hAnsi="Times New Roman"/>
          <w:sz w:val="28"/>
          <w:szCs w:val="28"/>
        </w:rPr>
        <w:br/>
      </w:r>
      <w:r w:rsidR="00110080" w:rsidRPr="00577593">
        <w:rPr>
          <w:rFonts w:ascii="Times New Roman" w:hAnsi="Times New Roman"/>
          <w:sz w:val="28"/>
          <w:szCs w:val="28"/>
        </w:rPr>
        <w:t>50 тысяч</w:t>
      </w:r>
      <w:r w:rsidRPr="00577593">
        <w:rPr>
          <w:rFonts w:ascii="Times New Roman" w:hAnsi="Times New Roman"/>
          <w:sz w:val="28"/>
          <w:szCs w:val="28"/>
        </w:rPr>
        <w:t xml:space="preserve"> человек. Сайт </w:t>
      </w:r>
      <w:r w:rsidR="008C1C22">
        <w:rPr>
          <w:rFonts w:ascii="Times New Roman" w:hAnsi="Times New Roman"/>
          <w:sz w:val="28"/>
          <w:szCs w:val="28"/>
        </w:rPr>
        <w:t>города</w:t>
      </w:r>
      <w:r w:rsidR="007931AD" w:rsidRPr="00577593">
        <w:rPr>
          <w:rFonts w:ascii="Times New Roman" w:hAnsi="Times New Roman"/>
          <w:sz w:val="28"/>
          <w:szCs w:val="28"/>
        </w:rPr>
        <w:t xml:space="preserve"> в 2023 году</w:t>
      </w:r>
      <w:r w:rsidR="00110080" w:rsidRPr="00577593">
        <w:rPr>
          <w:rFonts w:ascii="Times New Roman" w:hAnsi="Times New Roman"/>
          <w:sz w:val="28"/>
          <w:szCs w:val="28"/>
        </w:rPr>
        <w:t xml:space="preserve"> посетило </w:t>
      </w:r>
      <w:r w:rsidR="00602CDF" w:rsidRPr="00577593">
        <w:rPr>
          <w:rFonts w:ascii="Times New Roman" w:hAnsi="Times New Roman"/>
          <w:sz w:val="28"/>
          <w:szCs w:val="28"/>
        </w:rPr>
        <w:br/>
      </w:r>
      <w:r w:rsidR="00110080" w:rsidRPr="00577593">
        <w:rPr>
          <w:rFonts w:ascii="Times New Roman" w:hAnsi="Times New Roman"/>
          <w:sz w:val="28"/>
          <w:szCs w:val="28"/>
        </w:rPr>
        <w:t>1370 тысяч</w:t>
      </w:r>
      <w:r w:rsidRPr="00577593">
        <w:rPr>
          <w:rFonts w:ascii="Times New Roman" w:hAnsi="Times New Roman"/>
          <w:sz w:val="28"/>
          <w:szCs w:val="28"/>
        </w:rPr>
        <w:t xml:space="preserve"> человек.</w:t>
      </w:r>
      <w:bookmarkStart w:id="187" w:name="_Toc1539413572"/>
      <w:bookmarkStart w:id="188" w:name="_Toc204923015"/>
      <w:bookmarkStart w:id="189" w:name="_Toc204933349"/>
      <w:bookmarkStart w:id="190" w:name="_Toc208496653"/>
      <w:bookmarkStart w:id="191" w:name="_Toc208668935"/>
      <w:bookmarkStart w:id="192" w:name="_Toc212804284"/>
    </w:p>
    <w:p w:rsidR="00FC41F4" w:rsidRPr="00577593" w:rsidRDefault="008925FA" w:rsidP="002000D4">
      <w:pPr>
        <w:pStyle w:val="3"/>
        <w:spacing w:before="0" w:line="240" w:lineRule="auto"/>
        <w:ind w:firstLine="709"/>
        <w:rPr>
          <w:rFonts w:ascii="Times New Roman" w:hAnsi="Times New Roman"/>
          <w:b/>
          <w:color w:val="auto"/>
          <w:sz w:val="28"/>
          <w:szCs w:val="28"/>
        </w:rPr>
      </w:pPr>
      <w:r w:rsidRPr="00577593">
        <w:rPr>
          <w:rFonts w:ascii="Times New Roman" w:hAnsi="Times New Roman"/>
          <w:b/>
          <w:color w:val="auto"/>
          <w:sz w:val="28"/>
          <w:szCs w:val="28"/>
        </w:rPr>
        <w:t>2.9.3</w:t>
      </w:r>
      <w:r w:rsidR="00C3152E">
        <w:rPr>
          <w:rFonts w:ascii="Times New Roman" w:hAnsi="Times New Roman"/>
          <w:b/>
          <w:color w:val="auto"/>
          <w:sz w:val="28"/>
          <w:szCs w:val="28"/>
        </w:rPr>
        <w:t>.</w:t>
      </w:r>
      <w:r w:rsidRPr="00577593">
        <w:rPr>
          <w:rFonts w:ascii="Times New Roman" w:hAnsi="Times New Roman"/>
          <w:b/>
          <w:color w:val="auto"/>
          <w:sz w:val="28"/>
          <w:szCs w:val="28"/>
        </w:rPr>
        <w:t xml:space="preserve"> Муниципальное имущество</w:t>
      </w:r>
      <w:bookmarkEnd w:id="187"/>
      <w:bookmarkEnd w:id="188"/>
      <w:bookmarkEnd w:id="189"/>
      <w:bookmarkEnd w:id="190"/>
      <w:bookmarkEnd w:id="191"/>
      <w:bookmarkEnd w:id="192"/>
    </w:p>
    <w:p w:rsidR="00FC41F4" w:rsidRPr="00577593" w:rsidRDefault="008925FA" w:rsidP="002000D4">
      <w:pPr>
        <w:spacing w:after="0" w:line="240" w:lineRule="auto"/>
        <w:ind w:firstLine="709"/>
        <w:jc w:val="both"/>
        <w:rPr>
          <w:rFonts w:ascii="Times New Roman" w:hAnsi="Times New Roman"/>
          <w:b/>
          <w:sz w:val="28"/>
          <w:szCs w:val="28"/>
        </w:rPr>
      </w:pPr>
      <w:r w:rsidRPr="00577593">
        <w:rPr>
          <w:rFonts w:ascii="Times New Roman" w:hAnsi="Times New Roman"/>
          <w:b/>
          <w:sz w:val="28"/>
          <w:szCs w:val="28"/>
        </w:rPr>
        <w:t>Городская собственность</w:t>
      </w:r>
    </w:p>
    <w:p w:rsidR="000D0C2F" w:rsidRDefault="008925FA" w:rsidP="002000D4">
      <w:pPr>
        <w:spacing w:after="0" w:line="240" w:lineRule="auto"/>
        <w:ind w:firstLine="709"/>
        <w:jc w:val="both"/>
        <w:rPr>
          <w:rFonts w:ascii="Times New Roman" w:eastAsia="Calibri" w:hAnsi="Times New Roman"/>
          <w:sz w:val="28"/>
          <w:szCs w:val="28"/>
        </w:rPr>
      </w:pPr>
      <w:r w:rsidRPr="00577593">
        <w:rPr>
          <w:rFonts w:ascii="Times New Roman" w:hAnsi="Times New Roman"/>
          <w:sz w:val="28"/>
          <w:szCs w:val="28"/>
        </w:rPr>
        <w:t xml:space="preserve">В муниципальной собственности города Барнаула по состоянию </w:t>
      </w:r>
      <w:r w:rsidR="0070583D" w:rsidRPr="00577593">
        <w:rPr>
          <w:rFonts w:ascii="Times New Roman" w:hAnsi="Times New Roman"/>
          <w:sz w:val="28"/>
          <w:szCs w:val="28"/>
        </w:rPr>
        <w:br/>
      </w:r>
      <w:r w:rsidRPr="00577593">
        <w:rPr>
          <w:rFonts w:ascii="Times New Roman" w:hAnsi="Times New Roman"/>
          <w:sz w:val="28"/>
          <w:szCs w:val="28"/>
        </w:rPr>
        <w:t xml:space="preserve">на </w:t>
      </w:r>
      <w:r w:rsidR="007931AD" w:rsidRPr="00577593">
        <w:rPr>
          <w:rFonts w:ascii="Times New Roman" w:hAnsi="Times New Roman"/>
          <w:sz w:val="28"/>
          <w:szCs w:val="28"/>
        </w:rPr>
        <w:t xml:space="preserve">01.01.2025 </w:t>
      </w:r>
      <w:r w:rsidRPr="00577593">
        <w:rPr>
          <w:rFonts w:ascii="Times New Roman" w:hAnsi="Times New Roman"/>
          <w:sz w:val="28"/>
          <w:szCs w:val="28"/>
        </w:rPr>
        <w:t xml:space="preserve"> находится 28663 объекта недвижимости (</w:t>
      </w:r>
      <w:r w:rsidR="00D558A5">
        <w:fldChar w:fldCharType="begin"/>
      </w:r>
      <w:r w:rsidR="00D558A5">
        <w:instrText xml:space="preserve"> REF _Ref199468239 \h  \* MERGEFORMAT </w:instrText>
      </w:r>
      <w:r w:rsidR="00D558A5">
        <w:fldChar w:fldCharType="separate"/>
      </w:r>
      <w:r w:rsidR="00071499" w:rsidRPr="00577593">
        <w:rPr>
          <w:rFonts w:ascii="Times New Roman" w:hAnsi="Times New Roman"/>
          <w:sz w:val="28"/>
          <w:szCs w:val="28"/>
        </w:rPr>
        <w:t xml:space="preserve">Рисунок </w:t>
      </w:r>
      <w:r w:rsidR="00D558A5">
        <w:fldChar w:fldCharType="end"/>
      </w:r>
      <w:r w:rsidR="00C3038B">
        <w:rPr>
          <w:rFonts w:ascii="Times New Roman" w:hAnsi="Times New Roman"/>
          <w:sz w:val="28"/>
          <w:szCs w:val="28"/>
        </w:rPr>
        <w:t>63</w:t>
      </w:r>
      <w:r w:rsidRPr="00577593">
        <w:rPr>
          <w:rFonts w:ascii="Times New Roman" w:hAnsi="Times New Roman"/>
          <w:sz w:val="28"/>
          <w:szCs w:val="28"/>
        </w:rPr>
        <w:t xml:space="preserve">). Город владеет 16,8 тыс. </w:t>
      </w:r>
      <w:r w:rsidR="000F76C4">
        <w:rPr>
          <w:rFonts w:ascii="Times New Roman" w:hAnsi="Times New Roman"/>
          <w:sz w:val="28"/>
          <w:szCs w:val="28"/>
        </w:rPr>
        <w:t>кв. м</w:t>
      </w:r>
      <w:r w:rsidRPr="00577593">
        <w:rPr>
          <w:rFonts w:ascii="Times New Roman" w:hAnsi="Times New Roman"/>
          <w:sz w:val="28"/>
          <w:szCs w:val="28"/>
        </w:rPr>
        <w:t xml:space="preserve"> в жилых зданиях, в том числе в виде долей, в виде </w:t>
      </w:r>
      <w:r w:rsidRPr="00577593">
        <w:rPr>
          <w:rFonts w:ascii="Times New Roman" w:hAnsi="Times New Roman"/>
          <w:sz w:val="28"/>
          <w:szCs w:val="28"/>
        </w:rPr>
        <w:lastRenderedPageBreak/>
        <w:t xml:space="preserve">квартир и комнат </w:t>
      </w:r>
      <w:r w:rsidR="0099669C" w:rsidRPr="00577593">
        <w:rPr>
          <w:rFonts w:ascii="Times New Roman" w:hAnsi="Times New Roman"/>
          <w:sz w:val="28"/>
          <w:szCs w:val="28"/>
        </w:rPr>
        <w:t>–</w:t>
      </w:r>
      <w:r w:rsidRPr="00577593">
        <w:rPr>
          <w:rFonts w:ascii="Times New Roman" w:hAnsi="Times New Roman"/>
          <w:sz w:val="28"/>
          <w:szCs w:val="28"/>
        </w:rPr>
        <w:t xml:space="preserve"> 150,64 тыс. </w:t>
      </w:r>
      <w:r w:rsidR="000F76C4">
        <w:rPr>
          <w:rFonts w:ascii="Times New Roman" w:hAnsi="Times New Roman"/>
          <w:sz w:val="28"/>
          <w:szCs w:val="28"/>
        </w:rPr>
        <w:t>кв. м</w:t>
      </w:r>
      <w:r w:rsidRPr="00577593">
        <w:rPr>
          <w:rFonts w:ascii="Times New Roman" w:hAnsi="Times New Roman"/>
          <w:sz w:val="28"/>
          <w:szCs w:val="28"/>
        </w:rPr>
        <w:t xml:space="preserve">. Всего жилых домов </w:t>
      </w:r>
      <w:r w:rsidR="0099669C" w:rsidRPr="00577593">
        <w:rPr>
          <w:rFonts w:ascii="Times New Roman" w:hAnsi="Times New Roman"/>
          <w:sz w:val="28"/>
          <w:szCs w:val="28"/>
        </w:rPr>
        <w:t>–</w:t>
      </w:r>
      <w:r w:rsidRPr="00577593">
        <w:rPr>
          <w:rFonts w:ascii="Times New Roman" w:hAnsi="Times New Roman"/>
          <w:sz w:val="28"/>
          <w:szCs w:val="28"/>
        </w:rPr>
        <w:t xml:space="preserve"> 44 ед. площадью 1875 </w:t>
      </w:r>
      <w:r w:rsidR="000F76C4">
        <w:rPr>
          <w:rFonts w:ascii="Times New Roman" w:hAnsi="Times New Roman"/>
          <w:sz w:val="28"/>
          <w:szCs w:val="28"/>
        </w:rPr>
        <w:t>кв. м</w:t>
      </w:r>
      <w:r w:rsidRPr="00577593">
        <w:rPr>
          <w:rFonts w:ascii="Times New Roman" w:hAnsi="Times New Roman"/>
          <w:sz w:val="28"/>
          <w:szCs w:val="28"/>
        </w:rPr>
        <w:t xml:space="preserve">, жилых помещений </w:t>
      </w:r>
      <w:r w:rsidR="0099669C" w:rsidRPr="00577593">
        <w:rPr>
          <w:rFonts w:ascii="Times New Roman" w:hAnsi="Times New Roman"/>
          <w:sz w:val="28"/>
          <w:szCs w:val="28"/>
        </w:rPr>
        <w:t>–</w:t>
      </w:r>
      <w:r w:rsidRPr="00577593">
        <w:rPr>
          <w:rFonts w:ascii="Times New Roman" w:hAnsi="Times New Roman"/>
          <w:sz w:val="28"/>
          <w:szCs w:val="28"/>
        </w:rPr>
        <w:t xml:space="preserve"> 209 ед. пло</w:t>
      </w:r>
      <w:r w:rsidR="0070583D" w:rsidRPr="00577593">
        <w:rPr>
          <w:rFonts w:ascii="Times New Roman" w:hAnsi="Times New Roman"/>
          <w:sz w:val="28"/>
          <w:szCs w:val="28"/>
        </w:rPr>
        <w:t xml:space="preserve">щадью 8336,2 </w:t>
      </w:r>
      <w:r w:rsidR="000F76C4">
        <w:rPr>
          <w:rFonts w:ascii="Times New Roman" w:hAnsi="Times New Roman"/>
          <w:sz w:val="28"/>
          <w:szCs w:val="28"/>
        </w:rPr>
        <w:t>кв. м</w:t>
      </w:r>
      <w:r w:rsidRPr="00577593">
        <w:rPr>
          <w:rFonts w:ascii="Times New Roman" w:hAnsi="Times New Roman"/>
          <w:sz w:val="28"/>
          <w:szCs w:val="28"/>
        </w:rPr>
        <w:t xml:space="preserve">, жилых помещений в виде долей </w:t>
      </w:r>
      <w:r w:rsidR="0099669C" w:rsidRPr="00577593">
        <w:rPr>
          <w:rFonts w:ascii="Times New Roman" w:hAnsi="Times New Roman"/>
          <w:sz w:val="28"/>
          <w:szCs w:val="28"/>
        </w:rPr>
        <w:t>–</w:t>
      </w:r>
      <w:r w:rsidRPr="00577593">
        <w:rPr>
          <w:rFonts w:ascii="Times New Roman" w:hAnsi="Times New Roman"/>
          <w:sz w:val="28"/>
          <w:szCs w:val="28"/>
        </w:rPr>
        <w:t xml:space="preserve"> 112 ед. площадью 3153,43 </w:t>
      </w:r>
      <w:r w:rsidR="000F76C4">
        <w:rPr>
          <w:rFonts w:ascii="Times New Roman" w:hAnsi="Times New Roman"/>
          <w:sz w:val="28"/>
          <w:szCs w:val="28"/>
        </w:rPr>
        <w:t>кв. м</w:t>
      </w:r>
      <w:r w:rsidRPr="00577593">
        <w:rPr>
          <w:rFonts w:ascii="Times New Roman" w:hAnsi="Times New Roman"/>
          <w:sz w:val="28"/>
          <w:szCs w:val="28"/>
        </w:rPr>
        <w:t xml:space="preserve">, квартир в собственности </w:t>
      </w:r>
      <w:r w:rsidR="0099669C" w:rsidRPr="00577593">
        <w:rPr>
          <w:rFonts w:ascii="Times New Roman" w:hAnsi="Times New Roman"/>
          <w:sz w:val="28"/>
          <w:szCs w:val="28"/>
        </w:rPr>
        <w:t>–</w:t>
      </w:r>
      <w:r w:rsidRPr="00577593">
        <w:rPr>
          <w:rFonts w:ascii="Times New Roman" w:hAnsi="Times New Roman"/>
          <w:sz w:val="28"/>
          <w:szCs w:val="28"/>
        </w:rPr>
        <w:t xml:space="preserve"> 3260 ед., их пл</w:t>
      </w:r>
      <w:r w:rsidR="0070583D" w:rsidRPr="00577593">
        <w:rPr>
          <w:rFonts w:ascii="Times New Roman" w:hAnsi="Times New Roman"/>
          <w:sz w:val="28"/>
          <w:szCs w:val="28"/>
        </w:rPr>
        <w:t xml:space="preserve">ощадь составляет 130,7 тыс. </w:t>
      </w:r>
      <w:r w:rsidR="000F76C4">
        <w:rPr>
          <w:rFonts w:ascii="Times New Roman" w:hAnsi="Times New Roman"/>
          <w:sz w:val="28"/>
          <w:szCs w:val="28"/>
        </w:rPr>
        <w:t>кв. м</w:t>
      </w:r>
      <w:r w:rsidRPr="00577593">
        <w:rPr>
          <w:rFonts w:ascii="Times New Roman" w:hAnsi="Times New Roman"/>
          <w:sz w:val="28"/>
          <w:szCs w:val="28"/>
        </w:rPr>
        <w:t xml:space="preserve">, </w:t>
      </w:r>
      <w:r w:rsidR="009C0E8E" w:rsidRPr="00577593">
        <w:rPr>
          <w:rFonts w:ascii="Times New Roman" w:hAnsi="Times New Roman"/>
          <w:sz w:val="28"/>
          <w:szCs w:val="28"/>
        </w:rPr>
        <w:br/>
      </w:r>
      <w:r w:rsidR="00AD5B3C" w:rsidRPr="00577593">
        <w:rPr>
          <w:rFonts w:ascii="Times New Roman" w:hAnsi="Times New Roman"/>
          <w:sz w:val="28"/>
          <w:szCs w:val="28"/>
        </w:rPr>
        <w:t xml:space="preserve">244 комнаты площадью 3544,2 </w:t>
      </w:r>
      <w:r w:rsidR="000F76C4">
        <w:rPr>
          <w:rFonts w:ascii="Times New Roman" w:hAnsi="Times New Roman"/>
          <w:sz w:val="28"/>
          <w:szCs w:val="28"/>
        </w:rPr>
        <w:t>кв. м</w:t>
      </w:r>
      <w:r w:rsidRPr="00577593">
        <w:rPr>
          <w:rFonts w:ascii="Times New Roman" w:hAnsi="Times New Roman"/>
          <w:sz w:val="28"/>
          <w:szCs w:val="28"/>
        </w:rPr>
        <w:t xml:space="preserve">. Нежилых объектов недвижимости (нежилые дома и нежилые помещения) находится в собственности </w:t>
      </w:r>
      <w:r w:rsidR="009C0E8E" w:rsidRPr="00577593">
        <w:rPr>
          <w:rFonts w:ascii="Times New Roman" w:hAnsi="Times New Roman"/>
          <w:sz w:val="28"/>
          <w:szCs w:val="28"/>
        </w:rPr>
        <w:br/>
      </w:r>
      <w:r w:rsidRPr="00577593">
        <w:rPr>
          <w:rFonts w:ascii="Times New Roman" w:hAnsi="Times New Roman"/>
          <w:sz w:val="28"/>
          <w:szCs w:val="28"/>
        </w:rPr>
        <w:t>1984 единиц</w:t>
      </w:r>
      <w:r w:rsidR="00BB7DE9" w:rsidRPr="00577593">
        <w:rPr>
          <w:rFonts w:ascii="Times New Roman" w:hAnsi="Times New Roman"/>
          <w:sz w:val="28"/>
          <w:szCs w:val="28"/>
        </w:rPr>
        <w:t>ы</w:t>
      </w:r>
      <w:r w:rsidRPr="00577593">
        <w:rPr>
          <w:rFonts w:ascii="Times New Roman" w:hAnsi="Times New Roman"/>
          <w:sz w:val="28"/>
          <w:szCs w:val="28"/>
        </w:rPr>
        <w:t xml:space="preserve"> площадью 1371 тыс. </w:t>
      </w:r>
      <w:r w:rsidR="000F76C4">
        <w:rPr>
          <w:rFonts w:ascii="Times New Roman" w:hAnsi="Times New Roman"/>
          <w:sz w:val="28"/>
          <w:szCs w:val="28"/>
        </w:rPr>
        <w:t>кв. м</w:t>
      </w:r>
      <w:r w:rsidRPr="00577593">
        <w:rPr>
          <w:rFonts w:ascii="Times New Roman" w:hAnsi="Times New Roman"/>
          <w:sz w:val="28"/>
          <w:szCs w:val="28"/>
        </w:rPr>
        <w:t xml:space="preserve">. </w:t>
      </w:r>
      <w:r w:rsidR="000D0C2F" w:rsidRPr="00577593">
        <w:rPr>
          <w:rFonts w:ascii="Times New Roman" w:eastAsia="Calibri" w:hAnsi="Times New Roman"/>
          <w:sz w:val="28"/>
          <w:szCs w:val="28"/>
        </w:rPr>
        <w:t xml:space="preserve">Площадь переданных в пользование объектов составляет 103 тыс. </w:t>
      </w:r>
      <w:r w:rsidR="000F76C4">
        <w:rPr>
          <w:rFonts w:ascii="Times New Roman" w:eastAsia="Calibri" w:hAnsi="Times New Roman"/>
          <w:sz w:val="28"/>
          <w:szCs w:val="28"/>
        </w:rPr>
        <w:t>кв. м</w:t>
      </w:r>
      <w:r w:rsidR="000D0C2F" w:rsidRPr="00577593">
        <w:rPr>
          <w:rFonts w:ascii="Times New Roman" w:eastAsia="Calibri" w:hAnsi="Times New Roman"/>
          <w:sz w:val="28"/>
          <w:szCs w:val="28"/>
        </w:rPr>
        <w:t>.</w:t>
      </w:r>
    </w:p>
    <w:p w:rsidR="00BA2160" w:rsidRPr="00577593" w:rsidRDefault="00BA2160" w:rsidP="002000D4">
      <w:pPr>
        <w:spacing w:after="0" w:line="240" w:lineRule="auto"/>
        <w:ind w:firstLine="709"/>
        <w:jc w:val="both"/>
        <w:rPr>
          <w:rFonts w:ascii="Times New Roman" w:eastAsia="Calibri" w:hAnsi="Times New Roman"/>
          <w:sz w:val="28"/>
          <w:szCs w:val="28"/>
        </w:rPr>
      </w:pPr>
    </w:p>
    <w:p w:rsidR="00FC41F4" w:rsidRPr="00577593" w:rsidRDefault="000D0C2F" w:rsidP="002000D4">
      <w:pPr>
        <w:spacing w:after="0" w:line="240" w:lineRule="auto"/>
        <w:ind w:firstLine="709"/>
        <w:jc w:val="both"/>
        <w:rPr>
          <w:rFonts w:ascii="Times New Roman" w:eastAsia="Calibri" w:hAnsi="Times New Roman"/>
          <w:sz w:val="24"/>
          <w:szCs w:val="24"/>
        </w:rPr>
      </w:pPr>
      <w:r w:rsidRPr="00577593">
        <w:rPr>
          <w:rFonts w:ascii="Times New Roman" w:eastAsia="Calibri" w:hAnsi="Times New Roman"/>
          <w:sz w:val="24"/>
          <w:szCs w:val="24"/>
        </w:rPr>
        <w:t xml:space="preserve"> </w:t>
      </w:r>
      <w:r w:rsidR="000D3F7A" w:rsidRPr="00FC5EFE">
        <w:rPr>
          <w:noProof/>
          <w:lang w:eastAsia="ru-RU"/>
        </w:rPr>
        <w:drawing>
          <wp:inline distT="0" distB="0" distL="0" distR="0">
            <wp:extent cx="5943600" cy="3827145"/>
            <wp:effectExtent l="0" t="0" r="0" b="0"/>
            <wp:docPr id="63" name="Объект 6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FC41F4" w:rsidRDefault="008925FA" w:rsidP="009C0E8E">
      <w:pPr>
        <w:spacing w:after="0" w:line="240" w:lineRule="auto"/>
        <w:jc w:val="center"/>
        <w:rPr>
          <w:rFonts w:ascii="Times New Roman" w:hAnsi="Times New Roman"/>
          <w:sz w:val="28"/>
          <w:szCs w:val="28"/>
        </w:rPr>
      </w:pPr>
      <w:bookmarkStart w:id="193" w:name="_Ref199468239"/>
      <w:r w:rsidRPr="00577593">
        <w:rPr>
          <w:rFonts w:ascii="Times New Roman" w:hAnsi="Times New Roman"/>
          <w:sz w:val="28"/>
          <w:szCs w:val="28"/>
        </w:rPr>
        <w:t xml:space="preserve">Рисунок </w:t>
      </w:r>
      <w:bookmarkEnd w:id="193"/>
      <w:r w:rsidR="00C3038B">
        <w:rPr>
          <w:rFonts w:ascii="Times New Roman" w:hAnsi="Times New Roman"/>
          <w:sz w:val="28"/>
          <w:szCs w:val="28"/>
        </w:rPr>
        <w:t>63</w:t>
      </w:r>
      <w:r w:rsidRPr="00577593">
        <w:rPr>
          <w:rFonts w:ascii="Times New Roman" w:hAnsi="Times New Roman"/>
          <w:sz w:val="28"/>
          <w:szCs w:val="28"/>
        </w:rPr>
        <w:t xml:space="preserve"> </w:t>
      </w:r>
      <w:r w:rsidR="0099669C" w:rsidRPr="00577593">
        <w:rPr>
          <w:rFonts w:ascii="Times New Roman" w:hAnsi="Times New Roman"/>
          <w:sz w:val="28"/>
          <w:szCs w:val="28"/>
        </w:rPr>
        <w:t>–</w:t>
      </w:r>
      <w:r w:rsidRPr="00577593">
        <w:rPr>
          <w:rFonts w:ascii="Times New Roman" w:hAnsi="Times New Roman"/>
          <w:sz w:val="28"/>
          <w:szCs w:val="28"/>
        </w:rPr>
        <w:t xml:space="preserve"> Объекты недвижимости в муниципальной собственности города Барнаула на 01.01.2025</w:t>
      </w:r>
    </w:p>
    <w:p w:rsidR="00E258F8" w:rsidRPr="00577593" w:rsidRDefault="00E258F8" w:rsidP="00E258F8">
      <w:pPr>
        <w:pStyle w:val="aff9"/>
        <w:spacing w:after="0"/>
        <w:jc w:val="both"/>
        <w:rPr>
          <w:rFonts w:ascii="Times New Roman" w:hAnsi="Times New Roman"/>
          <w:i w:val="0"/>
          <w:color w:val="auto"/>
          <w:sz w:val="28"/>
          <w:szCs w:val="28"/>
        </w:rPr>
      </w:pPr>
      <w:r w:rsidRPr="00577593">
        <w:rPr>
          <w:rFonts w:ascii="Times New Roman" w:hAnsi="Times New Roman"/>
          <w:i w:val="0"/>
          <w:color w:val="auto"/>
          <w:sz w:val="28"/>
          <w:szCs w:val="28"/>
        </w:rPr>
        <w:t>Примечание – Источник: на основе данных комитета по управлению муниципальной собственностью города Барнаула</w:t>
      </w:r>
    </w:p>
    <w:p w:rsidR="00950472" w:rsidRPr="00577593" w:rsidRDefault="00950472" w:rsidP="009C0E8E">
      <w:pPr>
        <w:spacing w:after="0" w:line="240" w:lineRule="auto"/>
        <w:jc w:val="both"/>
        <w:rPr>
          <w:rFonts w:ascii="Times New Roman" w:hAnsi="Times New Roman"/>
          <w:sz w:val="28"/>
          <w:szCs w:val="28"/>
        </w:rPr>
      </w:pPr>
    </w:p>
    <w:p w:rsidR="00FC41F4" w:rsidRDefault="008925FA" w:rsidP="000A33A9">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Наблюдается устойчивый негативный тренд по поступлению </w:t>
      </w:r>
      <w:r w:rsidR="00E65F98" w:rsidRPr="00577593">
        <w:rPr>
          <w:rFonts w:ascii="Times New Roman" w:hAnsi="Times New Roman"/>
          <w:sz w:val="28"/>
          <w:szCs w:val="28"/>
        </w:rPr>
        <w:br/>
      </w:r>
      <w:r w:rsidRPr="00577593">
        <w:rPr>
          <w:rFonts w:ascii="Times New Roman" w:hAnsi="Times New Roman"/>
          <w:sz w:val="28"/>
          <w:szCs w:val="28"/>
        </w:rPr>
        <w:t>в городской бюджет от аренды муниципального имущества (</w:t>
      </w:r>
      <w:r w:rsidR="00D558A5">
        <w:fldChar w:fldCharType="begin"/>
      </w:r>
      <w:r w:rsidR="00D558A5">
        <w:instrText xml:space="preserve"> REF _Ref199468433 \h  \* MERGEFORMAT </w:instrText>
      </w:r>
      <w:r w:rsidR="00D558A5">
        <w:fldChar w:fldCharType="separate"/>
      </w:r>
      <w:r w:rsidR="00071499" w:rsidRPr="00577593">
        <w:rPr>
          <w:rFonts w:ascii="Times New Roman" w:hAnsi="Times New Roman"/>
          <w:sz w:val="28"/>
          <w:szCs w:val="28"/>
        </w:rPr>
        <w:t xml:space="preserve">Рисунок </w:t>
      </w:r>
      <w:r w:rsidR="00D558A5">
        <w:fldChar w:fldCharType="end"/>
      </w:r>
      <w:r w:rsidR="00C3038B">
        <w:rPr>
          <w:rFonts w:ascii="Times New Roman" w:hAnsi="Times New Roman"/>
          <w:sz w:val="28"/>
          <w:szCs w:val="28"/>
        </w:rPr>
        <w:t>64</w:t>
      </w:r>
      <w:r w:rsidRPr="00577593">
        <w:rPr>
          <w:rFonts w:ascii="Times New Roman" w:hAnsi="Times New Roman"/>
          <w:sz w:val="28"/>
          <w:szCs w:val="28"/>
        </w:rPr>
        <w:t>).</w:t>
      </w:r>
    </w:p>
    <w:p w:rsidR="00C81268" w:rsidRPr="00577593" w:rsidRDefault="00C81268" w:rsidP="000A33A9">
      <w:pPr>
        <w:spacing w:after="0" w:line="240" w:lineRule="auto"/>
        <w:ind w:firstLine="709"/>
        <w:jc w:val="both"/>
        <w:rPr>
          <w:rFonts w:ascii="Times New Roman" w:hAnsi="Times New Roman"/>
          <w:sz w:val="28"/>
          <w:szCs w:val="28"/>
        </w:rPr>
      </w:pPr>
    </w:p>
    <w:p w:rsidR="0011570B" w:rsidRPr="00577593" w:rsidRDefault="000D3F7A" w:rsidP="000A33A9">
      <w:pPr>
        <w:spacing w:after="0" w:line="240" w:lineRule="auto"/>
        <w:ind w:firstLine="709"/>
        <w:jc w:val="both"/>
        <w:rPr>
          <w:rFonts w:ascii="Times New Roman" w:hAnsi="Times New Roman"/>
          <w:sz w:val="28"/>
          <w:szCs w:val="28"/>
        </w:rPr>
      </w:pPr>
      <w:r w:rsidRPr="00577593">
        <w:rPr>
          <w:rFonts w:ascii="Times New Roman" w:hAnsi="Times New Roman"/>
          <w:noProof/>
          <w:sz w:val="28"/>
          <w:szCs w:val="28"/>
          <w:lang w:eastAsia="ru-RU"/>
        </w:rPr>
        <w:lastRenderedPageBreak/>
        <w:drawing>
          <wp:inline distT="0" distB="0" distL="0" distR="0">
            <wp:extent cx="4820285" cy="1920240"/>
            <wp:effectExtent l="0" t="0" r="0" b="0"/>
            <wp:docPr id="64" name="Объект 6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FC41F4" w:rsidRPr="00577593" w:rsidRDefault="00FC41F4" w:rsidP="002000D4">
      <w:pPr>
        <w:spacing w:after="0" w:line="240" w:lineRule="auto"/>
        <w:jc w:val="center"/>
        <w:rPr>
          <w:rFonts w:ascii="Times New Roman" w:hAnsi="Times New Roman"/>
          <w:sz w:val="2"/>
          <w:szCs w:val="2"/>
        </w:rPr>
      </w:pPr>
    </w:p>
    <w:p w:rsidR="00FC41F4" w:rsidRDefault="008925FA" w:rsidP="00950472">
      <w:pPr>
        <w:spacing w:after="0" w:line="240" w:lineRule="auto"/>
        <w:jc w:val="center"/>
        <w:rPr>
          <w:rFonts w:ascii="Times New Roman" w:hAnsi="Times New Roman"/>
          <w:sz w:val="28"/>
          <w:szCs w:val="28"/>
        </w:rPr>
      </w:pPr>
      <w:bookmarkStart w:id="194" w:name="_Ref199468433"/>
      <w:r w:rsidRPr="00577593">
        <w:rPr>
          <w:rFonts w:ascii="Times New Roman" w:hAnsi="Times New Roman"/>
          <w:sz w:val="28"/>
          <w:szCs w:val="28"/>
        </w:rPr>
        <w:t xml:space="preserve">Рисунок </w:t>
      </w:r>
      <w:bookmarkEnd w:id="194"/>
      <w:r w:rsidR="00C3038B">
        <w:rPr>
          <w:rFonts w:ascii="Times New Roman" w:hAnsi="Times New Roman"/>
          <w:sz w:val="28"/>
          <w:szCs w:val="28"/>
        </w:rPr>
        <w:t>64</w:t>
      </w:r>
      <w:r w:rsidRPr="00577593">
        <w:rPr>
          <w:rFonts w:ascii="Times New Roman" w:hAnsi="Times New Roman"/>
          <w:sz w:val="28"/>
          <w:szCs w:val="28"/>
        </w:rPr>
        <w:t xml:space="preserve"> </w:t>
      </w:r>
      <w:r w:rsidR="0099669C" w:rsidRPr="00577593">
        <w:rPr>
          <w:rFonts w:ascii="Times New Roman" w:hAnsi="Times New Roman"/>
          <w:sz w:val="28"/>
          <w:szCs w:val="28"/>
        </w:rPr>
        <w:t>–</w:t>
      </w:r>
      <w:r w:rsidRPr="00577593">
        <w:rPr>
          <w:rFonts w:ascii="Times New Roman" w:hAnsi="Times New Roman"/>
          <w:sz w:val="28"/>
          <w:szCs w:val="28"/>
        </w:rPr>
        <w:t xml:space="preserve"> Динамика поступлений от аренды муниципального имущес</w:t>
      </w:r>
      <w:r w:rsidR="007931AD" w:rsidRPr="00577593">
        <w:rPr>
          <w:rFonts w:ascii="Times New Roman" w:hAnsi="Times New Roman"/>
          <w:sz w:val="28"/>
          <w:szCs w:val="28"/>
        </w:rPr>
        <w:t xml:space="preserve">тва </w:t>
      </w:r>
      <w:r w:rsidR="007931AD" w:rsidRPr="00577593">
        <w:rPr>
          <w:rFonts w:ascii="Times New Roman" w:hAnsi="Times New Roman"/>
          <w:sz w:val="28"/>
          <w:szCs w:val="28"/>
        </w:rPr>
        <w:br/>
        <w:t>в 2017-2024 годы, тыс.</w:t>
      </w:r>
      <w:r w:rsidRPr="00577593">
        <w:rPr>
          <w:rFonts w:ascii="Times New Roman" w:hAnsi="Times New Roman"/>
          <w:sz w:val="28"/>
          <w:szCs w:val="28"/>
        </w:rPr>
        <w:t xml:space="preserve"> рублей</w:t>
      </w:r>
    </w:p>
    <w:p w:rsidR="000E0959" w:rsidRPr="00577593" w:rsidRDefault="000E0959" w:rsidP="000E0959">
      <w:pPr>
        <w:pStyle w:val="aff9"/>
        <w:spacing w:after="0"/>
        <w:jc w:val="both"/>
        <w:rPr>
          <w:rFonts w:ascii="Times New Roman" w:hAnsi="Times New Roman"/>
          <w:i w:val="0"/>
          <w:color w:val="auto"/>
          <w:sz w:val="28"/>
          <w:szCs w:val="28"/>
        </w:rPr>
      </w:pPr>
      <w:r w:rsidRPr="00577593">
        <w:rPr>
          <w:rFonts w:ascii="Times New Roman" w:hAnsi="Times New Roman"/>
          <w:i w:val="0"/>
          <w:color w:val="auto"/>
          <w:sz w:val="28"/>
          <w:szCs w:val="28"/>
        </w:rPr>
        <w:t>Примечание – Источник: на основе данных комитета по управлению муниципальной собственностью города Барнаула</w:t>
      </w:r>
    </w:p>
    <w:p w:rsidR="00950472" w:rsidRPr="00577593" w:rsidRDefault="00950472" w:rsidP="00950472">
      <w:pPr>
        <w:spacing w:after="0" w:line="240" w:lineRule="auto"/>
        <w:jc w:val="center"/>
        <w:rPr>
          <w:rFonts w:ascii="Times New Roman" w:hAnsi="Times New Roman"/>
          <w:sz w:val="28"/>
          <w:szCs w:val="28"/>
        </w:rPr>
      </w:pP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В 2013</w:t>
      </w:r>
      <w:r w:rsidR="007931AD" w:rsidRPr="00577593">
        <w:rPr>
          <w:rFonts w:ascii="Times New Roman" w:hAnsi="Times New Roman"/>
          <w:sz w:val="28"/>
          <w:szCs w:val="28"/>
        </w:rPr>
        <w:t>-2024 годы</w:t>
      </w:r>
      <w:r w:rsidRPr="00577593">
        <w:rPr>
          <w:rFonts w:ascii="Times New Roman" w:hAnsi="Times New Roman"/>
          <w:sz w:val="28"/>
          <w:szCs w:val="28"/>
        </w:rPr>
        <w:t xml:space="preserve"> шла активная приватизация городского имущества (</w:t>
      </w:r>
      <w:r w:rsidR="00C3152E">
        <w:rPr>
          <w:rFonts w:ascii="Times New Roman" w:hAnsi="Times New Roman"/>
          <w:sz w:val="28"/>
          <w:szCs w:val="28"/>
        </w:rPr>
        <w:t>Таблица 18</w:t>
      </w:r>
      <w:r w:rsidR="00C81268">
        <w:rPr>
          <w:rFonts w:ascii="Times New Roman" w:hAnsi="Times New Roman"/>
          <w:sz w:val="28"/>
          <w:szCs w:val="28"/>
        </w:rPr>
        <w:t xml:space="preserve">). </w:t>
      </w:r>
      <w:r w:rsidRPr="00577593">
        <w:rPr>
          <w:rFonts w:ascii="Times New Roman" w:hAnsi="Times New Roman"/>
          <w:sz w:val="28"/>
          <w:szCs w:val="28"/>
        </w:rPr>
        <w:t>За </w:t>
      </w:r>
      <w:r w:rsidR="00C81268">
        <w:rPr>
          <w:rFonts w:ascii="Times New Roman" w:hAnsi="Times New Roman"/>
          <w:sz w:val="28"/>
          <w:szCs w:val="28"/>
        </w:rPr>
        <w:t xml:space="preserve"> </w:t>
      </w:r>
      <w:r w:rsidRPr="00577593">
        <w:rPr>
          <w:rFonts w:ascii="Times New Roman" w:hAnsi="Times New Roman"/>
          <w:sz w:val="28"/>
          <w:szCs w:val="28"/>
        </w:rPr>
        <w:t>это </w:t>
      </w:r>
      <w:r w:rsidR="00C81268">
        <w:rPr>
          <w:rFonts w:ascii="Times New Roman" w:hAnsi="Times New Roman"/>
          <w:sz w:val="28"/>
          <w:szCs w:val="28"/>
        </w:rPr>
        <w:t xml:space="preserve"> </w:t>
      </w:r>
      <w:r w:rsidRPr="00577593">
        <w:rPr>
          <w:rFonts w:ascii="Times New Roman" w:hAnsi="Times New Roman"/>
          <w:sz w:val="28"/>
          <w:szCs w:val="28"/>
        </w:rPr>
        <w:t xml:space="preserve">время </w:t>
      </w:r>
      <w:r w:rsidR="00C81268">
        <w:rPr>
          <w:rFonts w:ascii="Times New Roman" w:hAnsi="Times New Roman"/>
          <w:sz w:val="28"/>
          <w:szCs w:val="28"/>
        </w:rPr>
        <w:t xml:space="preserve">приватизирован </w:t>
      </w:r>
      <w:r w:rsidRPr="00577593">
        <w:rPr>
          <w:rFonts w:ascii="Times New Roman" w:hAnsi="Times New Roman"/>
          <w:sz w:val="28"/>
          <w:szCs w:val="28"/>
        </w:rPr>
        <w:t xml:space="preserve">621 объект площадью </w:t>
      </w:r>
      <w:r w:rsidR="00E65F98" w:rsidRPr="00577593">
        <w:rPr>
          <w:rFonts w:ascii="Times New Roman" w:hAnsi="Times New Roman"/>
          <w:sz w:val="28"/>
          <w:szCs w:val="28"/>
        </w:rPr>
        <w:br/>
      </w:r>
      <w:r w:rsidRPr="00577593">
        <w:rPr>
          <w:rFonts w:ascii="Times New Roman" w:hAnsi="Times New Roman"/>
          <w:sz w:val="28"/>
          <w:szCs w:val="28"/>
        </w:rPr>
        <w:t xml:space="preserve">152556,53 </w:t>
      </w:r>
      <w:r w:rsidR="000F76C4">
        <w:rPr>
          <w:rFonts w:ascii="Times New Roman" w:hAnsi="Times New Roman"/>
          <w:sz w:val="28"/>
          <w:szCs w:val="28"/>
        </w:rPr>
        <w:t>кв. м</w:t>
      </w:r>
      <w:r w:rsidRPr="00577593">
        <w:rPr>
          <w:rFonts w:ascii="Times New Roman" w:hAnsi="Times New Roman"/>
          <w:sz w:val="28"/>
          <w:szCs w:val="28"/>
        </w:rPr>
        <w:t>, что в 3 раза больше площади, котор</w:t>
      </w:r>
      <w:r w:rsidR="00C81268">
        <w:rPr>
          <w:rFonts w:ascii="Times New Roman" w:hAnsi="Times New Roman"/>
          <w:sz w:val="28"/>
          <w:szCs w:val="28"/>
        </w:rPr>
        <w:t>ая</w:t>
      </w:r>
      <w:r w:rsidRPr="00577593">
        <w:rPr>
          <w:rFonts w:ascii="Times New Roman" w:hAnsi="Times New Roman"/>
          <w:sz w:val="28"/>
          <w:szCs w:val="28"/>
        </w:rPr>
        <w:t xml:space="preserve"> сда</w:t>
      </w:r>
      <w:r w:rsidR="00C3152E">
        <w:rPr>
          <w:rFonts w:ascii="Times New Roman" w:hAnsi="Times New Roman"/>
          <w:sz w:val="28"/>
          <w:szCs w:val="28"/>
        </w:rPr>
        <w:t>вал</w:t>
      </w:r>
      <w:r w:rsidR="00C81268">
        <w:rPr>
          <w:rFonts w:ascii="Times New Roman" w:hAnsi="Times New Roman"/>
          <w:sz w:val="28"/>
          <w:szCs w:val="28"/>
        </w:rPr>
        <w:t>а</w:t>
      </w:r>
      <w:r w:rsidR="00C3152E">
        <w:rPr>
          <w:rFonts w:ascii="Times New Roman" w:hAnsi="Times New Roman"/>
          <w:sz w:val="28"/>
          <w:szCs w:val="28"/>
        </w:rPr>
        <w:t xml:space="preserve">сь </w:t>
      </w:r>
      <w:r w:rsidRPr="00577593">
        <w:rPr>
          <w:rFonts w:ascii="Times New Roman" w:hAnsi="Times New Roman"/>
          <w:sz w:val="28"/>
          <w:szCs w:val="28"/>
        </w:rPr>
        <w:t xml:space="preserve">в аренду </w:t>
      </w:r>
      <w:r w:rsidR="00B05DE5" w:rsidRPr="00577593">
        <w:rPr>
          <w:rFonts w:ascii="Times New Roman" w:hAnsi="Times New Roman"/>
          <w:sz w:val="28"/>
          <w:szCs w:val="28"/>
        </w:rPr>
        <w:br/>
      </w:r>
      <w:r w:rsidRPr="00577593">
        <w:rPr>
          <w:rFonts w:ascii="Times New Roman" w:hAnsi="Times New Roman"/>
          <w:sz w:val="28"/>
          <w:szCs w:val="28"/>
        </w:rPr>
        <w:t>в начале 2025 года. В целом тренд убывающий как по площади приватизированного имущества, так и по сумме сделок.</w:t>
      </w:r>
    </w:p>
    <w:p w:rsidR="00950472" w:rsidRPr="005F1DC6" w:rsidRDefault="00950472" w:rsidP="002000D4">
      <w:pPr>
        <w:spacing w:after="0" w:line="240" w:lineRule="auto"/>
        <w:contextualSpacing/>
        <w:jc w:val="both"/>
        <w:rPr>
          <w:rFonts w:ascii="Times New Roman" w:hAnsi="Times New Roman"/>
          <w:sz w:val="20"/>
          <w:szCs w:val="20"/>
        </w:rPr>
      </w:pPr>
      <w:bookmarkStart w:id="195" w:name="_Ref199468670"/>
    </w:p>
    <w:p w:rsidR="00FC41F4" w:rsidRPr="00577593" w:rsidRDefault="008925FA" w:rsidP="002000D4">
      <w:pPr>
        <w:spacing w:after="0" w:line="240" w:lineRule="auto"/>
        <w:contextualSpacing/>
        <w:jc w:val="both"/>
        <w:rPr>
          <w:rFonts w:ascii="Times New Roman" w:hAnsi="Times New Roman"/>
          <w:sz w:val="28"/>
          <w:szCs w:val="28"/>
        </w:rPr>
      </w:pPr>
      <w:r w:rsidRPr="00577593">
        <w:rPr>
          <w:rFonts w:ascii="Times New Roman" w:hAnsi="Times New Roman"/>
          <w:sz w:val="28"/>
          <w:szCs w:val="28"/>
        </w:rPr>
        <w:t xml:space="preserve">Таблица </w:t>
      </w:r>
      <w:r w:rsidR="00074AE5" w:rsidRPr="00577593">
        <w:rPr>
          <w:rFonts w:ascii="Times New Roman" w:hAnsi="Times New Roman"/>
          <w:sz w:val="28"/>
          <w:szCs w:val="28"/>
        </w:rPr>
        <w:fldChar w:fldCharType="begin"/>
      </w:r>
      <w:r w:rsidRPr="00577593">
        <w:rPr>
          <w:rFonts w:ascii="Times New Roman" w:hAnsi="Times New Roman"/>
          <w:sz w:val="28"/>
          <w:szCs w:val="28"/>
        </w:rPr>
        <w:instrText xml:space="preserve"> SEQ Таблица \* ARABIC </w:instrText>
      </w:r>
      <w:r w:rsidR="00074AE5" w:rsidRPr="00577593">
        <w:rPr>
          <w:rFonts w:ascii="Times New Roman" w:hAnsi="Times New Roman"/>
          <w:sz w:val="28"/>
          <w:szCs w:val="28"/>
        </w:rPr>
        <w:fldChar w:fldCharType="separate"/>
      </w:r>
      <w:r w:rsidR="00071499">
        <w:rPr>
          <w:rFonts w:ascii="Times New Roman" w:hAnsi="Times New Roman"/>
          <w:noProof/>
          <w:sz w:val="28"/>
          <w:szCs w:val="28"/>
        </w:rPr>
        <w:t>18</w:t>
      </w:r>
      <w:r w:rsidR="00074AE5" w:rsidRPr="00577593">
        <w:rPr>
          <w:rFonts w:ascii="Times New Roman" w:hAnsi="Times New Roman"/>
          <w:sz w:val="28"/>
          <w:szCs w:val="28"/>
        </w:rPr>
        <w:fldChar w:fldCharType="end"/>
      </w:r>
      <w:bookmarkEnd w:id="195"/>
      <w:r w:rsidRPr="00577593">
        <w:rPr>
          <w:rFonts w:ascii="Times New Roman" w:hAnsi="Times New Roman"/>
          <w:sz w:val="28"/>
          <w:szCs w:val="28"/>
        </w:rPr>
        <w:t xml:space="preserve"> </w:t>
      </w:r>
      <w:r w:rsidR="0099669C" w:rsidRPr="00577593">
        <w:rPr>
          <w:rFonts w:ascii="Times New Roman" w:hAnsi="Times New Roman"/>
          <w:sz w:val="28"/>
          <w:szCs w:val="28"/>
        </w:rPr>
        <w:t>–</w:t>
      </w:r>
      <w:r w:rsidRPr="00577593">
        <w:rPr>
          <w:rFonts w:ascii="Times New Roman" w:hAnsi="Times New Roman"/>
          <w:sz w:val="28"/>
          <w:szCs w:val="28"/>
        </w:rPr>
        <w:t xml:space="preserve"> Динамика приватиза</w:t>
      </w:r>
      <w:r w:rsidR="007931AD" w:rsidRPr="00577593">
        <w:rPr>
          <w:rFonts w:ascii="Times New Roman" w:hAnsi="Times New Roman"/>
          <w:sz w:val="28"/>
          <w:szCs w:val="28"/>
        </w:rPr>
        <w:t xml:space="preserve">ции городского имущества </w:t>
      </w:r>
      <w:r w:rsidR="00B05DE5" w:rsidRPr="00577593">
        <w:rPr>
          <w:rFonts w:ascii="Times New Roman" w:hAnsi="Times New Roman"/>
          <w:sz w:val="28"/>
          <w:szCs w:val="28"/>
        </w:rPr>
        <w:br/>
      </w:r>
      <w:r w:rsidR="007931AD" w:rsidRPr="00577593">
        <w:rPr>
          <w:rFonts w:ascii="Times New Roman" w:hAnsi="Times New Roman"/>
          <w:sz w:val="28"/>
          <w:szCs w:val="28"/>
        </w:rPr>
        <w:t>в 2013-2024 годы</w:t>
      </w: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13"/>
        <w:gridCol w:w="2646"/>
        <w:gridCol w:w="2646"/>
        <w:gridCol w:w="2646"/>
      </w:tblGrid>
      <w:tr w:rsidR="00FC41F4" w:rsidRPr="00577593" w:rsidTr="00EE2F1D">
        <w:tc>
          <w:tcPr>
            <w:tcW w:w="1413"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Год</w:t>
            </w:r>
          </w:p>
        </w:tc>
        <w:tc>
          <w:tcPr>
            <w:tcW w:w="2646"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Количество объектов</w:t>
            </w:r>
          </w:p>
        </w:tc>
        <w:tc>
          <w:tcPr>
            <w:tcW w:w="2646"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vertAlign w:val="superscript"/>
              </w:rPr>
            </w:pPr>
            <w:r w:rsidRPr="00577593">
              <w:rPr>
                <w:rFonts w:ascii="Times New Roman" w:eastAsia="Aptos" w:hAnsi="Times New Roman"/>
                <w:sz w:val="20"/>
                <w:szCs w:val="20"/>
              </w:rPr>
              <w:t>Площадь,</w:t>
            </w:r>
            <w:r w:rsidR="00D73AF2" w:rsidRPr="00577593">
              <w:rPr>
                <w:rFonts w:ascii="Times New Roman" w:eastAsia="Aptos" w:hAnsi="Times New Roman"/>
                <w:sz w:val="20"/>
                <w:szCs w:val="20"/>
              </w:rPr>
              <w:t xml:space="preserve"> тыс.</w:t>
            </w:r>
            <w:r w:rsidRPr="00577593">
              <w:rPr>
                <w:rFonts w:ascii="Times New Roman" w:eastAsia="Aptos" w:hAnsi="Times New Roman"/>
                <w:sz w:val="20"/>
                <w:szCs w:val="20"/>
              </w:rPr>
              <w:t xml:space="preserve"> </w:t>
            </w:r>
            <w:r w:rsidR="000F76C4">
              <w:rPr>
                <w:rFonts w:ascii="Times New Roman" w:eastAsia="Aptos" w:hAnsi="Times New Roman"/>
                <w:sz w:val="20"/>
                <w:szCs w:val="20"/>
              </w:rPr>
              <w:t>кв. м</w:t>
            </w:r>
          </w:p>
        </w:tc>
        <w:tc>
          <w:tcPr>
            <w:tcW w:w="2646" w:type="dxa"/>
            <w:shd w:val="clear" w:color="auto" w:fill="auto"/>
          </w:tcPr>
          <w:p w:rsidR="00842245"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 xml:space="preserve">Сумма сделок, </w:t>
            </w:r>
          </w:p>
          <w:p w:rsidR="00FC41F4" w:rsidRPr="00577593" w:rsidRDefault="00D73AF2"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 xml:space="preserve">тыс. </w:t>
            </w:r>
            <w:r w:rsidR="008925FA" w:rsidRPr="00577593">
              <w:rPr>
                <w:rFonts w:ascii="Times New Roman" w:eastAsia="Aptos" w:hAnsi="Times New Roman"/>
                <w:sz w:val="20"/>
                <w:szCs w:val="20"/>
              </w:rPr>
              <w:t>рублей</w:t>
            </w:r>
          </w:p>
        </w:tc>
      </w:tr>
      <w:tr w:rsidR="00D73AF2" w:rsidRPr="00577593" w:rsidTr="00EE2F1D">
        <w:tc>
          <w:tcPr>
            <w:tcW w:w="1413" w:type="dxa"/>
            <w:shd w:val="clear" w:color="auto" w:fill="auto"/>
          </w:tcPr>
          <w:p w:rsidR="00D73AF2" w:rsidRPr="00577593" w:rsidRDefault="00D73AF2"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2024</w:t>
            </w:r>
          </w:p>
        </w:tc>
        <w:tc>
          <w:tcPr>
            <w:tcW w:w="2646" w:type="dxa"/>
            <w:shd w:val="clear" w:color="auto" w:fill="auto"/>
          </w:tcPr>
          <w:p w:rsidR="00D73AF2" w:rsidRPr="00577593" w:rsidRDefault="00D73AF2"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27</w:t>
            </w:r>
          </w:p>
        </w:tc>
        <w:tc>
          <w:tcPr>
            <w:tcW w:w="2646" w:type="dxa"/>
            <w:shd w:val="clear" w:color="auto" w:fill="auto"/>
          </w:tcPr>
          <w:p w:rsidR="00D73AF2" w:rsidRPr="00577593" w:rsidRDefault="00D73AF2"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11,4</w:t>
            </w:r>
          </w:p>
        </w:tc>
        <w:tc>
          <w:tcPr>
            <w:tcW w:w="2646" w:type="dxa"/>
            <w:shd w:val="clear" w:color="auto" w:fill="auto"/>
          </w:tcPr>
          <w:p w:rsidR="00D73AF2" w:rsidRPr="00577593" w:rsidRDefault="00D73AF2"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96 120,2</w:t>
            </w:r>
          </w:p>
        </w:tc>
      </w:tr>
      <w:tr w:rsidR="00D73AF2" w:rsidRPr="00577593" w:rsidTr="00EE2F1D">
        <w:tc>
          <w:tcPr>
            <w:tcW w:w="1413" w:type="dxa"/>
            <w:shd w:val="clear" w:color="auto" w:fill="auto"/>
          </w:tcPr>
          <w:p w:rsidR="00D73AF2" w:rsidRPr="00577593" w:rsidRDefault="00D73AF2"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2023</w:t>
            </w:r>
          </w:p>
        </w:tc>
        <w:tc>
          <w:tcPr>
            <w:tcW w:w="2646" w:type="dxa"/>
            <w:shd w:val="clear" w:color="auto" w:fill="auto"/>
          </w:tcPr>
          <w:p w:rsidR="00D73AF2" w:rsidRPr="00577593" w:rsidRDefault="00D73AF2"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47</w:t>
            </w:r>
          </w:p>
        </w:tc>
        <w:tc>
          <w:tcPr>
            <w:tcW w:w="2646" w:type="dxa"/>
            <w:shd w:val="clear" w:color="auto" w:fill="auto"/>
          </w:tcPr>
          <w:p w:rsidR="00D73AF2" w:rsidRPr="00577593" w:rsidRDefault="00D73AF2"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14,5</w:t>
            </w:r>
          </w:p>
        </w:tc>
        <w:tc>
          <w:tcPr>
            <w:tcW w:w="2646" w:type="dxa"/>
            <w:shd w:val="clear" w:color="auto" w:fill="auto"/>
          </w:tcPr>
          <w:p w:rsidR="00D73AF2" w:rsidRPr="00577593" w:rsidRDefault="00D73AF2"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127 657,3</w:t>
            </w:r>
          </w:p>
        </w:tc>
      </w:tr>
      <w:tr w:rsidR="00D73AF2" w:rsidRPr="00577593" w:rsidTr="00EE2F1D">
        <w:tc>
          <w:tcPr>
            <w:tcW w:w="1413" w:type="dxa"/>
            <w:shd w:val="clear" w:color="auto" w:fill="auto"/>
          </w:tcPr>
          <w:p w:rsidR="00D73AF2" w:rsidRPr="00577593" w:rsidRDefault="00D73AF2"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2022</w:t>
            </w:r>
          </w:p>
        </w:tc>
        <w:tc>
          <w:tcPr>
            <w:tcW w:w="2646" w:type="dxa"/>
            <w:shd w:val="clear" w:color="auto" w:fill="auto"/>
          </w:tcPr>
          <w:p w:rsidR="00D73AF2" w:rsidRPr="00577593" w:rsidRDefault="00D73AF2"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29</w:t>
            </w:r>
          </w:p>
        </w:tc>
        <w:tc>
          <w:tcPr>
            <w:tcW w:w="2646" w:type="dxa"/>
            <w:shd w:val="clear" w:color="auto" w:fill="auto"/>
          </w:tcPr>
          <w:p w:rsidR="00D73AF2" w:rsidRPr="00577593" w:rsidRDefault="00D73AF2"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3,8</w:t>
            </w:r>
          </w:p>
        </w:tc>
        <w:tc>
          <w:tcPr>
            <w:tcW w:w="2646" w:type="dxa"/>
            <w:shd w:val="clear" w:color="auto" w:fill="auto"/>
          </w:tcPr>
          <w:p w:rsidR="00D73AF2" w:rsidRPr="00577593" w:rsidRDefault="00D73AF2"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49 438,3</w:t>
            </w:r>
          </w:p>
        </w:tc>
      </w:tr>
      <w:tr w:rsidR="00D73AF2" w:rsidRPr="00577593" w:rsidTr="00EE2F1D">
        <w:tc>
          <w:tcPr>
            <w:tcW w:w="1413" w:type="dxa"/>
            <w:shd w:val="clear" w:color="auto" w:fill="auto"/>
          </w:tcPr>
          <w:p w:rsidR="00D73AF2" w:rsidRPr="00577593" w:rsidRDefault="00D73AF2"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2021</w:t>
            </w:r>
          </w:p>
        </w:tc>
        <w:tc>
          <w:tcPr>
            <w:tcW w:w="2646" w:type="dxa"/>
            <w:shd w:val="clear" w:color="auto" w:fill="auto"/>
          </w:tcPr>
          <w:p w:rsidR="00D73AF2" w:rsidRPr="00577593" w:rsidRDefault="00D73AF2"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48</w:t>
            </w:r>
          </w:p>
        </w:tc>
        <w:tc>
          <w:tcPr>
            <w:tcW w:w="2646" w:type="dxa"/>
            <w:shd w:val="clear" w:color="auto" w:fill="auto"/>
          </w:tcPr>
          <w:p w:rsidR="00D73AF2" w:rsidRPr="00577593" w:rsidRDefault="00D73AF2"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13,7</w:t>
            </w:r>
          </w:p>
        </w:tc>
        <w:tc>
          <w:tcPr>
            <w:tcW w:w="2646" w:type="dxa"/>
            <w:shd w:val="clear" w:color="auto" w:fill="auto"/>
          </w:tcPr>
          <w:p w:rsidR="00D73AF2" w:rsidRPr="00577593" w:rsidRDefault="00D73AF2"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140 033,3</w:t>
            </w:r>
          </w:p>
        </w:tc>
      </w:tr>
      <w:tr w:rsidR="00D73AF2" w:rsidRPr="00577593" w:rsidTr="00EE2F1D">
        <w:tc>
          <w:tcPr>
            <w:tcW w:w="1413" w:type="dxa"/>
            <w:shd w:val="clear" w:color="auto" w:fill="auto"/>
          </w:tcPr>
          <w:p w:rsidR="00D73AF2" w:rsidRPr="00577593" w:rsidRDefault="00D73AF2"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2020</w:t>
            </w:r>
          </w:p>
        </w:tc>
        <w:tc>
          <w:tcPr>
            <w:tcW w:w="2646" w:type="dxa"/>
            <w:shd w:val="clear" w:color="auto" w:fill="auto"/>
          </w:tcPr>
          <w:p w:rsidR="00D73AF2" w:rsidRPr="00577593" w:rsidRDefault="00D73AF2"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49</w:t>
            </w:r>
          </w:p>
        </w:tc>
        <w:tc>
          <w:tcPr>
            <w:tcW w:w="2646" w:type="dxa"/>
            <w:shd w:val="clear" w:color="auto" w:fill="auto"/>
          </w:tcPr>
          <w:p w:rsidR="00D73AF2" w:rsidRPr="00577593" w:rsidRDefault="00D73AF2"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5,7</w:t>
            </w:r>
          </w:p>
        </w:tc>
        <w:tc>
          <w:tcPr>
            <w:tcW w:w="2646" w:type="dxa"/>
            <w:shd w:val="clear" w:color="auto" w:fill="auto"/>
          </w:tcPr>
          <w:p w:rsidR="00D73AF2" w:rsidRPr="00577593" w:rsidRDefault="00D73AF2"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77 016,4</w:t>
            </w:r>
          </w:p>
        </w:tc>
      </w:tr>
      <w:tr w:rsidR="00D73AF2" w:rsidRPr="00577593" w:rsidTr="00EE2F1D">
        <w:tc>
          <w:tcPr>
            <w:tcW w:w="1413" w:type="dxa"/>
            <w:shd w:val="clear" w:color="auto" w:fill="auto"/>
          </w:tcPr>
          <w:p w:rsidR="00D73AF2" w:rsidRPr="00577593" w:rsidRDefault="00D73AF2"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2019</w:t>
            </w:r>
          </w:p>
        </w:tc>
        <w:tc>
          <w:tcPr>
            <w:tcW w:w="2646" w:type="dxa"/>
            <w:shd w:val="clear" w:color="auto" w:fill="auto"/>
          </w:tcPr>
          <w:p w:rsidR="00D73AF2" w:rsidRPr="00577593" w:rsidRDefault="00D73AF2"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53</w:t>
            </w:r>
          </w:p>
        </w:tc>
        <w:tc>
          <w:tcPr>
            <w:tcW w:w="2646" w:type="dxa"/>
            <w:shd w:val="clear" w:color="auto" w:fill="auto"/>
          </w:tcPr>
          <w:p w:rsidR="00D73AF2" w:rsidRPr="00577593" w:rsidRDefault="00D73AF2"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10,5</w:t>
            </w:r>
          </w:p>
        </w:tc>
        <w:tc>
          <w:tcPr>
            <w:tcW w:w="2646" w:type="dxa"/>
            <w:shd w:val="clear" w:color="auto" w:fill="auto"/>
          </w:tcPr>
          <w:p w:rsidR="00D73AF2" w:rsidRPr="00577593" w:rsidRDefault="00D73AF2"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74 944,5</w:t>
            </w:r>
          </w:p>
        </w:tc>
      </w:tr>
      <w:tr w:rsidR="00D73AF2" w:rsidRPr="00577593" w:rsidTr="00EE2F1D">
        <w:tc>
          <w:tcPr>
            <w:tcW w:w="1413" w:type="dxa"/>
            <w:shd w:val="clear" w:color="auto" w:fill="auto"/>
          </w:tcPr>
          <w:p w:rsidR="00D73AF2" w:rsidRPr="00577593" w:rsidRDefault="00D73AF2"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2018</w:t>
            </w:r>
          </w:p>
        </w:tc>
        <w:tc>
          <w:tcPr>
            <w:tcW w:w="2646" w:type="dxa"/>
            <w:shd w:val="clear" w:color="auto" w:fill="auto"/>
          </w:tcPr>
          <w:p w:rsidR="00D73AF2" w:rsidRPr="00577593" w:rsidRDefault="00D73AF2"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42</w:t>
            </w:r>
          </w:p>
        </w:tc>
        <w:tc>
          <w:tcPr>
            <w:tcW w:w="2646" w:type="dxa"/>
            <w:shd w:val="clear" w:color="auto" w:fill="auto"/>
          </w:tcPr>
          <w:p w:rsidR="00D73AF2" w:rsidRPr="00577593" w:rsidRDefault="00D73AF2"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7,7</w:t>
            </w:r>
          </w:p>
        </w:tc>
        <w:tc>
          <w:tcPr>
            <w:tcW w:w="2646" w:type="dxa"/>
            <w:shd w:val="clear" w:color="auto" w:fill="auto"/>
          </w:tcPr>
          <w:p w:rsidR="00D73AF2" w:rsidRPr="00577593" w:rsidRDefault="00D73AF2"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76 417,0</w:t>
            </w:r>
          </w:p>
        </w:tc>
      </w:tr>
      <w:tr w:rsidR="00D73AF2" w:rsidRPr="00577593" w:rsidTr="00EE2F1D">
        <w:tc>
          <w:tcPr>
            <w:tcW w:w="1413" w:type="dxa"/>
            <w:shd w:val="clear" w:color="auto" w:fill="auto"/>
          </w:tcPr>
          <w:p w:rsidR="00D73AF2" w:rsidRPr="00577593" w:rsidRDefault="00D73AF2"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2017</w:t>
            </w:r>
          </w:p>
        </w:tc>
        <w:tc>
          <w:tcPr>
            <w:tcW w:w="2646" w:type="dxa"/>
            <w:shd w:val="clear" w:color="auto" w:fill="auto"/>
          </w:tcPr>
          <w:p w:rsidR="00D73AF2" w:rsidRPr="00577593" w:rsidRDefault="00D73AF2"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22</w:t>
            </w:r>
          </w:p>
        </w:tc>
        <w:tc>
          <w:tcPr>
            <w:tcW w:w="2646" w:type="dxa"/>
            <w:shd w:val="clear" w:color="auto" w:fill="auto"/>
          </w:tcPr>
          <w:p w:rsidR="00D73AF2" w:rsidRPr="00577593" w:rsidRDefault="00D73AF2"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8,2</w:t>
            </w:r>
          </w:p>
        </w:tc>
        <w:tc>
          <w:tcPr>
            <w:tcW w:w="2646" w:type="dxa"/>
            <w:shd w:val="clear" w:color="auto" w:fill="auto"/>
          </w:tcPr>
          <w:p w:rsidR="00D73AF2" w:rsidRPr="00577593" w:rsidRDefault="00D73AF2"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88 117,0</w:t>
            </w:r>
          </w:p>
        </w:tc>
      </w:tr>
      <w:tr w:rsidR="00D73AF2" w:rsidRPr="00577593" w:rsidTr="00EE2F1D">
        <w:tc>
          <w:tcPr>
            <w:tcW w:w="1413" w:type="dxa"/>
            <w:shd w:val="clear" w:color="auto" w:fill="auto"/>
          </w:tcPr>
          <w:p w:rsidR="00D73AF2" w:rsidRPr="00577593" w:rsidRDefault="00D73AF2"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2016</w:t>
            </w:r>
          </w:p>
        </w:tc>
        <w:tc>
          <w:tcPr>
            <w:tcW w:w="2646" w:type="dxa"/>
            <w:shd w:val="clear" w:color="auto" w:fill="auto"/>
          </w:tcPr>
          <w:p w:rsidR="00D73AF2" w:rsidRPr="00577593" w:rsidRDefault="00D73AF2"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33</w:t>
            </w:r>
          </w:p>
        </w:tc>
        <w:tc>
          <w:tcPr>
            <w:tcW w:w="2646" w:type="dxa"/>
            <w:shd w:val="clear" w:color="auto" w:fill="auto"/>
          </w:tcPr>
          <w:p w:rsidR="00D73AF2" w:rsidRPr="00577593" w:rsidRDefault="00D73AF2"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 xml:space="preserve">6,1 </w:t>
            </w:r>
          </w:p>
        </w:tc>
        <w:tc>
          <w:tcPr>
            <w:tcW w:w="2646" w:type="dxa"/>
            <w:shd w:val="clear" w:color="auto" w:fill="auto"/>
          </w:tcPr>
          <w:p w:rsidR="00D73AF2" w:rsidRPr="00577593" w:rsidRDefault="00D73AF2"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75 757,2</w:t>
            </w:r>
          </w:p>
        </w:tc>
      </w:tr>
      <w:tr w:rsidR="00D73AF2" w:rsidRPr="00577593" w:rsidTr="00EE2F1D">
        <w:tc>
          <w:tcPr>
            <w:tcW w:w="1413" w:type="dxa"/>
            <w:shd w:val="clear" w:color="auto" w:fill="auto"/>
          </w:tcPr>
          <w:p w:rsidR="00D73AF2" w:rsidRPr="00577593" w:rsidRDefault="00D73AF2"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2015</w:t>
            </w:r>
          </w:p>
        </w:tc>
        <w:tc>
          <w:tcPr>
            <w:tcW w:w="2646" w:type="dxa"/>
            <w:shd w:val="clear" w:color="auto" w:fill="auto"/>
          </w:tcPr>
          <w:p w:rsidR="00D73AF2" w:rsidRPr="00577593" w:rsidRDefault="00D73AF2"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77</w:t>
            </w:r>
          </w:p>
        </w:tc>
        <w:tc>
          <w:tcPr>
            <w:tcW w:w="2646" w:type="dxa"/>
            <w:shd w:val="clear" w:color="auto" w:fill="auto"/>
          </w:tcPr>
          <w:p w:rsidR="00D73AF2" w:rsidRPr="00577593" w:rsidRDefault="00D73AF2"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11,7</w:t>
            </w:r>
          </w:p>
        </w:tc>
        <w:tc>
          <w:tcPr>
            <w:tcW w:w="2646" w:type="dxa"/>
            <w:shd w:val="clear" w:color="auto" w:fill="auto"/>
          </w:tcPr>
          <w:p w:rsidR="00D73AF2" w:rsidRPr="00577593" w:rsidRDefault="00D73AF2"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140 072,2</w:t>
            </w:r>
          </w:p>
        </w:tc>
      </w:tr>
      <w:tr w:rsidR="00D73AF2" w:rsidRPr="00577593" w:rsidTr="00EE2F1D">
        <w:tc>
          <w:tcPr>
            <w:tcW w:w="1413" w:type="dxa"/>
            <w:shd w:val="clear" w:color="auto" w:fill="auto"/>
          </w:tcPr>
          <w:p w:rsidR="00D73AF2" w:rsidRPr="00577593" w:rsidRDefault="00D73AF2"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2014</w:t>
            </w:r>
          </w:p>
        </w:tc>
        <w:tc>
          <w:tcPr>
            <w:tcW w:w="2646" w:type="dxa"/>
            <w:shd w:val="clear" w:color="auto" w:fill="auto"/>
          </w:tcPr>
          <w:p w:rsidR="00D73AF2" w:rsidRPr="00577593" w:rsidRDefault="00D73AF2"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127</w:t>
            </w:r>
          </w:p>
        </w:tc>
        <w:tc>
          <w:tcPr>
            <w:tcW w:w="2646" w:type="dxa"/>
            <w:shd w:val="clear" w:color="auto" w:fill="auto"/>
          </w:tcPr>
          <w:p w:rsidR="00D73AF2" w:rsidRPr="00577593" w:rsidRDefault="00D73AF2"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23,6</w:t>
            </w:r>
          </w:p>
        </w:tc>
        <w:tc>
          <w:tcPr>
            <w:tcW w:w="2646" w:type="dxa"/>
            <w:shd w:val="clear" w:color="auto" w:fill="auto"/>
          </w:tcPr>
          <w:p w:rsidR="00D73AF2" w:rsidRPr="00577593" w:rsidRDefault="00D73AF2"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311 003,6</w:t>
            </w:r>
          </w:p>
        </w:tc>
      </w:tr>
      <w:tr w:rsidR="00D73AF2" w:rsidRPr="00577593" w:rsidTr="00EE2F1D">
        <w:tc>
          <w:tcPr>
            <w:tcW w:w="1413" w:type="dxa"/>
            <w:shd w:val="clear" w:color="auto" w:fill="auto"/>
          </w:tcPr>
          <w:p w:rsidR="00D73AF2" w:rsidRPr="00577593" w:rsidRDefault="00D73AF2"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2013</w:t>
            </w:r>
          </w:p>
        </w:tc>
        <w:tc>
          <w:tcPr>
            <w:tcW w:w="2646" w:type="dxa"/>
            <w:shd w:val="clear" w:color="auto" w:fill="auto"/>
          </w:tcPr>
          <w:p w:rsidR="00D73AF2" w:rsidRPr="00577593" w:rsidRDefault="00D73AF2"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67</w:t>
            </w:r>
          </w:p>
        </w:tc>
        <w:tc>
          <w:tcPr>
            <w:tcW w:w="2646" w:type="dxa"/>
            <w:shd w:val="clear" w:color="auto" w:fill="auto"/>
          </w:tcPr>
          <w:p w:rsidR="00D73AF2" w:rsidRPr="00577593" w:rsidRDefault="00D73AF2"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35,5</w:t>
            </w:r>
          </w:p>
        </w:tc>
        <w:tc>
          <w:tcPr>
            <w:tcW w:w="2646" w:type="dxa"/>
            <w:shd w:val="clear" w:color="auto" w:fill="auto"/>
          </w:tcPr>
          <w:p w:rsidR="00D73AF2" w:rsidRPr="00577593" w:rsidRDefault="00D73AF2"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376 655,2</w:t>
            </w:r>
          </w:p>
        </w:tc>
      </w:tr>
    </w:tbl>
    <w:p w:rsidR="00FC41F4" w:rsidRPr="00577593" w:rsidRDefault="008925FA" w:rsidP="002000D4">
      <w:pPr>
        <w:pStyle w:val="aff9"/>
        <w:ind w:firstLine="709"/>
        <w:jc w:val="both"/>
        <w:rPr>
          <w:rFonts w:ascii="Times New Roman" w:hAnsi="Times New Roman"/>
          <w:i w:val="0"/>
          <w:color w:val="auto"/>
          <w:sz w:val="28"/>
          <w:szCs w:val="28"/>
        </w:rPr>
      </w:pPr>
      <w:r w:rsidRPr="00577593">
        <w:rPr>
          <w:rFonts w:ascii="Times New Roman" w:hAnsi="Times New Roman"/>
          <w:i w:val="0"/>
          <w:color w:val="auto"/>
          <w:sz w:val="28"/>
          <w:szCs w:val="28"/>
        </w:rPr>
        <w:t xml:space="preserve">Примечание </w:t>
      </w:r>
      <w:r w:rsidR="0099669C" w:rsidRPr="00577593">
        <w:rPr>
          <w:rFonts w:ascii="Times New Roman" w:hAnsi="Times New Roman"/>
          <w:i w:val="0"/>
          <w:color w:val="auto"/>
          <w:sz w:val="28"/>
          <w:szCs w:val="28"/>
        </w:rPr>
        <w:t>–</w:t>
      </w:r>
      <w:r w:rsidRPr="00577593">
        <w:rPr>
          <w:rFonts w:ascii="Times New Roman" w:hAnsi="Times New Roman"/>
          <w:i w:val="0"/>
          <w:color w:val="auto"/>
          <w:sz w:val="28"/>
          <w:szCs w:val="28"/>
        </w:rPr>
        <w:t xml:space="preserve"> Источник: на основе данных </w:t>
      </w:r>
      <w:r w:rsidR="00125D12" w:rsidRPr="00577593">
        <w:rPr>
          <w:rFonts w:ascii="Times New Roman" w:hAnsi="Times New Roman"/>
          <w:i w:val="0"/>
          <w:color w:val="auto"/>
          <w:sz w:val="28"/>
          <w:szCs w:val="28"/>
        </w:rPr>
        <w:t>к</w:t>
      </w:r>
      <w:r w:rsidRPr="00577593">
        <w:rPr>
          <w:rFonts w:ascii="Times New Roman" w:hAnsi="Times New Roman"/>
          <w:i w:val="0"/>
          <w:color w:val="auto"/>
          <w:sz w:val="28"/>
          <w:szCs w:val="28"/>
        </w:rPr>
        <w:t>омитета по управлению муниципальной собственностью города Барнаула</w:t>
      </w:r>
    </w:p>
    <w:p w:rsidR="00950472" w:rsidRPr="00577593" w:rsidRDefault="008925FA" w:rsidP="005F1DC6">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В отчетный период аренда имущества приносила в городской бюджет в среднем около 215 млн рублей в год, передавалось в пользование около </w:t>
      </w:r>
      <w:r w:rsidR="00B05DE5" w:rsidRPr="00577593">
        <w:rPr>
          <w:rFonts w:ascii="Times New Roman" w:hAnsi="Times New Roman"/>
          <w:sz w:val="28"/>
          <w:szCs w:val="28"/>
        </w:rPr>
        <w:br/>
      </w:r>
      <w:r w:rsidRPr="00577593">
        <w:rPr>
          <w:rFonts w:ascii="Times New Roman" w:hAnsi="Times New Roman"/>
          <w:sz w:val="28"/>
          <w:szCs w:val="28"/>
        </w:rPr>
        <w:t xml:space="preserve">250 тыс. </w:t>
      </w:r>
      <w:r w:rsidR="000F76C4">
        <w:rPr>
          <w:rFonts w:ascii="Times New Roman" w:hAnsi="Times New Roman"/>
          <w:sz w:val="28"/>
          <w:szCs w:val="28"/>
        </w:rPr>
        <w:t>кв. м</w:t>
      </w:r>
      <w:r w:rsidRPr="00577593">
        <w:rPr>
          <w:rFonts w:ascii="Times New Roman" w:hAnsi="Times New Roman"/>
          <w:sz w:val="28"/>
          <w:szCs w:val="28"/>
        </w:rPr>
        <w:t xml:space="preserve"> в год </w:t>
      </w:r>
      <w:r w:rsidR="005F1DC6">
        <w:rPr>
          <w:rFonts w:ascii="Times New Roman" w:hAnsi="Times New Roman"/>
          <w:sz w:val="28"/>
          <w:szCs w:val="28"/>
        </w:rPr>
        <w:t>(Таблица 19)</w:t>
      </w:r>
      <w:r w:rsidRPr="00577593">
        <w:rPr>
          <w:rFonts w:ascii="Times New Roman" w:hAnsi="Times New Roman"/>
          <w:sz w:val="28"/>
          <w:szCs w:val="28"/>
        </w:rPr>
        <w:t xml:space="preserve">. </w:t>
      </w:r>
    </w:p>
    <w:p w:rsidR="00C3152E" w:rsidRPr="005F1DC6" w:rsidRDefault="00C3152E" w:rsidP="002000D4">
      <w:pPr>
        <w:spacing w:after="0" w:line="240" w:lineRule="auto"/>
        <w:contextualSpacing/>
        <w:jc w:val="both"/>
        <w:rPr>
          <w:rFonts w:ascii="Times New Roman" w:hAnsi="Times New Roman"/>
          <w:sz w:val="20"/>
          <w:szCs w:val="20"/>
        </w:rPr>
      </w:pPr>
      <w:bookmarkStart w:id="196" w:name="_Ref199468909"/>
    </w:p>
    <w:p w:rsidR="00FC41F4" w:rsidRPr="00577593" w:rsidRDefault="00C3152E" w:rsidP="002000D4">
      <w:pPr>
        <w:spacing w:after="0" w:line="240" w:lineRule="auto"/>
        <w:contextualSpacing/>
        <w:jc w:val="both"/>
        <w:rPr>
          <w:rFonts w:ascii="Times New Roman" w:hAnsi="Times New Roman"/>
          <w:sz w:val="28"/>
          <w:szCs w:val="28"/>
        </w:rPr>
      </w:pPr>
      <w:r>
        <w:rPr>
          <w:rFonts w:ascii="Times New Roman" w:hAnsi="Times New Roman"/>
          <w:sz w:val="28"/>
          <w:szCs w:val="28"/>
        </w:rPr>
        <w:t>Та</w:t>
      </w:r>
      <w:r w:rsidR="008925FA" w:rsidRPr="00577593">
        <w:rPr>
          <w:rFonts w:ascii="Times New Roman" w:hAnsi="Times New Roman"/>
          <w:sz w:val="28"/>
          <w:szCs w:val="28"/>
        </w:rPr>
        <w:t xml:space="preserve">блица </w:t>
      </w:r>
      <w:r w:rsidR="00074AE5" w:rsidRPr="00577593">
        <w:rPr>
          <w:rFonts w:ascii="Times New Roman" w:hAnsi="Times New Roman"/>
          <w:sz w:val="28"/>
          <w:szCs w:val="28"/>
        </w:rPr>
        <w:fldChar w:fldCharType="begin"/>
      </w:r>
      <w:r w:rsidR="008925FA" w:rsidRPr="00577593">
        <w:rPr>
          <w:rFonts w:ascii="Times New Roman" w:hAnsi="Times New Roman"/>
          <w:sz w:val="28"/>
          <w:szCs w:val="28"/>
        </w:rPr>
        <w:instrText xml:space="preserve"> SEQ Таблица \* ARABIC </w:instrText>
      </w:r>
      <w:r w:rsidR="00074AE5" w:rsidRPr="00577593">
        <w:rPr>
          <w:rFonts w:ascii="Times New Roman" w:hAnsi="Times New Roman"/>
          <w:sz w:val="28"/>
          <w:szCs w:val="28"/>
        </w:rPr>
        <w:fldChar w:fldCharType="separate"/>
      </w:r>
      <w:r w:rsidR="00071499">
        <w:rPr>
          <w:rFonts w:ascii="Times New Roman" w:hAnsi="Times New Roman"/>
          <w:noProof/>
          <w:sz w:val="28"/>
          <w:szCs w:val="28"/>
        </w:rPr>
        <w:t>19</w:t>
      </w:r>
      <w:r w:rsidR="00074AE5" w:rsidRPr="00577593">
        <w:rPr>
          <w:rFonts w:ascii="Times New Roman" w:hAnsi="Times New Roman"/>
          <w:sz w:val="28"/>
          <w:szCs w:val="28"/>
        </w:rPr>
        <w:fldChar w:fldCharType="end"/>
      </w:r>
      <w:bookmarkEnd w:id="196"/>
      <w:r w:rsidR="008925FA" w:rsidRPr="00577593">
        <w:rPr>
          <w:rFonts w:ascii="Times New Roman" w:hAnsi="Times New Roman"/>
          <w:sz w:val="28"/>
          <w:szCs w:val="28"/>
        </w:rPr>
        <w:t xml:space="preserve"> </w:t>
      </w:r>
      <w:r w:rsidR="0099669C" w:rsidRPr="00577593">
        <w:rPr>
          <w:rFonts w:ascii="Times New Roman" w:hAnsi="Times New Roman"/>
          <w:sz w:val="28"/>
          <w:szCs w:val="28"/>
        </w:rPr>
        <w:t>–</w:t>
      </w:r>
      <w:r w:rsidR="008925FA" w:rsidRPr="00577593">
        <w:rPr>
          <w:rFonts w:ascii="Times New Roman" w:hAnsi="Times New Roman"/>
          <w:sz w:val="28"/>
          <w:szCs w:val="28"/>
        </w:rPr>
        <w:t xml:space="preserve"> Использова</w:t>
      </w:r>
      <w:r w:rsidR="00AD2E92" w:rsidRPr="00577593">
        <w:rPr>
          <w:rFonts w:ascii="Times New Roman" w:hAnsi="Times New Roman"/>
          <w:sz w:val="28"/>
          <w:szCs w:val="28"/>
        </w:rPr>
        <w:t>ние городского имущества в 2013-2024 годы</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17"/>
        <w:gridCol w:w="1418"/>
        <w:gridCol w:w="1417"/>
        <w:gridCol w:w="1418"/>
        <w:gridCol w:w="1559"/>
        <w:gridCol w:w="1276"/>
        <w:gridCol w:w="1440"/>
      </w:tblGrid>
      <w:tr w:rsidR="00FC41F4" w:rsidRPr="00577593" w:rsidTr="00842245">
        <w:tc>
          <w:tcPr>
            <w:tcW w:w="817" w:type="dxa"/>
            <w:shd w:val="clear" w:color="auto" w:fill="auto"/>
          </w:tcPr>
          <w:p w:rsidR="00FC41F4" w:rsidRPr="00577593" w:rsidRDefault="008925FA" w:rsidP="00C3152E">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Год</w:t>
            </w:r>
          </w:p>
        </w:tc>
        <w:tc>
          <w:tcPr>
            <w:tcW w:w="1418" w:type="dxa"/>
            <w:shd w:val="clear" w:color="auto" w:fill="auto"/>
          </w:tcPr>
          <w:p w:rsidR="00FC41F4" w:rsidRPr="00577593" w:rsidRDefault="008925FA" w:rsidP="00C3152E">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Аренда мун. имущества, тыс. рублей</w:t>
            </w:r>
          </w:p>
        </w:tc>
        <w:tc>
          <w:tcPr>
            <w:tcW w:w="1417" w:type="dxa"/>
            <w:shd w:val="clear" w:color="auto" w:fill="auto"/>
          </w:tcPr>
          <w:p w:rsidR="00FC41F4" w:rsidRPr="00577593" w:rsidRDefault="008925FA" w:rsidP="00C3152E">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 xml:space="preserve">Площадь передавае-мого имущества, тыс. </w:t>
            </w:r>
            <w:r w:rsidR="000F76C4">
              <w:rPr>
                <w:rFonts w:ascii="Times New Roman" w:eastAsia="Aptos" w:hAnsi="Times New Roman"/>
                <w:sz w:val="20"/>
                <w:szCs w:val="20"/>
              </w:rPr>
              <w:t>кв. м</w:t>
            </w:r>
          </w:p>
        </w:tc>
        <w:tc>
          <w:tcPr>
            <w:tcW w:w="1418" w:type="dxa"/>
            <w:shd w:val="clear" w:color="auto" w:fill="auto"/>
          </w:tcPr>
          <w:p w:rsidR="00842245" w:rsidRPr="00577593" w:rsidRDefault="008925FA" w:rsidP="00C3152E">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Передано в пользова-ние,</w:t>
            </w:r>
          </w:p>
          <w:p w:rsidR="00FC41F4" w:rsidRPr="00577593" w:rsidRDefault="008925FA" w:rsidP="00C3152E">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 xml:space="preserve">тыс. </w:t>
            </w:r>
            <w:r w:rsidR="000F76C4">
              <w:rPr>
                <w:rFonts w:ascii="Times New Roman" w:eastAsia="Aptos" w:hAnsi="Times New Roman"/>
                <w:sz w:val="20"/>
                <w:szCs w:val="20"/>
              </w:rPr>
              <w:t>кв. м</w:t>
            </w:r>
          </w:p>
        </w:tc>
        <w:tc>
          <w:tcPr>
            <w:tcW w:w="1559" w:type="dxa"/>
            <w:shd w:val="clear" w:color="auto" w:fill="auto"/>
          </w:tcPr>
          <w:p w:rsidR="00842245" w:rsidRPr="00577593" w:rsidRDefault="008925FA" w:rsidP="00C3152E">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Приватизи-ровано,</w:t>
            </w:r>
          </w:p>
          <w:p w:rsidR="00FC41F4" w:rsidRPr="00577593" w:rsidRDefault="00A96D41" w:rsidP="00C3152E">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 xml:space="preserve">тыс. </w:t>
            </w:r>
            <w:r w:rsidR="008925FA" w:rsidRPr="00577593">
              <w:rPr>
                <w:rFonts w:ascii="Times New Roman" w:eastAsia="Aptos" w:hAnsi="Times New Roman"/>
                <w:sz w:val="20"/>
                <w:szCs w:val="20"/>
              </w:rPr>
              <w:t>рублей</w:t>
            </w:r>
          </w:p>
        </w:tc>
        <w:tc>
          <w:tcPr>
            <w:tcW w:w="1276" w:type="dxa"/>
            <w:shd w:val="clear" w:color="auto" w:fill="auto"/>
          </w:tcPr>
          <w:p w:rsidR="00FC41F4" w:rsidRPr="00577593" w:rsidRDefault="008925FA" w:rsidP="00C3152E">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Кол-во прива-тизирован-ных</w:t>
            </w:r>
          </w:p>
          <w:p w:rsidR="00FC41F4" w:rsidRPr="00577593" w:rsidRDefault="008925FA" w:rsidP="00C3152E">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объектов</w:t>
            </w:r>
          </w:p>
        </w:tc>
        <w:tc>
          <w:tcPr>
            <w:tcW w:w="1440" w:type="dxa"/>
            <w:shd w:val="clear" w:color="auto" w:fill="auto"/>
          </w:tcPr>
          <w:p w:rsidR="00FC41F4" w:rsidRPr="00577593" w:rsidRDefault="008925FA" w:rsidP="00C3152E">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Площадь приватизи</w:t>
            </w:r>
            <w:r w:rsidR="00842245" w:rsidRPr="00577593">
              <w:rPr>
                <w:rFonts w:ascii="Times New Roman" w:eastAsia="Aptos" w:hAnsi="Times New Roman"/>
                <w:sz w:val="20"/>
                <w:szCs w:val="20"/>
              </w:rPr>
              <w:t>-рован</w:t>
            </w:r>
            <w:r w:rsidRPr="00577593">
              <w:rPr>
                <w:rFonts w:ascii="Times New Roman" w:eastAsia="Aptos" w:hAnsi="Times New Roman"/>
                <w:sz w:val="20"/>
                <w:szCs w:val="20"/>
              </w:rPr>
              <w:t>ных объектов, </w:t>
            </w:r>
            <w:r w:rsidR="00213E89" w:rsidRPr="00577593">
              <w:rPr>
                <w:rFonts w:ascii="Times New Roman" w:eastAsia="Aptos" w:hAnsi="Times New Roman"/>
                <w:sz w:val="20"/>
                <w:szCs w:val="20"/>
              </w:rPr>
              <w:t xml:space="preserve">тыс. </w:t>
            </w:r>
            <w:r w:rsidR="000F76C4">
              <w:rPr>
                <w:rFonts w:ascii="Times New Roman" w:eastAsia="Aptos" w:hAnsi="Times New Roman"/>
                <w:sz w:val="20"/>
                <w:szCs w:val="20"/>
              </w:rPr>
              <w:t>кв. м</w:t>
            </w:r>
          </w:p>
        </w:tc>
      </w:tr>
      <w:tr w:rsidR="00FC41F4" w:rsidRPr="00577593" w:rsidTr="00842245">
        <w:tc>
          <w:tcPr>
            <w:tcW w:w="817" w:type="dxa"/>
            <w:shd w:val="clear" w:color="auto" w:fill="auto"/>
          </w:tcPr>
          <w:p w:rsidR="00FC41F4" w:rsidRPr="00577593" w:rsidRDefault="008925FA" w:rsidP="002000D4">
            <w:pPr>
              <w:spacing w:after="0" w:line="240" w:lineRule="auto"/>
              <w:jc w:val="both"/>
              <w:rPr>
                <w:rFonts w:ascii="Times New Roman" w:eastAsia="Aptos" w:hAnsi="Times New Roman"/>
                <w:sz w:val="20"/>
                <w:szCs w:val="20"/>
              </w:rPr>
            </w:pPr>
            <w:r w:rsidRPr="00577593">
              <w:rPr>
                <w:rFonts w:ascii="Times New Roman" w:eastAsia="Aptos" w:hAnsi="Times New Roman"/>
                <w:sz w:val="20"/>
                <w:szCs w:val="20"/>
              </w:rPr>
              <w:t>2024</w:t>
            </w:r>
          </w:p>
        </w:tc>
        <w:tc>
          <w:tcPr>
            <w:tcW w:w="1418"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165 250,2</w:t>
            </w:r>
          </w:p>
        </w:tc>
        <w:tc>
          <w:tcPr>
            <w:tcW w:w="1417"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209,0</w:t>
            </w:r>
          </w:p>
        </w:tc>
        <w:tc>
          <w:tcPr>
            <w:tcW w:w="1418"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205,1</w:t>
            </w:r>
          </w:p>
        </w:tc>
        <w:tc>
          <w:tcPr>
            <w:tcW w:w="1559"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96</w:t>
            </w:r>
            <w:r w:rsidR="00A96D41" w:rsidRPr="00577593">
              <w:rPr>
                <w:rFonts w:ascii="Times New Roman" w:eastAsia="Aptos" w:hAnsi="Times New Roman"/>
                <w:sz w:val="20"/>
                <w:szCs w:val="20"/>
              </w:rPr>
              <w:t> </w:t>
            </w:r>
            <w:r w:rsidRPr="00577593">
              <w:rPr>
                <w:rFonts w:ascii="Times New Roman" w:eastAsia="Aptos" w:hAnsi="Times New Roman"/>
                <w:sz w:val="20"/>
                <w:szCs w:val="20"/>
              </w:rPr>
              <w:t>120</w:t>
            </w:r>
            <w:r w:rsidR="00A96D41" w:rsidRPr="00577593">
              <w:rPr>
                <w:rFonts w:ascii="Times New Roman" w:eastAsia="Aptos" w:hAnsi="Times New Roman"/>
                <w:sz w:val="20"/>
                <w:szCs w:val="20"/>
              </w:rPr>
              <w:t>,2</w:t>
            </w:r>
          </w:p>
        </w:tc>
        <w:tc>
          <w:tcPr>
            <w:tcW w:w="1276"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27</w:t>
            </w:r>
          </w:p>
        </w:tc>
        <w:tc>
          <w:tcPr>
            <w:tcW w:w="1440"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11</w:t>
            </w:r>
            <w:r w:rsidR="00213E89" w:rsidRPr="00577593">
              <w:rPr>
                <w:rFonts w:ascii="Times New Roman" w:eastAsia="Aptos" w:hAnsi="Times New Roman"/>
                <w:sz w:val="20"/>
                <w:szCs w:val="20"/>
              </w:rPr>
              <w:t>,4</w:t>
            </w:r>
          </w:p>
        </w:tc>
      </w:tr>
      <w:tr w:rsidR="00FC41F4" w:rsidRPr="00577593" w:rsidTr="00842245">
        <w:tc>
          <w:tcPr>
            <w:tcW w:w="817" w:type="dxa"/>
            <w:shd w:val="clear" w:color="auto" w:fill="auto"/>
          </w:tcPr>
          <w:p w:rsidR="00FC41F4" w:rsidRPr="00577593" w:rsidRDefault="008925FA" w:rsidP="002000D4">
            <w:pPr>
              <w:spacing w:after="0" w:line="240" w:lineRule="auto"/>
              <w:jc w:val="both"/>
              <w:rPr>
                <w:rFonts w:ascii="Times New Roman" w:eastAsia="Aptos" w:hAnsi="Times New Roman"/>
                <w:sz w:val="20"/>
                <w:szCs w:val="20"/>
              </w:rPr>
            </w:pPr>
            <w:r w:rsidRPr="00577593">
              <w:rPr>
                <w:rFonts w:ascii="Times New Roman" w:eastAsia="Aptos" w:hAnsi="Times New Roman"/>
                <w:sz w:val="20"/>
                <w:szCs w:val="20"/>
              </w:rPr>
              <w:t>2023</w:t>
            </w:r>
          </w:p>
        </w:tc>
        <w:tc>
          <w:tcPr>
            <w:tcW w:w="1418"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170 074,7</w:t>
            </w:r>
          </w:p>
        </w:tc>
        <w:tc>
          <w:tcPr>
            <w:tcW w:w="1417"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242,0</w:t>
            </w:r>
          </w:p>
        </w:tc>
        <w:tc>
          <w:tcPr>
            <w:tcW w:w="1418"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233,7</w:t>
            </w:r>
          </w:p>
        </w:tc>
        <w:tc>
          <w:tcPr>
            <w:tcW w:w="1559"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127</w:t>
            </w:r>
            <w:r w:rsidR="00A96D41" w:rsidRPr="00577593">
              <w:rPr>
                <w:rFonts w:ascii="Times New Roman" w:eastAsia="Aptos" w:hAnsi="Times New Roman"/>
                <w:sz w:val="20"/>
                <w:szCs w:val="20"/>
              </w:rPr>
              <w:t> </w:t>
            </w:r>
            <w:r w:rsidRPr="00577593">
              <w:rPr>
                <w:rFonts w:ascii="Times New Roman" w:eastAsia="Aptos" w:hAnsi="Times New Roman"/>
                <w:sz w:val="20"/>
                <w:szCs w:val="20"/>
              </w:rPr>
              <w:t>657</w:t>
            </w:r>
            <w:r w:rsidR="00A96D41" w:rsidRPr="00577593">
              <w:rPr>
                <w:rFonts w:ascii="Times New Roman" w:eastAsia="Aptos" w:hAnsi="Times New Roman"/>
                <w:sz w:val="20"/>
                <w:szCs w:val="20"/>
              </w:rPr>
              <w:t>,3</w:t>
            </w:r>
          </w:p>
        </w:tc>
        <w:tc>
          <w:tcPr>
            <w:tcW w:w="1276"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47</w:t>
            </w:r>
          </w:p>
        </w:tc>
        <w:tc>
          <w:tcPr>
            <w:tcW w:w="1440" w:type="dxa"/>
            <w:shd w:val="clear" w:color="auto" w:fill="auto"/>
          </w:tcPr>
          <w:p w:rsidR="00FC41F4" w:rsidRPr="00577593" w:rsidRDefault="00213E89"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14,5</w:t>
            </w:r>
          </w:p>
        </w:tc>
      </w:tr>
      <w:tr w:rsidR="00FC41F4" w:rsidRPr="00577593" w:rsidTr="00842245">
        <w:tc>
          <w:tcPr>
            <w:tcW w:w="817" w:type="dxa"/>
            <w:shd w:val="clear" w:color="auto" w:fill="auto"/>
          </w:tcPr>
          <w:p w:rsidR="00FC41F4" w:rsidRPr="00577593" w:rsidRDefault="008925FA" w:rsidP="002000D4">
            <w:pPr>
              <w:spacing w:after="0" w:line="240" w:lineRule="auto"/>
              <w:jc w:val="both"/>
              <w:rPr>
                <w:rFonts w:ascii="Times New Roman" w:eastAsia="Aptos" w:hAnsi="Times New Roman"/>
                <w:sz w:val="20"/>
                <w:szCs w:val="20"/>
              </w:rPr>
            </w:pPr>
            <w:r w:rsidRPr="00577593">
              <w:rPr>
                <w:rFonts w:ascii="Times New Roman" w:eastAsia="Aptos" w:hAnsi="Times New Roman"/>
                <w:sz w:val="20"/>
                <w:szCs w:val="20"/>
              </w:rPr>
              <w:lastRenderedPageBreak/>
              <w:t>2022</w:t>
            </w:r>
          </w:p>
        </w:tc>
        <w:tc>
          <w:tcPr>
            <w:tcW w:w="1418"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217 665,3</w:t>
            </w:r>
          </w:p>
        </w:tc>
        <w:tc>
          <w:tcPr>
            <w:tcW w:w="1417"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251,5</w:t>
            </w:r>
          </w:p>
        </w:tc>
        <w:tc>
          <w:tcPr>
            <w:tcW w:w="1418"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236,7</w:t>
            </w:r>
          </w:p>
        </w:tc>
        <w:tc>
          <w:tcPr>
            <w:tcW w:w="1559"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49</w:t>
            </w:r>
            <w:r w:rsidR="00A96D41" w:rsidRPr="00577593">
              <w:rPr>
                <w:rFonts w:ascii="Times New Roman" w:eastAsia="Aptos" w:hAnsi="Times New Roman"/>
                <w:sz w:val="20"/>
                <w:szCs w:val="20"/>
              </w:rPr>
              <w:t> </w:t>
            </w:r>
            <w:r w:rsidRPr="00577593">
              <w:rPr>
                <w:rFonts w:ascii="Times New Roman" w:eastAsia="Aptos" w:hAnsi="Times New Roman"/>
                <w:sz w:val="20"/>
                <w:szCs w:val="20"/>
              </w:rPr>
              <w:t>438</w:t>
            </w:r>
            <w:r w:rsidR="00A96D41" w:rsidRPr="00577593">
              <w:rPr>
                <w:rFonts w:ascii="Times New Roman" w:eastAsia="Aptos" w:hAnsi="Times New Roman"/>
                <w:sz w:val="20"/>
                <w:szCs w:val="20"/>
              </w:rPr>
              <w:t>,3</w:t>
            </w:r>
          </w:p>
        </w:tc>
        <w:tc>
          <w:tcPr>
            <w:tcW w:w="1276"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29</w:t>
            </w:r>
          </w:p>
        </w:tc>
        <w:tc>
          <w:tcPr>
            <w:tcW w:w="1440"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3</w:t>
            </w:r>
            <w:r w:rsidR="00213E89" w:rsidRPr="00577593">
              <w:rPr>
                <w:rFonts w:ascii="Times New Roman" w:eastAsia="Aptos" w:hAnsi="Times New Roman"/>
                <w:sz w:val="20"/>
                <w:szCs w:val="20"/>
              </w:rPr>
              <w:t>,8</w:t>
            </w:r>
          </w:p>
        </w:tc>
      </w:tr>
      <w:tr w:rsidR="00FC41F4" w:rsidRPr="00577593" w:rsidTr="00842245">
        <w:tc>
          <w:tcPr>
            <w:tcW w:w="817" w:type="dxa"/>
            <w:shd w:val="clear" w:color="auto" w:fill="auto"/>
          </w:tcPr>
          <w:p w:rsidR="00FC41F4" w:rsidRPr="00577593" w:rsidRDefault="008925FA" w:rsidP="002000D4">
            <w:pPr>
              <w:spacing w:after="0" w:line="240" w:lineRule="auto"/>
              <w:jc w:val="both"/>
              <w:rPr>
                <w:rFonts w:ascii="Times New Roman" w:eastAsia="Aptos" w:hAnsi="Times New Roman"/>
                <w:sz w:val="20"/>
                <w:szCs w:val="20"/>
              </w:rPr>
            </w:pPr>
            <w:r w:rsidRPr="00577593">
              <w:rPr>
                <w:rFonts w:ascii="Times New Roman" w:eastAsia="Aptos" w:hAnsi="Times New Roman"/>
                <w:sz w:val="20"/>
                <w:szCs w:val="20"/>
              </w:rPr>
              <w:t>2021</w:t>
            </w:r>
          </w:p>
        </w:tc>
        <w:tc>
          <w:tcPr>
            <w:tcW w:w="1418"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220 313,5</w:t>
            </w:r>
          </w:p>
        </w:tc>
        <w:tc>
          <w:tcPr>
            <w:tcW w:w="1417"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284,7</w:t>
            </w:r>
          </w:p>
        </w:tc>
        <w:tc>
          <w:tcPr>
            <w:tcW w:w="1418"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264,0</w:t>
            </w:r>
          </w:p>
        </w:tc>
        <w:tc>
          <w:tcPr>
            <w:tcW w:w="1559"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140</w:t>
            </w:r>
            <w:r w:rsidR="00A96D41" w:rsidRPr="00577593">
              <w:rPr>
                <w:rFonts w:ascii="Times New Roman" w:eastAsia="Aptos" w:hAnsi="Times New Roman"/>
                <w:sz w:val="20"/>
                <w:szCs w:val="20"/>
              </w:rPr>
              <w:t> </w:t>
            </w:r>
            <w:r w:rsidRPr="00577593">
              <w:rPr>
                <w:rFonts w:ascii="Times New Roman" w:eastAsia="Aptos" w:hAnsi="Times New Roman"/>
                <w:sz w:val="20"/>
                <w:szCs w:val="20"/>
              </w:rPr>
              <w:t>033</w:t>
            </w:r>
            <w:r w:rsidR="00A96D41" w:rsidRPr="00577593">
              <w:rPr>
                <w:rFonts w:ascii="Times New Roman" w:eastAsia="Aptos" w:hAnsi="Times New Roman"/>
                <w:sz w:val="20"/>
                <w:szCs w:val="20"/>
              </w:rPr>
              <w:t>,3</w:t>
            </w:r>
          </w:p>
        </w:tc>
        <w:tc>
          <w:tcPr>
            <w:tcW w:w="1276"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48</w:t>
            </w:r>
          </w:p>
        </w:tc>
        <w:tc>
          <w:tcPr>
            <w:tcW w:w="1440"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13</w:t>
            </w:r>
            <w:r w:rsidR="00213E89" w:rsidRPr="00577593">
              <w:rPr>
                <w:rFonts w:ascii="Times New Roman" w:eastAsia="Aptos" w:hAnsi="Times New Roman"/>
                <w:sz w:val="20"/>
                <w:szCs w:val="20"/>
              </w:rPr>
              <w:t>,7</w:t>
            </w:r>
          </w:p>
        </w:tc>
      </w:tr>
      <w:tr w:rsidR="00FC41F4" w:rsidRPr="00577593" w:rsidTr="00842245">
        <w:tc>
          <w:tcPr>
            <w:tcW w:w="817" w:type="dxa"/>
            <w:shd w:val="clear" w:color="auto" w:fill="auto"/>
          </w:tcPr>
          <w:p w:rsidR="00FC41F4" w:rsidRPr="00577593" w:rsidRDefault="008925FA" w:rsidP="002000D4">
            <w:pPr>
              <w:spacing w:after="0" w:line="240" w:lineRule="auto"/>
              <w:jc w:val="both"/>
              <w:rPr>
                <w:rFonts w:ascii="Times New Roman" w:eastAsia="Aptos" w:hAnsi="Times New Roman"/>
                <w:sz w:val="20"/>
                <w:szCs w:val="20"/>
              </w:rPr>
            </w:pPr>
            <w:r w:rsidRPr="00577593">
              <w:rPr>
                <w:rFonts w:ascii="Times New Roman" w:eastAsia="Aptos" w:hAnsi="Times New Roman"/>
                <w:sz w:val="20"/>
                <w:szCs w:val="20"/>
              </w:rPr>
              <w:t>2020</w:t>
            </w:r>
          </w:p>
        </w:tc>
        <w:tc>
          <w:tcPr>
            <w:tcW w:w="1418"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203 869,0</w:t>
            </w:r>
          </w:p>
        </w:tc>
        <w:tc>
          <w:tcPr>
            <w:tcW w:w="1417"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282,4</w:t>
            </w:r>
          </w:p>
        </w:tc>
        <w:tc>
          <w:tcPr>
            <w:tcW w:w="1418"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257,1</w:t>
            </w:r>
          </w:p>
        </w:tc>
        <w:tc>
          <w:tcPr>
            <w:tcW w:w="1559"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77</w:t>
            </w:r>
            <w:r w:rsidR="00A96D41" w:rsidRPr="00577593">
              <w:rPr>
                <w:rFonts w:ascii="Times New Roman" w:eastAsia="Aptos" w:hAnsi="Times New Roman"/>
                <w:sz w:val="20"/>
                <w:szCs w:val="20"/>
              </w:rPr>
              <w:t> </w:t>
            </w:r>
            <w:r w:rsidRPr="00577593">
              <w:rPr>
                <w:rFonts w:ascii="Times New Roman" w:eastAsia="Aptos" w:hAnsi="Times New Roman"/>
                <w:sz w:val="20"/>
                <w:szCs w:val="20"/>
              </w:rPr>
              <w:t>016</w:t>
            </w:r>
            <w:r w:rsidR="00A96D41" w:rsidRPr="00577593">
              <w:rPr>
                <w:rFonts w:ascii="Times New Roman" w:eastAsia="Aptos" w:hAnsi="Times New Roman"/>
                <w:sz w:val="20"/>
                <w:szCs w:val="20"/>
              </w:rPr>
              <w:t>,4</w:t>
            </w:r>
          </w:p>
        </w:tc>
        <w:tc>
          <w:tcPr>
            <w:tcW w:w="1276"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49</w:t>
            </w:r>
          </w:p>
        </w:tc>
        <w:tc>
          <w:tcPr>
            <w:tcW w:w="1440"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5</w:t>
            </w:r>
            <w:r w:rsidR="00213E89" w:rsidRPr="00577593">
              <w:rPr>
                <w:rFonts w:ascii="Times New Roman" w:eastAsia="Aptos" w:hAnsi="Times New Roman"/>
                <w:sz w:val="20"/>
                <w:szCs w:val="20"/>
              </w:rPr>
              <w:t>,7</w:t>
            </w:r>
          </w:p>
        </w:tc>
      </w:tr>
      <w:tr w:rsidR="00FC41F4" w:rsidRPr="00577593" w:rsidTr="00842245">
        <w:tc>
          <w:tcPr>
            <w:tcW w:w="817" w:type="dxa"/>
            <w:shd w:val="clear" w:color="auto" w:fill="auto"/>
          </w:tcPr>
          <w:p w:rsidR="00FC41F4" w:rsidRPr="00577593" w:rsidRDefault="008925FA" w:rsidP="002000D4">
            <w:pPr>
              <w:spacing w:after="0" w:line="240" w:lineRule="auto"/>
              <w:jc w:val="both"/>
              <w:rPr>
                <w:rFonts w:ascii="Times New Roman" w:eastAsia="Aptos" w:hAnsi="Times New Roman"/>
                <w:sz w:val="20"/>
                <w:szCs w:val="20"/>
              </w:rPr>
            </w:pPr>
            <w:r w:rsidRPr="00577593">
              <w:rPr>
                <w:rFonts w:ascii="Times New Roman" w:eastAsia="Aptos" w:hAnsi="Times New Roman"/>
                <w:sz w:val="20"/>
                <w:szCs w:val="20"/>
              </w:rPr>
              <w:t>2019</w:t>
            </w:r>
          </w:p>
        </w:tc>
        <w:tc>
          <w:tcPr>
            <w:tcW w:w="1418"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212 381,3</w:t>
            </w:r>
          </w:p>
        </w:tc>
        <w:tc>
          <w:tcPr>
            <w:tcW w:w="1417"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271,1</w:t>
            </w:r>
          </w:p>
        </w:tc>
        <w:tc>
          <w:tcPr>
            <w:tcW w:w="1418"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243,0</w:t>
            </w:r>
          </w:p>
        </w:tc>
        <w:tc>
          <w:tcPr>
            <w:tcW w:w="1559"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74</w:t>
            </w:r>
            <w:r w:rsidR="00A96D41" w:rsidRPr="00577593">
              <w:rPr>
                <w:rFonts w:ascii="Times New Roman" w:eastAsia="Aptos" w:hAnsi="Times New Roman"/>
                <w:sz w:val="20"/>
                <w:szCs w:val="20"/>
              </w:rPr>
              <w:t> </w:t>
            </w:r>
            <w:r w:rsidRPr="00577593">
              <w:rPr>
                <w:rFonts w:ascii="Times New Roman" w:eastAsia="Aptos" w:hAnsi="Times New Roman"/>
                <w:sz w:val="20"/>
                <w:szCs w:val="20"/>
              </w:rPr>
              <w:t>944</w:t>
            </w:r>
            <w:r w:rsidR="00A96D41" w:rsidRPr="00577593">
              <w:rPr>
                <w:rFonts w:ascii="Times New Roman" w:eastAsia="Aptos" w:hAnsi="Times New Roman"/>
                <w:sz w:val="20"/>
                <w:szCs w:val="20"/>
              </w:rPr>
              <w:t>,5</w:t>
            </w:r>
          </w:p>
        </w:tc>
        <w:tc>
          <w:tcPr>
            <w:tcW w:w="1276"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53</w:t>
            </w:r>
          </w:p>
        </w:tc>
        <w:tc>
          <w:tcPr>
            <w:tcW w:w="1440"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10</w:t>
            </w:r>
            <w:r w:rsidR="00213E89" w:rsidRPr="00577593">
              <w:rPr>
                <w:rFonts w:ascii="Times New Roman" w:eastAsia="Aptos" w:hAnsi="Times New Roman"/>
                <w:sz w:val="20"/>
                <w:szCs w:val="20"/>
              </w:rPr>
              <w:t>,5</w:t>
            </w:r>
          </w:p>
        </w:tc>
      </w:tr>
      <w:tr w:rsidR="00FC41F4" w:rsidRPr="00577593" w:rsidTr="00842245">
        <w:tc>
          <w:tcPr>
            <w:tcW w:w="817" w:type="dxa"/>
            <w:shd w:val="clear" w:color="auto" w:fill="auto"/>
          </w:tcPr>
          <w:p w:rsidR="00FC41F4" w:rsidRPr="00577593" w:rsidRDefault="008925FA" w:rsidP="002000D4">
            <w:pPr>
              <w:spacing w:after="0" w:line="240" w:lineRule="auto"/>
              <w:jc w:val="both"/>
              <w:rPr>
                <w:rFonts w:ascii="Times New Roman" w:eastAsia="Aptos" w:hAnsi="Times New Roman"/>
                <w:sz w:val="20"/>
                <w:szCs w:val="20"/>
              </w:rPr>
            </w:pPr>
            <w:r w:rsidRPr="00577593">
              <w:rPr>
                <w:rFonts w:ascii="Times New Roman" w:eastAsia="Aptos" w:hAnsi="Times New Roman"/>
                <w:sz w:val="20"/>
                <w:szCs w:val="20"/>
              </w:rPr>
              <w:t>2018</w:t>
            </w:r>
          </w:p>
        </w:tc>
        <w:tc>
          <w:tcPr>
            <w:tcW w:w="1418" w:type="dxa"/>
            <w:shd w:val="clear" w:color="auto" w:fill="auto"/>
          </w:tcPr>
          <w:p w:rsidR="00FC41F4" w:rsidRPr="00577593" w:rsidRDefault="005A1143"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207 549,0</w:t>
            </w:r>
          </w:p>
        </w:tc>
        <w:tc>
          <w:tcPr>
            <w:tcW w:w="1417"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н/д</w:t>
            </w:r>
          </w:p>
        </w:tc>
        <w:tc>
          <w:tcPr>
            <w:tcW w:w="1418"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н/д</w:t>
            </w:r>
          </w:p>
        </w:tc>
        <w:tc>
          <w:tcPr>
            <w:tcW w:w="1559"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76</w:t>
            </w:r>
            <w:r w:rsidR="00A96D41" w:rsidRPr="00577593">
              <w:rPr>
                <w:rFonts w:ascii="Times New Roman" w:eastAsia="Aptos" w:hAnsi="Times New Roman"/>
                <w:sz w:val="20"/>
                <w:szCs w:val="20"/>
              </w:rPr>
              <w:t> </w:t>
            </w:r>
            <w:r w:rsidRPr="00577593">
              <w:rPr>
                <w:rFonts w:ascii="Times New Roman" w:eastAsia="Aptos" w:hAnsi="Times New Roman"/>
                <w:sz w:val="20"/>
                <w:szCs w:val="20"/>
              </w:rPr>
              <w:t>417</w:t>
            </w:r>
            <w:r w:rsidR="00A96D41" w:rsidRPr="00577593">
              <w:rPr>
                <w:rFonts w:ascii="Times New Roman" w:eastAsia="Aptos" w:hAnsi="Times New Roman"/>
                <w:sz w:val="20"/>
                <w:szCs w:val="20"/>
              </w:rPr>
              <w:t>,0</w:t>
            </w:r>
          </w:p>
        </w:tc>
        <w:tc>
          <w:tcPr>
            <w:tcW w:w="1276"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42</w:t>
            </w:r>
          </w:p>
        </w:tc>
        <w:tc>
          <w:tcPr>
            <w:tcW w:w="1440"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7</w:t>
            </w:r>
            <w:r w:rsidR="00213E89" w:rsidRPr="00577593">
              <w:rPr>
                <w:rFonts w:ascii="Times New Roman" w:eastAsia="Aptos" w:hAnsi="Times New Roman"/>
                <w:sz w:val="20"/>
                <w:szCs w:val="20"/>
              </w:rPr>
              <w:t>,7</w:t>
            </w:r>
          </w:p>
        </w:tc>
      </w:tr>
      <w:tr w:rsidR="00FC41F4" w:rsidRPr="00577593" w:rsidTr="00842245">
        <w:tc>
          <w:tcPr>
            <w:tcW w:w="817" w:type="dxa"/>
            <w:shd w:val="clear" w:color="auto" w:fill="auto"/>
          </w:tcPr>
          <w:p w:rsidR="00FC41F4" w:rsidRPr="00577593" w:rsidRDefault="008925FA" w:rsidP="002000D4">
            <w:pPr>
              <w:spacing w:after="0" w:line="240" w:lineRule="auto"/>
              <w:jc w:val="both"/>
              <w:rPr>
                <w:rFonts w:ascii="Times New Roman" w:eastAsia="Aptos" w:hAnsi="Times New Roman"/>
                <w:sz w:val="20"/>
                <w:szCs w:val="20"/>
              </w:rPr>
            </w:pPr>
            <w:r w:rsidRPr="00577593">
              <w:rPr>
                <w:rFonts w:ascii="Times New Roman" w:eastAsia="Aptos" w:hAnsi="Times New Roman"/>
                <w:sz w:val="20"/>
                <w:szCs w:val="20"/>
              </w:rPr>
              <w:t>2017</w:t>
            </w:r>
          </w:p>
        </w:tc>
        <w:tc>
          <w:tcPr>
            <w:tcW w:w="1418"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273</w:t>
            </w:r>
            <w:r w:rsidR="005A1143" w:rsidRPr="00577593">
              <w:rPr>
                <w:rFonts w:ascii="Times New Roman" w:eastAsia="Aptos" w:hAnsi="Times New Roman"/>
                <w:sz w:val="20"/>
                <w:szCs w:val="20"/>
              </w:rPr>
              <w:t> 387,0</w:t>
            </w:r>
          </w:p>
        </w:tc>
        <w:tc>
          <w:tcPr>
            <w:tcW w:w="1417"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284,97</w:t>
            </w:r>
          </w:p>
        </w:tc>
        <w:tc>
          <w:tcPr>
            <w:tcW w:w="1418"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257,9</w:t>
            </w:r>
          </w:p>
        </w:tc>
        <w:tc>
          <w:tcPr>
            <w:tcW w:w="1559"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88</w:t>
            </w:r>
            <w:r w:rsidR="00A96D41" w:rsidRPr="00577593">
              <w:rPr>
                <w:rFonts w:ascii="Times New Roman" w:eastAsia="Aptos" w:hAnsi="Times New Roman"/>
                <w:sz w:val="20"/>
                <w:szCs w:val="20"/>
              </w:rPr>
              <w:t> </w:t>
            </w:r>
            <w:r w:rsidRPr="00577593">
              <w:rPr>
                <w:rFonts w:ascii="Times New Roman" w:eastAsia="Aptos" w:hAnsi="Times New Roman"/>
                <w:sz w:val="20"/>
                <w:szCs w:val="20"/>
              </w:rPr>
              <w:t>117</w:t>
            </w:r>
            <w:r w:rsidR="00A96D41" w:rsidRPr="00577593">
              <w:rPr>
                <w:rFonts w:ascii="Times New Roman" w:eastAsia="Aptos" w:hAnsi="Times New Roman"/>
                <w:sz w:val="20"/>
                <w:szCs w:val="20"/>
              </w:rPr>
              <w:t>,0</w:t>
            </w:r>
          </w:p>
        </w:tc>
        <w:tc>
          <w:tcPr>
            <w:tcW w:w="1276"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22</w:t>
            </w:r>
          </w:p>
        </w:tc>
        <w:tc>
          <w:tcPr>
            <w:tcW w:w="1440"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8</w:t>
            </w:r>
            <w:r w:rsidR="00213E89" w:rsidRPr="00577593">
              <w:rPr>
                <w:rFonts w:ascii="Times New Roman" w:eastAsia="Aptos" w:hAnsi="Times New Roman"/>
                <w:sz w:val="20"/>
                <w:szCs w:val="20"/>
              </w:rPr>
              <w:t>,2</w:t>
            </w:r>
          </w:p>
        </w:tc>
      </w:tr>
      <w:tr w:rsidR="00FC41F4" w:rsidRPr="00577593" w:rsidTr="00842245">
        <w:tc>
          <w:tcPr>
            <w:tcW w:w="817" w:type="dxa"/>
            <w:shd w:val="clear" w:color="auto" w:fill="auto"/>
          </w:tcPr>
          <w:p w:rsidR="00FC41F4" w:rsidRPr="00577593" w:rsidRDefault="008925FA" w:rsidP="002000D4">
            <w:pPr>
              <w:spacing w:after="0" w:line="240" w:lineRule="auto"/>
              <w:jc w:val="both"/>
              <w:rPr>
                <w:rFonts w:ascii="Times New Roman" w:eastAsia="Aptos" w:hAnsi="Times New Roman"/>
                <w:sz w:val="20"/>
                <w:szCs w:val="20"/>
              </w:rPr>
            </w:pPr>
            <w:r w:rsidRPr="00577593">
              <w:rPr>
                <w:rFonts w:ascii="Times New Roman" w:eastAsia="Aptos" w:hAnsi="Times New Roman"/>
                <w:sz w:val="20"/>
                <w:szCs w:val="20"/>
              </w:rPr>
              <w:t>2016</w:t>
            </w:r>
          </w:p>
        </w:tc>
        <w:tc>
          <w:tcPr>
            <w:tcW w:w="1418"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н/д</w:t>
            </w:r>
          </w:p>
        </w:tc>
        <w:tc>
          <w:tcPr>
            <w:tcW w:w="1417"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н/д</w:t>
            </w:r>
          </w:p>
        </w:tc>
        <w:tc>
          <w:tcPr>
            <w:tcW w:w="1418"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н/д</w:t>
            </w:r>
          </w:p>
        </w:tc>
        <w:tc>
          <w:tcPr>
            <w:tcW w:w="1559"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75</w:t>
            </w:r>
            <w:r w:rsidR="00A96D41" w:rsidRPr="00577593">
              <w:rPr>
                <w:rFonts w:ascii="Times New Roman" w:eastAsia="Aptos" w:hAnsi="Times New Roman"/>
                <w:sz w:val="20"/>
                <w:szCs w:val="20"/>
              </w:rPr>
              <w:t> </w:t>
            </w:r>
            <w:r w:rsidRPr="00577593">
              <w:rPr>
                <w:rFonts w:ascii="Times New Roman" w:eastAsia="Aptos" w:hAnsi="Times New Roman"/>
                <w:sz w:val="20"/>
                <w:szCs w:val="20"/>
              </w:rPr>
              <w:t>757</w:t>
            </w:r>
            <w:r w:rsidR="00A96D41" w:rsidRPr="00577593">
              <w:rPr>
                <w:rFonts w:ascii="Times New Roman" w:eastAsia="Aptos" w:hAnsi="Times New Roman"/>
                <w:sz w:val="20"/>
                <w:szCs w:val="20"/>
              </w:rPr>
              <w:t>,2</w:t>
            </w:r>
          </w:p>
        </w:tc>
        <w:tc>
          <w:tcPr>
            <w:tcW w:w="1276"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33</w:t>
            </w:r>
          </w:p>
        </w:tc>
        <w:tc>
          <w:tcPr>
            <w:tcW w:w="1440"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6</w:t>
            </w:r>
            <w:r w:rsidR="00213E89" w:rsidRPr="00577593">
              <w:rPr>
                <w:rFonts w:ascii="Times New Roman" w:eastAsia="Aptos" w:hAnsi="Times New Roman"/>
                <w:sz w:val="20"/>
                <w:szCs w:val="20"/>
              </w:rPr>
              <w:t>,1</w:t>
            </w:r>
            <w:r w:rsidRPr="00577593">
              <w:rPr>
                <w:rFonts w:ascii="Times New Roman" w:eastAsia="Aptos" w:hAnsi="Times New Roman"/>
                <w:sz w:val="20"/>
                <w:szCs w:val="20"/>
              </w:rPr>
              <w:t xml:space="preserve"> </w:t>
            </w:r>
          </w:p>
        </w:tc>
      </w:tr>
      <w:tr w:rsidR="00FC41F4" w:rsidRPr="00577593" w:rsidTr="00842245">
        <w:tc>
          <w:tcPr>
            <w:tcW w:w="817" w:type="dxa"/>
            <w:shd w:val="clear" w:color="auto" w:fill="auto"/>
          </w:tcPr>
          <w:p w:rsidR="00FC41F4" w:rsidRPr="00577593" w:rsidRDefault="008925FA" w:rsidP="002000D4">
            <w:pPr>
              <w:spacing w:after="0" w:line="240" w:lineRule="auto"/>
              <w:jc w:val="both"/>
              <w:rPr>
                <w:rFonts w:ascii="Times New Roman" w:eastAsia="Aptos" w:hAnsi="Times New Roman"/>
                <w:sz w:val="20"/>
                <w:szCs w:val="20"/>
              </w:rPr>
            </w:pPr>
            <w:r w:rsidRPr="00577593">
              <w:rPr>
                <w:rFonts w:ascii="Times New Roman" w:eastAsia="Aptos" w:hAnsi="Times New Roman"/>
                <w:sz w:val="20"/>
                <w:szCs w:val="20"/>
              </w:rPr>
              <w:t>2015</w:t>
            </w:r>
          </w:p>
        </w:tc>
        <w:tc>
          <w:tcPr>
            <w:tcW w:w="1418"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н/д</w:t>
            </w:r>
          </w:p>
        </w:tc>
        <w:tc>
          <w:tcPr>
            <w:tcW w:w="1417"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н/д</w:t>
            </w:r>
          </w:p>
        </w:tc>
        <w:tc>
          <w:tcPr>
            <w:tcW w:w="1418"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н/д</w:t>
            </w:r>
          </w:p>
        </w:tc>
        <w:tc>
          <w:tcPr>
            <w:tcW w:w="1559"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140</w:t>
            </w:r>
            <w:r w:rsidR="00A96D41" w:rsidRPr="00577593">
              <w:rPr>
                <w:rFonts w:ascii="Times New Roman" w:eastAsia="Aptos" w:hAnsi="Times New Roman"/>
                <w:sz w:val="20"/>
                <w:szCs w:val="20"/>
              </w:rPr>
              <w:t> </w:t>
            </w:r>
            <w:r w:rsidRPr="00577593">
              <w:rPr>
                <w:rFonts w:ascii="Times New Roman" w:eastAsia="Aptos" w:hAnsi="Times New Roman"/>
                <w:sz w:val="20"/>
                <w:szCs w:val="20"/>
              </w:rPr>
              <w:t>072</w:t>
            </w:r>
            <w:r w:rsidR="00A96D41" w:rsidRPr="00577593">
              <w:rPr>
                <w:rFonts w:ascii="Times New Roman" w:eastAsia="Aptos" w:hAnsi="Times New Roman"/>
                <w:sz w:val="20"/>
                <w:szCs w:val="20"/>
              </w:rPr>
              <w:t>,2</w:t>
            </w:r>
          </w:p>
        </w:tc>
        <w:tc>
          <w:tcPr>
            <w:tcW w:w="1276"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77</w:t>
            </w:r>
          </w:p>
        </w:tc>
        <w:tc>
          <w:tcPr>
            <w:tcW w:w="1440" w:type="dxa"/>
            <w:shd w:val="clear" w:color="auto" w:fill="auto"/>
          </w:tcPr>
          <w:p w:rsidR="00FC41F4" w:rsidRPr="00577593" w:rsidRDefault="00D73AF2"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11,</w:t>
            </w:r>
            <w:r w:rsidR="008925FA" w:rsidRPr="00577593">
              <w:rPr>
                <w:rFonts w:ascii="Times New Roman" w:eastAsia="Aptos" w:hAnsi="Times New Roman"/>
                <w:sz w:val="20"/>
                <w:szCs w:val="20"/>
              </w:rPr>
              <w:t>7</w:t>
            </w:r>
          </w:p>
        </w:tc>
      </w:tr>
      <w:tr w:rsidR="00FC41F4" w:rsidRPr="00577593" w:rsidTr="00842245">
        <w:tc>
          <w:tcPr>
            <w:tcW w:w="817" w:type="dxa"/>
            <w:shd w:val="clear" w:color="auto" w:fill="auto"/>
          </w:tcPr>
          <w:p w:rsidR="00FC41F4" w:rsidRPr="00577593" w:rsidRDefault="008925FA" w:rsidP="002000D4">
            <w:pPr>
              <w:spacing w:after="0" w:line="240" w:lineRule="auto"/>
              <w:jc w:val="both"/>
              <w:rPr>
                <w:rFonts w:ascii="Times New Roman" w:eastAsia="Aptos" w:hAnsi="Times New Roman"/>
                <w:sz w:val="20"/>
                <w:szCs w:val="20"/>
              </w:rPr>
            </w:pPr>
            <w:r w:rsidRPr="00577593">
              <w:rPr>
                <w:rFonts w:ascii="Times New Roman" w:eastAsia="Aptos" w:hAnsi="Times New Roman"/>
                <w:sz w:val="20"/>
                <w:szCs w:val="20"/>
              </w:rPr>
              <w:t>2014</w:t>
            </w:r>
          </w:p>
        </w:tc>
        <w:tc>
          <w:tcPr>
            <w:tcW w:w="1418"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н/д</w:t>
            </w:r>
          </w:p>
        </w:tc>
        <w:tc>
          <w:tcPr>
            <w:tcW w:w="1417"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н/д</w:t>
            </w:r>
          </w:p>
        </w:tc>
        <w:tc>
          <w:tcPr>
            <w:tcW w:w="1418"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н/д</w:t>
            </w:r>
          </w:p>
        </w:tc>
        <w:tc>
          <w:tcPr>
            <w:tcW w:w="1559"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311</w:t>
            </w:r>
            <w:r w:rsidR="00A96D41" w:rsidRPr="00577593">
              <w:rPr>
                <w:rFonts w:ascii="Times New Roman" w:eastAsia="Aptos" w:hAnsi="Times New Roman"/>
                <w:sz w:val="20"/>
                <w:szCs w:val="20"/>
              </w:rPr>
              <w:t> </w:t>
            </w:r>
            <w:r w:rsidRPr="00577593">
              <w:rPr>
                <w:rFonts w:ascii="Times New Roman" w:eastAsia="Aptos" w:hAnsi="Times New Roman"/>
                <w:sz w:val="20"/>
                <w:szCs w:val="20"/>
              </w:rPr>
              <w:t>003</w:t>
            </w:r>
            <w:r w:rsidR="00A96D41" w:rsidRPr="00577593">
              <w:rPr>
                <w:rFonts w:ascii="Times New Roman" w:eastAsia="Aptos" w:hAnsi="Times New Roman"/>
                <w:sz w:val="20"/>
                <w:szCs w:val="20"/>
              </w:rPr>
              <w:t>,6</w:t>
            </w:r>
          </w:p>
        </w:tc>
        <w:tc>
          <w:tcPr>
            <w:tcW w:w="1276"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127</w:t>
            </w:r>
          </w:p>
        </w:tc>
        <w:tc>
          <w:tcPr>
            <w:tcW w:w="1440" w:type="dxa"/>
            <w:shd w:val="clear" w:color="auto" w:fill="auto"/>
          </w:tcPr>
          <w:p w:rsidR="00FC41F4" w:rsidRPr="00577593" w:rsidRDefault="00D73AF2"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23,</w:t>
            </w:r>
            <w:r w:rsidR="008925FA" w:rsidRPr="00577593">
              <w:rPr>
                <w:rFonts w:ascii="Times New Roman" w:eastAsia="Aptos" w:hAnsi="Times New Roman"/>
                <w:sz w:val="20"/>
                <w:szCs w:val="20"/>
              </w:rPr>
              <w:t>6</w:t>
            </w:r>
          </w:p>
        </w:tc>
      </w:tr>
      <w:tr w:rsidR="00FC41F4" w:rsidRPr="00577593" w:rsidTr="00842245">
        <w:tc>
          <w:tcPr>
            <w:tcW w:w="817" w:type="dxa"/>
            <w:shd w:val="clear" w:color="auto" w:fill="auto"/>
          </w:tcPr>
          <w:p w:rsidR="00FC41F4" w:rsidRPr="00577593" w:rsidRDefault="008925FA" w:rsidP="002000D4">
            <w:pPr>
              <w:spacing w:after="0" w:line="240" w:lineRule="auto"/>
              <w:jc w:val="both"/>
              <w:rPr>
                <w:rFonts w:ascii="Times New Roman" w:eastAsia="Aptos" w:hAnsi="Times New Roman"/>
                <w:sz w:val="20"/>
                <w:szCs w:val="20"/>
              </w:rPr>
            </w:pPr>
            <w:r w:rsidRPr="00577593">
              <w:rPr>
                <w:rFonts w:ascii="Times New Roman" w:eastAsia="Aptos" w:hAnsi="Times New Roman"/>
                <w:sz w:val="20"/>
                <w:szCs w:val="20"/>
              </w:rPr>
              <w:t>2013</w:t>
            </w:r>
          </w:p>
        </w:tc>
        <w:tc>
          <w:tcPr>
            <w:tcW w:w="1418"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262 740,0</w:t>
            </w:r>
          </w:p>
        </w:tc>
        <w:tc>
          <w:tcPr>
            <w:tcW w:w="1417"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н/д</w:t>
            </w:r>
          </w:p>
        </w:tc>
        <w:tc>
          <w:tcPr>
            <w:tcW w:w="1418"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н/д</w:t>
            </w:r>
          </w:p>
        </w:tc>
        <w:tc>
          <w:tcPr>
            <w:tcW w:w="1559"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376</w:t>
            </w:r>
            <w:r w:rsidR="00A96D41" w:rsidRPr="00577593">
              <w:rPr>
                <w:rFonts w:ascii="Times New Roman" w:eastAsia="Aptos" w:hAnsi="Times New Roman"/>
                <w:sz w:val="20"/>
                <w:szCs w:val="20"/>
              </w:rPr>
              <w:t> </w:t>
            </w:r>
            <w:r w:rsidRPr="00577593">
              <w:rPr>
                <w:rFonts w:ascii="Times New Roman" w:eastAsia="Aptos" w:hAnsi="Times New Roman"/>
                <w:sz w:val="20"/>
                <w:szCs w:val="20"/>
              </w:rPr>
              <w:t>655</w:t>
            </w:r>
            <w:r w:rsidR="00A96D41" w:rsidRPr="00577593">
              <w:rPr>
                <w:rFonts w:ascii="Times New Roman" w:eastAsia="Aptos" w:hAnsi="Times New Roman"/>
                <w:sz w:val="20"/>
                <w:szCs w:val="20"/>
              </w:rPr>
              <w:t>,2</w:t>
            </w:r>
          </w:p>
        </w:tc>
        <w:tc>
          <w:tcPr>
            <w:tcW w:w="1276"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67</w:t>
            </w:r>
          </w:p>
        </w:tc>
        <w:tc>
          <w:tcPr>
            <w:tcW w:w="1440"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35</w:t>
            </w:r>
            <w:r w:rsidR="00D73AF2" w:rsidRPr="00577593">
              <w:rPr>
                <w:rFonts w:ascii="Times New Roman" w:eastAsia="Aptos" w:hAnsi="Times New Roman"/>
                <w:sz w:val="20"/>
                <w:szCs w:val="20"/>
              </w:rPr>
              <w:t>,5</w:t>
            </w:r>
          </w:p>
        </w:tc>
      </w:tr>
    </w:tbl>
    <w:p w:rsidR="00FC41F4" w:rsidRPr="00577593" w:rsidRDefault="008925FA" w:rsidP="002000D4">
      <w:pPr>
        <w:pStyle w:val="aff9"/>
        <w:ind w:firstLine="709"/>
        <w:jc w:val="both"/>
        <w:rPr>
          <w:rFonts w:ascii="Times New Roman" w:hAnsi="Times New Roman"/>
          <w:i w:val="0"/>
          <w:color w:val="auto"/>
          <w:sz w:val="28"/>
          <w:szCs w:val="28"/>
        </w:rPr>
      </w:pPr>
      <w:r w:rsidRPr="00577593">
        <w:rPr>
          <w:rFonts w:ascii="Times New Roman" w:hAnsi="Times New Roman"/>
          <w:i w:val="0"/>
          <w:color w:val="auto"/>
          <w:sz w:val="28"/>
          <w:szCs w:val="28"/>
        </w:rPr>
        <w:t xml:space="preserve">Примечание </w:t>
      </w:r>
      <w:r w:rsidR="0099669C" w:rsidRPr="00577593">
        <w:rPr>
          <w:rFonts w:ascii="Times New Roman" w:hAnsi="Times New Roman"/>
          <w:i w:val="0"/>
          <w:color w:val="auto"/>
          <w:sz w:val="28"/>
          <w:szCs w:val="28"/>
        </w:rPr>
        <w:t>–</w:t>
      </w:r>
      <w:r w:rsidRPr="00577593">
        <w:rPr>
          <w:rFonts w:ascii="Times New Roman" w:hAnsi="Times New Roman"/>
          <w:i w:val="0"/>
          <w:color w:val="auto"/>
          <w:sz w:val="28"/>
          <w:szCs w:val="28"/>
        </w:rPr>
        <w:t xml:space="preserve"> Источник: на основе данных </w:t>
      </w:r>
      <w:r w:rsidR="00125D12" w:rsidRPr="00577593">
        <w:rPr>
          <w:rFonts w:ascii="Times New Roman" w:hAnsi="Times New Roman"/>
          <w:i w:val="0"/>
          <w:color w:val="auto"/>
          <w:sz w:val="28"/>
          <w:szCs w:val="28"/>
        </w:rPr>
        <w:t>к</w:t>
      </w:r>
      <w:r w:rsidRPr="00577593">
        <w:rPr>
          <w:rFonts w:ascii="Times New Roman" w:hAnsi="Times New Roman"/>
          <w:i w:val="0"/>
          <w:color w:val="auto"/>
          <w:sz w:val="28"/>
          <w:szCs w:val="28"/>
        </w:rPr>
        <w:t>омитета по управлению муниципальной собственностью города Барнаула</w:t>
      </w:r>
    </w:p>
    <w:p w:rsidR="00FC41F4" w:rsidRPr="00577593" w:rsidRDefault="008925FA" w:rsidP="002000D4">
      <w:pPr>
        <w:spacing w:after="0" w:line="240" w:lineRule="auto"/>
        <w:ind w:firstLine="709"/>
        <w:jc w:val="both"/>
        <w:rPr>
          <w:rFonts w:ascii="Times New Roman" w:hAnsi="Times New Roman"/>
          <w:b/>
          <w:sz w:val="28"/>
          <w:szCs w:val="28"/>
        </w:rPr>
      </w:pPr>
      <w:r w:rsidRPr="00577593">
        <w:rPr>
          <w:rFonts w:ascii="Times New Roman" w:hAnsi="Times New Roman"/>
          <w:b/>
          <w:sz w:val="28"/>
          <w:szCs w:val="28"/>
        </w:rPr>
        <w:t>Бесхозяйное имущество</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Одна из актуальных проблем </w:t>
      </w:r>
      <w:r w:rsidR="00955692">
        <w:rPr>
          <w:rFonts w:ascii="Times New Roman" w:hAnsi="Times New Roman"/>
          <w:sz w:val="28"/>
          <w:szCs w:val="28"/>
        </w:rPr>
        <w:t xml:space="preserve">города </w:t>
      </w:r>
      <w:r w:rsidRPr="00577593">
        <w:rPr>
          <w:rFonts w:ascii="Times New Roman" w:hAnsi="Times New Roman"/>
          <w:sz w:val="28"/>
          <w:szCs w:val="28"/>
        </w:rPr>
        <w:t xml:space="preserve">Барнаула </w:t>
      </w:r>
      <w:r w:rsidR="0099669C" w:rsidRPr="00577593">
        <w:rPr>
          <w:rFonts w:ascii="Times New Roman" w:hAnsi="Times New Roman"/>
          <w:sz w:val="28"/>
          <w:szCs w:val="28"/>
        </w:rPr>
        <w:t>–</w:t>
      </w:r>
      <w:r w:rsidRPr="00577593">
        <w:rPr>
          <w:rFonts w:ascii="Times New Roman" w:hAnsi="Times New Roman"/>
          <w:sz w:val="28"/>
          <w:szCs w:val="28"/>
        </w:rPr>
        <w:t xml:space="preserve"> наличие бесхозяйного имущества. Его количество значительно сократилось с 2017 года, доля объектов, оформленных в муниципальную собственность, выросла </w:t>
      </w:r>
      <w:r w:rsidR="008C1C22">
        <w:rPr>
          <w:rFonts w:ascii="Times New Roman" w:hAnsi="Times New Roman"/>
          <w:sz w:val="28"/>
          <w:szCs w:val="28"/>
        </w:rPr>
        <w:br/>
      </w:r>
      <w:r w:rsidRPr="00577593">
        <w:rPr>
          <w:rFonts w:ascii="Times New Roman" w:hAnsi="Times New Roman"/>
          <w:sz w:val="28"/>
          <w:szCs w:val="28"/>
        </w:rPr>
        <w:t>на 31 п.п. и достигла 69,6%, почти на 20 п.п. увеличилась доля объектов энергетики и коммунальной сферы, на которые зарегистрировано право муниципальной собственности (</w:t>
      </w:r>
      <w:r w:rsidR="00D558A5">
        <w:fldChar w:fldCharType="begin"/>
      </w:r>
      <w:r w:rsidR="00D558A5">
        <w:instrText xml:space="preserve"> REF _Ref199469234 \h  \* MERGEFORMAT </w:instrText>
      </w:r>
      <w:r w:rsidR="00D558A5">
        <w:fldChar w:fldCharType="separate"/>
      </w:r>
      <w:r w:rsidR="00071499" w:rsidRPr="00577593">
        <w:rPr>
          <w:rFonts w:ascii="Times New Roman" w:hAnsi="Times New Roman"/>
          <w:sz w:val="28"/>
          <w:szCs w:val="28"/>
        </w:rPr>
        <w:t xml:space="preserve">Таблица </w:t>
      </w:r>
      <w:r w:rsidR="00071499">
        <w:rPr>
          <w:rFonts w:ascii="Times New Roman" w:hAnsi="Times New Roman"/>
          <w:sz w:val="28"/>
          <w:szCs w:val="28"/>
        </w:rPr>
        <w:t>20</w:t>
      </w:r>
      <w:r w:rsidR="00D558A5">
        <w:fldChar w:fldCharType="end"/>
      </w:r>
      <w:r w:rsidRPr="00577593">
        <w:rPr>
          <w:rFonts w:ascii="Times New Roman" w:hAnsi="Times New Roman"/>
          <w:sz w:val="28"/>
          <w:szCs w:val="28"/>
        </w:rPr>
        <w:t>).</w:t>
      </w:r>
    </w:p>
    <w:p w:rsidR="00842245" w:rsidRPr="008C1C22" w:rsidRDefault="00842245" w:rsidP="002000D4">
      <w:pPr>
        <w:spacing w:after="0" w:line="240" w:lineRule="auto"/>
        <w:ind w:firstLine="709"/>
        <w:jc w:val="both"/>
        <w:rPr>
          <w:rFonts w:ascii="Times New Roman" w:hAnsi="Times New Roman"/>
        </w:rPr>
      </w:pPr>
    </w:p>
    <w:p w:rsidR="00FC41F4" w:rsidRPr="00577593" w:rsidRDefault="008925FA" w:rsidP="002000D4">
      <w:pPr>
        <w:spacing w:after="0" w:line="240" w:lineRule="auto"/>
        <w:contextualSpacing/>
        <w:jc w:val="both"/>
        <w:rPr>
          <w:rFonts w:ascii="Times New Roman" w:hAnsi="Times New Roman"/>
          <w:sz w:val="28"/>
          <w:szCs w:val="28"/>
        </w:rPr>
      </w:pPr>
      <w:bookmarkStart w:id="197" w:name="_Ref199469234"/>
      <w:r w:rsidRPr="00577593">
        <w:rPr>
          <w:rFonts w:ascii="Times New Roman" w:hAnsi="Times New Roman"/>
          <w:sz w:val="28"/>
          <w:szCs w:val="28"/>
        </w:rPr>
        <w:t xml:space="preserve">Таблица </w:t>
      </w:r>
      <w:r w:rsidR="00074AE5" w:rsidRPr="00577593">
        <w:rPr>
          <w:rFonts w:ascii="Times New Roman" w:hAnsi="Times New Roman"/>
          <w:sz w:val="28"/>
          <w:szCs w:val="28"/>
        </w:rPr>
        <w:fldChar w:fldCharType="begin"/>
      </w:r>
      <w:r w:rsidRPr="00577593">
        <w:rPr>
          <w:rFonts w:ascii="Times New Roman" w:hAnsi="Times New Roman"/>
          <w:sz w:val="28"/>
          <w:szCs w:val="28"/>
        </w:rPr>
        <w:instrText xml:space="preserve"> SEQ Таблица \* ARABIC </w:instrText>
      </w:r>
      <w:r w:rsidR="00074AE5" w:rsidRPr="00577593">
        <w:rPr>
          <w:rFonts w:ascii="Times New Roman" w:hAnsi="Times New Roman"/>
          <w:sz w:val="28"/>
          <w:szCs w:val="28"/>
        </w:rPr>
        <w:fldChar w:fldCharType="separate"/>
      </w:r>
      <w:r w:rsidR="00071499">
        <w:rPr>
          <w:rFonts w:ascii="Times New Roman" w:hAnsi="Times New Roman"/>
          <w:noProof/>
          <w:sz w:val="28"/>
          <w:szCs w:val="28"/>
        </w:rPr>
        <w:t>20</w:t>
      </w:r>
      <w:r w:rsidR="00074AE5" w:rsidRPr="00577593">
        <w:rPr>
          <w:rFonts w:ascii="Times New Roman" w:hAnsi="Times New Roman"/>
          <w:sz w:val="28"/>
          <w:szCs w:val="28"/>
        </w:rPr>
        <w:fldChar w:fldCharType="end"/>
      </w:r>
      <w:bookmarkEnd w:id="197"/>
      <w:r w:rsidRPr="00577593">
        <w:rPr>
          <w:rFonts w:ascii="Times New Roman" w:hAnsi="Times New Roman"/>
          <w:sz w:val="28"/>
          <w:szCs w:val="28"/>
        </w:rPr>
        <w:t xml:space="preserve"> </w:t>
      </w:r>
      <w:r w:rsidR="0099669C" w:rsidRPr="00577593">
        <w:rPr>
          <w:rFonts w:ascii="Times New Roman" w:hAnsi="Times New Roman"/>
          <w:sz w:val="28"/>
          <w:szCs w:val="28"/>
        </w:rPr>
        <w:t>–</w:t>
      </w:r>
      <w:r w:rsidRPr="00577593">
        <w:rPr>
          <w:rFonts w:ascii="Times New Roman" w:hAnsi="Times New Roman"/>
          <w:sz w:val="28"/>
          <w:szCs w:val="28"/>
        </w:rPr>
        <w:t xml:space="preserve"> Учет бесхозяйн</w:t>
      </w:r>
      <w:r w:rsidR="00AD2E92" w:rsidRPr="00577593">
        <w:rPr>
          <w:rFonts w:ascii="Times New Roman" w:hAnsi="Times New Roman"/>
          <w:sz w:val="28"/>
          <w:szCs w:val="28"/>
        </w:rPr>
        <w:t xml:space="preserve">ого имущества в </w:t>
      </w:r>
      <w:r w:rsidR="00955692">
        <w:rPr>
          <w:rFonts w:ascii="Times New Roman" w:hAnsi="Times New Roman"/>
          <w:sz w:val="28"/>
          <w:szCs w:val="28"/>
        </w:rPr>
        <w:t xml:space="preserve">городе </w:t>
      </w:r>
      <w:r w:rsidR="00AD2E92" w:rsidRPr="00577593">
        <w:rPr>
          <w:rFonts w:ascii="Times New Roman" w:hAnsi="Times New Roman"/>
          <w:sz w:val="28"/>
          <w:szCs w:val="28"/>
        </w:rPr>
        <w:t xml:space="preserve">Барнауле </w:t>
      </w:r>
      <w:r w:rsidR="00955692">
        <w:rPr>
          <w:rFonts w:ascii="Times New Roman" w:hAnsi="Times New Roman"/>
          <w:sz w:val="28"/>
          <w:szCs w:val="28"/>
        </w:rPr>
        <w:br/>
      </w:r>
      <w:r w:rsidR="00AD2E92" w:rsidRPr="00577593">
        <w:rPr>
          <w:rFonts w:ascii="Times New Roman" w:hAnsi="Times New Roman"/>
          <w:sz w:val="28"/>
          <w:szCs w:val="28"/>
        </w:rPr>
        <w:t>в 2017-2024 год</w:t>
      </w:r>
      <w:r w:rsidR="00955692">
        <w:rPr>
          <w:rFonts w:ascii="Times New Roman" w:hAnsi="Times New Roman"/>
          <w:sz w:val="28"/>
          <w:szCs w:val="28"/>
        </w:rPr>
        <w:t>ах</w:t>
      </w: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49"/>
        <w:gridCol w:w="2863"/>
        <w:gridCol w:w="3205"/>
        <w:gridCol w:w="2234"/>
      </w:tblGrid>
      <w:tr w:rsidR="00FC41F4" w:rsidRPr="00577593" w:rsidTr="00EE2F1D">
        <w:tc>
          <w:tcPr>
            <w:tcW w:w="1049" w:type="dxa"/>
            <w:shd w:val="clear" w:color="auto" w:fill="auto"/>
          </w:tcPr>
          <w:p w:rsidR="00FC41F4" w:rsidRPr="00577593" w:rsidRDefault="008925FA" w:rsidP="002000D4">
            <w:pPr>
              <w:spacing w:after="0" w:line="240" w:lineRule="auto"/>
              <w:jc w:val="both"/>
              <w:rPr>
                <w:rFonts w:ascii="Times New Roman" w:eastAsia="Aptos" w:hAnsi="Times New Roman"/>
                <w:sz w:val="20"/>
                <w:szCs w:val="20"/>
              </w:rPr>
            </w:pPr>
            <w:r w:rsidRPr="00577593">
              <w:rPr>
                <w:rFonts w:ascii="Times New Roman" w:eastAsia="Aptos" w:hAnsi="Times New Roman"/>
                <w:sz w:val="20"/>
                <w:szCs w:val="20"/>
              </w:rPr>
              <w:t>Год</w:t>
            </w:r>
          </w:p>
        </w:tc>
        <w:tc>
          <w:tcPr>
            <w:tcW w:w="2863" w:type="dxa"/>
            <w:shd w:val="clear" w:color="auto" w:fill="auto"/>
          </w:tcPr>
          <w:p w:rsidR="00FC41F4" w:rsidRPr="00577593" w:rsidRDefault="008925FA" w:rsidP="002000D4">
            <w:pPr>
              <w:spacing w:after="0" w:line="240" w:lineRule="auto"/>
              <w:rPr>
                <w:rFonts w:ascii="Times New Roman" w:eastAsia="Aptos" w:hAnsi="Times New Roman"/>
                <w:sz w:val="20"/>
                <w:szCs w:val="20"/>
              </w:rPr>
            </w:pPr>
            <w:r w:rsidRPr="00577593">
              <w:rPr>
                <w:rFonts w:ascii="Times New Roman" w:eastAsia="Aptos" w:hAnsi="Times New Roman"/>
                <w:sz w:val="20"/>
                <w:szCs w:val="20"/>
              </w:rPr>
              <w:t>Количество объектов инженерной инфраструктуры, поставленных на учет в качестве бесхозяйных объектов в управлении Федеральной службы государственной регистрации, кадастра и картографии по Алтайскому краю,</w:t>
            </w:r>
          </w:p>
          <w:p w:rsidR="00FC41F4" w:rsidRPr="00577593" w:rsidRDefault="008925FA" w:rsidP="002000D4">
            <w:pPr>
              <w:spacing w:after="0" w:line="240" w:lineRule="auto"/>
              <w:rPr>
                <w:rFonts w:ascii="Times New Roman" w:eastAsia="Aptos" w:hAnsi="Times New Roman"/>
                <w:sz w:val="20"/>
                <w:szCs w:val="20"/>
              </w:rPr>
            </w:pPr>
            <w:r w:rsidRPr="00577593">
              <w:rPr>
                <w:rFonts w:ascii="Times New Roman" w:eastAsia="Aptos" w:hAnsi="Times New Roman"/>
                <w:sz w:val="20"/>
                <w:szCs w:val="20"/>
              </w:rPr>
              <w:t>202</w:t>
            </w:r>
            <w:r w:rsidR="008F5DD1" w:rsidRPr="00577593">
              <w:rPr>
                <w:rFonts w:ascii="Times New Roman" w:eastAsia="Aptos" w:hAnsi="Times New Roman"/>
                <w:sz w:val="20"/>
                <w:szCs w:val="20"/>
              </w:rPr>
              <w:t>1</w:t>
            </w:r>
            <w:r w:rsidRPr="00577593">
              <w:rPr>
                <w:rFonts w:ascii="Times New Roman" w:eastAsia="Aptos" w:hAnsi="Times New Roman"/>
                <w:sz w:val="20"/>
                <w:szCs w:val="20"/>
              </w:rPr>
              <w:t>-2024 гг. – шт.</w:t>
            </w:r>
          </w:p>
          <w:p w:rsidR="00FC41F4" w:rsidRPr="00577593" w:rsidRDefault="008925FA" w:rsidP="002000D4">
            <w:pPr>
              <w:spacing w:after="0" w:line="240" w:lineRule="auto"/>
              <w:rPr>
                <w:rFonts w:ascii="Times New Roman" w:eastAsia="Aptos" w:hAnsi="Times New Roman"/>
                <w:sz w:val="20"/>
                <w:szCs w:val="20"/>
              </w:rPr>
            </w:pPr>
            <w:r w:rsidRPr="00577593">
              <w:rPr>
                <w:rFonts w:ascii="Times New Roman" w:eastAsia="Aptos" w:hAnsi="Times New Roman"/>
                <w:sz w:val="20"/>
                <w:szCs w:val="20"/>
              </w:rPr>
              <w:t>до 202</w:t>
            </w:r>
            <w:r w:rsidR="008F5DD1" w:rsidRPr="00577593">
              <w:rPr>
                <w:rFonts w:ascii="Times New Roman" w:eastAsia="Aptos" w:hAnsi="Times New Roman"/>
                <w:sz w:val="20"/>
                <w:szCs w:val="20"/>
              </w:rPr>
              <w:t>0</w:t>
            </w:r>
            <w:r w:rsidRPr="00577593">
              <w:rPr>
                <w:rFonts w:ascii="Times New Roman" w:eastAsia="Aptos" w:hAnsi="Times New Roman"/>
                <w:sz w:val="20"/>
                <w:szCs w:val="20"/>
              </w:rPr>
              <w:t xml:space="preserve"> г. </w:t>
            </w:r>
            <w:r w:rsidR="0099669C" w:rsidRPr="00577593">
              <w:rPr>
                <w:rFonts w:ascii="Times New Roman" w:eastAsia="Aptos" w:hAnsi="Times New Roman"/>
                <w:sz w:val="20"/>
                <w:szCs w:val="20"/>
              </w:rPr>
              <w:t>–</w:t>
            </w:r>
            <w:r w:rsidRPr="00577593">
              <w:rPr>
                <w:rFonts w:ascii="Times New Roman" w:eastAsia="Aptos" w:hAnsi="Times New Roman"/>
                <w:sz w:val="20"/>
                <w:szCs w:val="20"/>
              </w:rPr>
              <w:t xml:space="preserve"> км</w:t>
            </w:r>
          </w:p>
        </w:tc>
        <w:tc>
          <w:tcPr>
            <w:tcW w:w="3205" w:type="dxa"/>
            <w:shd w:val="clear" w:color="auto" w:fill="auto"/>
          </w:tcPr>
          <w:p w:rsidR="00FC41F4" w:rsidRPr="00577593" w:rsidRDefault="008925FA" w:rsidP="002000D4">
            <w:pPr>
              <w:spacing w:after="0" w:line="240" w:lineRule="auto"/>
              <w:rPr>
                <w:rFonts w:ascii="Times New Roman" w:eastAsia="Aptos" w:hAnsi="Times New Roman"/>
                <w:sz w:val="20"/>
                <w:szCs w:val="20"/>
              </w:rPr>
            </w:pPr>
            <w:r w:rsidRPr="00577593">
              <w:rPr>
                <w:rFonts w:ascii="Times New Roman" w:eastAsia="Aptos" w:hAnsi="Times New Roman"/>
                <w:sz w:val="20"/>
                <w:szCs w:val="20"/>
              </w:rPr>
              <w:t>Доля объектов энергетики и коммунальной сферы, в отношении которых право муниципальной собственности зарегистрировано в соответствии с законодательством Российской Федерации (с учетом бесхозяйных объектов), от их общего количества на территории муниципального образования, %</w:t>
            </w:r>
          </w:p>
        </w:tc>
        <w:tc>
          <w:tcPr>
            <w:tcW w:w="2234" w:type="dxa"/>
            <w:shd w:val="clear" w:color="auto" w:fill="auto"/>
          </w:tcPr>
          <w:p w:rsidR="00FC41F4" w:rsidRPr="00577593" w:rsidRDefault="008925FA" w:rsidP="002000D4">
            <w:pPr>
              <w:spacing w:after="0" w:line="240" w:lineRule="auto"/>
              <w:rPr>
                <w:rFonts w:ascii="Times New Roman" w:eastAsia="Aptos" w:hAnsi="Times New Roman"/>
                <w:sz w:val="20"/>
                <w:szCs w:val="20"/>
              </w:rPr>
            </w:pPr>
            <w:r w:rsidRPr="00577593">
              <w:rPr>
                <w:rFonts w:ascii="Times New Roman" w:eastAsia="Aptos" w:hAnsi="Times New Roman"/>
                <w:sz w:val="20"/>
                <w:szCs w:val="20"/>
              </w:rPr>
              <w:t>Доля объектов, на которые оформлено право муниципальной собственности в общем количестве объектов, внесенных в Реестр муниципального имущества, %</w:t>
            </w:r>
          </w:p>
        </w:tc>
      </w:tr>
      <w:tr w:rsidR="00FC41F4" w:rsidRPr="00577593" w:rsidTr="00EE2F1D">
        <w:tc>
          <w:tcPr>
            <w:tcW w:w="1049" w:type="dxa"/>
            <w:shd w:val="clear" w:color="auto" w:fill="auto"/>
          </w:tcPr>
          <w:p w:rsidR="00FC41F4" w:rsidRPr="00577593" w:rsidRDefault="008925FA" w:rsidP="002000D4">
            <w:pPr>
              <w:spacing w:after="0" w:line="240" w:lineRule="auto"/>
              <w:jc w:val="both"/>
              <w:rPr>
                <w:rFonts w:ascii="Times New Roman" w:eastAsia="Aptos" w:hAnsi="Times New Roman"/>
                <w:sz w:val="20"/>
                <w:szCs w:val="20"/>
              </w:rPr>
            </w:pPr>
            <w:r w:rsidRPr="00577593">
              <w:rPr>
                <w:rFonts w:ascii="Times New Roman" w:eastAsia="Aptos" w:hAnsi="Times New Roman"/>
                <w:sz w:val="20"/>
                <w:szCs w:val="20"/>
              </w:rPr>
              <w:t>2024</w:t>
            </w:r>
          </w:p>
        </w:tc>
        <w:tc>
          <w:tcPr>
            <w:tcW w:w="2863" w:type="dxa"/>
            <w:shd w:val="clear" w:color="auto" w:fill="auto"/>
          </w:tcPr>
          <w:p w:rsidR="00FC41F4" w:rsidRPr="00577593" w:rsidRDefault="008F5DD1" w:rsidP="002000D4">
            <w:pPr>
              <w:spacing w:after="0" w:line="240" w:lineRule="auto"/>
              <w:jc w:val="center"/>
              <w:rPr>
                <w:rFonts w:ascii="Times New Roman" w:eastAsia="Times New Roman" w:hAnsi="Times New Roman"/>
                <w:sz w:val="20"/>
                <w:szCs w:val="20"/>
              </w:rPr>
            </w:pPr>
            <w:r w:rsidRPr="00577593">
              <w:rPr>
                <w:rFonts w:ascii="Times New Roman" w:eastAsia="Times New Roman" w:hAnsi="Times New Roman"/>
                <w:sz w:val="20"/>
                <w:szCs w:val="20"/>
              </w:rPr>
              <w:t>423</w:t>
            </w:r>
          </w:p>
        </w:tc>
        <w:tc>
          <w:tcPr>
            <w:tcW w:w="3205"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67,9</w:t>
            </w:r>
          </w:p>
        </w:tc>
        <w:tc>
          <w:tcPr>
            <w:tcW w:w="2234"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69,6</w:t>
            </w:r>
          </w:p>
        </w:tc>
      </w:tr>
      <w:tr w:rsidR="00FC41F4" w:rsidRPr="00577593" w:rsidTr="00EE2F1D">
        <w:tc>
          <w:tcPr>
            <w:tcW w:w="1049" w:type="dxa"/>
            <w:shd w:val="clear" w:color="auto" w:fill="auto"/>
          </w:tcPr>
          <w:p w:rsidR="00FC41F4" w:rsidRPr="00577593" w:rsidRDefault="008925FA" w:rsidP="002000D4">
            <w:pPr>
              <w:spacing w:after="0" w:line="240" w:lineRule="auto"/>
              <w:jc w:val="both"/>
              <w:rPr>
                <w:rFonts w:ascii="Times New Roman" w:eastAsia="Aptos" w:hAnsi="Times New Roman"/>
                <w:sz w:val="20"/>
                <w:szCs w:val="20"/>
              </w:rPr>
            </w:pPr>
            <w:r w:rsidRPr="00577593">
              <w:rPr>
                <w:rFonts w:ascii="Times New Roman" w:eastAsia="Aptos" w:hAnsi="Times New Roman"/>
                <w:sz w:val="20"/>
                <w:szCs w:val="20"/>
              </w:rPr>
              <w:t>2023</w:t>
            </w:r>
          </w:p>
        </w:tc>
        <w:tc>
          <w:tcPr>
            <w:tcW w:w="2863" w:type="dxa"/>
            <w:shd w:val="clear" w:color="auto" w:fill="auto"/>
          </w:tcPr>
          <w:p w:rsidR="00FC41F4" w:rsidRPr="00577593" w:rsidRDefault="008F5DD1" w:rsidP="002000D4">
            <w:pPr>
              <w:spacing w:after="0" w:line="240" w:lineRule="auto"/>
              <w:jc w:val="center"/>
              <w:rPr>
                <w:rFonts w:ascii="Times New Roman" w:eastAsia="Times New Roman" w:hAnsi="Times New Roman"/>
                <w:sz w:val="20"/>
                <w:szCs w:val="20"/>
              </w:rPr>
            </w:pPr>
            <w:r w:rsidRPr="00577593">
              <w:rPr>
                <w:rFonts w:ascii="Times New Roman" w:eastAsia="Times New Roman" w:hAnsi="Times New Roman"/>
                <w:sz w:val="20"/>
                <w:szCs w:val="20"/>
              </w:rPr>
              <w:t>242</w:t>
            </w:r>
          </w:p>
        </w:tc>
        <w:tc>
          <w:tcPr>
            <w:tcW w:w="3205"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56,4</w:t>
            </w:r>
          </w:p>
        </w:tc>
        <w:tc>
          <w:tcPr>
            <w:tcW w:w="2234"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58,3</w:t>
            </w:r>
          </w:p>
        </w:tc>
      </w:tr>
      <w:tr w:rsidR="00FC41F4" w:rsidRPr="00577593" w:rsidTr="00EE2F1D">
        <w:tc>
          <w:tcPr>
            <w:tcW w:w="1049" w:type="dxa"/>
            <w:shd w:val="clear" w:color="auto" w:fill="auto"/>
          </w:tcPr>
          <w:p w:rsidR="00FC41F4" w:rsidRPr="00577593" w:rsidRDefault="008925FA" w:rsidP="002000D4">
            <w:pPr>
              <w:spacing w:after="0" w:line="240" w:lineRule="auto"/>
              <w:jc w:val="both"/>
              <w:rPr>
                <w:rFonts w:ascii="Times New Roman" w:eastAsia="Aptos" w:hAnsi="Times New Roman"/>
                <w:sz w:val="20"/>
                <w:szCs w:val="20"/>
              </w:rPr>
            </w:pPr>
            <w:r w:rsidRPr="00577593">
              <w:rPr>
                <w:rFonts w:ascii="Times New Roman" w:eastAsia="Aptos" w:hAnsi="Times New Roman"/>
                <w:sz w:val="20"/>
                <w:szCs w:val="20"/>
              </w:rPr>
              <w:t>2022</w:t>
            </w:r>
          </w:p>
        </w:tc>
        <w:tc>
          <w:tcPr>
            <w:tcW w:w="2863" w:type="dxa"/>
            <w:shd w:val="clear" w:color="auto" w:fill="auto"/>
          </w:tcPr>
          <w:p w:rsidR="00FC41F4" w:rsidRPr="00577593" w:rsidRDefault="008F5DD1"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46</w:t>
            </w:r>
          </w:p>
        </w:tc>
        <w:tc>
          <w:tcPr>
            <w:tcW w:w="3205"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63,8</w:t>
            </w:r>
          </w:p>
        </w:tc>
        <w:tc>
          <w:tcPr>
            <w:tcW w:w="2234"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55,0</w:t>
            </w:r>
          </w:p>
        </w:tc>
      </w:tr>
      <w:tr w:rsidR="00FC41F4" w:rsidRPr="00577593" w:rsidTr="00EE2F1D">
        <w:tc>
          <w:tcPr>
            <w:tcW w:w="1049" w:type="dxa"/>
            <w:shd w:val="clear" w:color="auto" w:fill="auto"/>
          </w:tcPr>
          <w:p w:rsidR="00FC41F4" w:rsidRPr="00577593" w:rsidRDefault="008925FA" w:rsidP="002000D4">
            <w:pPr>
              <w:spacing w:after="0" w:line="240" w:lineRule="auto"/>
              <w:jc w:val="both"/>
              <w:rPr>
                <w:rFonts w:ascii="Times New Roman" w:eastAsia="Aptos" w:hAnsi="Times New Roman"/>
                <w:sz w:val="20"/>
                <w:szCs w:val="20"/>
              </w:rPr>
            </w:pPr>
            <w:r w:rsidRPr="00577593">
              <w:rPr>
                <w:rFonts w:ascii="Times New Roman" w:eastAsia="Aptos" w:hAnsi="Times New Roman"/>
                <w:sz w:val="20"/>
                <w:szCs w:val="20"/>
              </w:rPr>
              <w:t>2021</w:t>
            </w:r>
          </w:p>
        </w:tc>
        <w:tc>
          <w:tcPr>
            <w:tcW w:w="2863" w:type="dxa"/>
            <w:shd w:val="clear" w:color="auto" w:fill="auto"/>
          </w:tcPr>
          <w:p w:rsidR="00FC41F4" w:rsidRPr="00577593" w:rsidRDefault="008F5DD1"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255</w:t>
            </w:r>
          </w:p>
        </w:tc>
        <w:tc>
          <w:tcPr>
            <w:tcW w:w="3205"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57,8</w:t>
            </w:r>
          </w:p>
        </w:tc>
        <w:tc>
          <w:tcPr>
            <w:tcW w:w="2234"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52,7</w:t>
            </w:r>
          </w:p>
        </w:tc>
      </w:tr>
      <w:tr w:rsidR="00FC41F4" w:rsidRPr="00577593" w:rsidTr="00EE2F1D">
        <w:tc>
          <w:tcPr>
            <w:tcW w:w="1049" w:type="dxa"/>
            <w:shd w:val="clear" w:color="auto" w:fill="auto"/>
          </w:tcPr>
          <w:p w:rsidR="00FC41F4" w:rsidRPr="00577593" w:rsidRDefault="008925FA" w:rsidP="002000D4">
            <w:pPr>
              <w:spacing w:after="0" w:line="240" w:lineRule="auto"/>
              <w:jc w:val="both"/>
              <w:rPr>
                <w:rFonts w:ascii="Times New Roman" w:eastAsia="Aptos" w:hAnsi="Times New Roman"/>
                <w:sz w:val="20"/>
                <w:szCs w:val="20"/>
              </w:rPr>
            </w:pPr>
            <w:r w:rsidRPr="00577593">
              <w:rPr>
                <w:rFonts w:ascii="Times New Roman" w:eastAsia="Aptos" w:hAnsi="Times New Roman"/>
                <w:sz w:val="20"/>
                <w:szCs w:val="20"/>
              </w:rPr>
              <w:t>2020</w:t>
            </w:r>
          </w:p>
        </w:tc>
        <w:tc>
          <w:tcPr>
            <w:tcW w:w="2863"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52,8</w:t>
            </w:r>
          </w:p>
        </w:tc>
        <w:tc>
          <w:tcPr>
            <w:tcW w:w="3205"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52,6</w:t>
            </w:r>
          </w:p>
        </w:tc>
        <w:tc>
          <w:tcPr>
            <w:tcW w:w="2234"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46,9</w:t>
            </w:r>
          </w:p>
        </w:tc>
      </w:tr>
      <w:tr w:rsidR="00FC41F4" w:rsidRPr="00577593" w:rsidTr="00EE2F1D">
        <w:tc>
          <w:tcPr>
            <w:tcW w:w="1049" w:type="dxa"/>
            <w:shd w:val="clear" w:color="auto" w:fill="auto"/>
          </w:tcPr>
          <w:p w:rsidR="00FC41F4" w:rsidRPr="00577593" w:rsidRDefault="008925FA" w:rsidP="002000D4">
            <w:pPr>
              <w:spacing w:after="0" w:line="240" w:lineRule="auto"/>
              <w:jc w:val="both"/>
              <w:rPr>
                <w:rFonts w:ascii="Times New Roman" w:eastAsia="Aptos" w:hAnsi="Times New Roman"/>
                <w:sz w:val="20"/>
                <w:szCs w:val="20"/>
              </w:rPr>
            </w:pPr>
            <w:r w:rsidRPr="00577593">
              <w:rPr>
                <w:rFonts w:ascii="Times New Roman" w:eastAsia="Aptos" w:hAnsi="Times New Roman"/>
                <w:sz w:val="20"/>
                <w:szCs w:val="20"/>
              </w:rPr>
              <w:t>2019</w:t>
            </w:r>
          </w:p>
        </w:tc>
        <w:tc>
          <w:tcPr>
            <w:tcW w:w="2863"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65,8</w:t>
            </w:r>
          </w:p>
        </w:tc>
        <w:tc>
          <w:tcPr>
            <w:tcW w:w="3205"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48,8</w:t>
            </w:r>
          </w:p>
        </w:tc>
        <w:tc>
          <w:tcPr>
            <w:tcW w:w="2234"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45,1</w:t>
            </w:r>
          </w:p>
        </w:tc>
      </w:tr>
      <w:tr w:rsidR="00FC41F4" w:rsidRPr="00577593" w:rsidTr="00EE2F1D">
        <w:tc>
          <w:tcPr>
            <w:tcW w:w="1049" w:type="dxa"/>
            <w:shd w:val="clear" w:color="auto" w:fill="auto"/>
          </w:tcPr>
          <w:p w:rsidR="00FC41F4" w:rsidRPr="00577593" w:rsidRDefault="008925FA" w:rsidP="002000D4">
            <w:pPr>
              <w:spacing w:after="0" w:line="240" w:lineRule="auto"/>
              <w:jc w:val="both"/>
              <w:rPr>
                <w:rFonts w:ascii="Times New Roman" w:eastAsia="Aptos" w:hAnsi="Times New Roman"/>
                <w:sz w:val="20"/>
                <w:szCs w:val="20"/>
              </w:rPr>
            </w:pPr>
            <w:r w:rsidRPr="00577593">
              <w:rPr>
                <w:rFonts w:ascii="Times New Roman" w:eastAsia="Aptos" w:hAnsi="Times New Roman"/>
                <w:sz w:val="20"/>
                <w:szCs w:val="20"/>
              </w:rPr>
              <w:t>2018</w:t>
            </w:r>
          </w:p>
        </w:tc>
        <w:tc>
          <w:tcPr>
            <w:tcW w:w="2863"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48,2</w:t>
            </w:r>
          </w:p>
        </w:tc>
        <w:tc>
          <w:tcPr>
            <w:tcW w:w="3205"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н/д</w:t>
            </w:r>
          </w:p>
        </w:tc>
        <w:tc>
          <w:tcPr>
            <w:tcW w:w="2234"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42,3</w:t>
            </w:r>
          </w:p>
        </w:tc>
      </w:tr>
      <w:tr w:rsidR="00FC41F4" w:rsidRPr="00577593" w:rsidTr="00EE2F1D">
        <w:tc>
          <w:tcPr>
            <w:tcW w:w="1049" w:type="dxa"/>
            <w:shd w:val="clear" w:color="auto" w:fill="auto"/>
          </w:tcPr>
          <w:p w:rsidR="00FC41F4" w:rsidRPr="00577593" w:rsidRDefault="008925FA" w:rsidP="002000D4">
            <w:pPr>
              <w:spacing w:after="0" w:line="240" w:lineRule="auto"/>
              <w:jc w:val="both"/>
              <w:rPr>
                <w:rFonts w:ascii="Times New Roman" w:eastAsia="Aptos" w:hAnsi="Times New Roman"/>
                <w:sz w:val="20"/>
                <w:szCs w:val="20"/>
              </w:rPr>
            </w:pPr>
            <w:r w:rsidRPr="00577593">
              <w:rPr>
                <w:rFonts w:ascii="Times New Roman" w:eastAsia="Aptos" w:hAnsi="Times New Roman"/>
                <w:sz w:val="20"/>
                <w:szCs w:val="20"/>
              </w:rPr>
              <w:t>2017</w:t>
            </w:r>
          </w:p>
        </w:tc>
        <w:tc>
          <w:tcPr>
            <w:tcW w:w="2863" w:type="dxa"/>
            <w:shd w:val="clear" w:color="auto" w:fill="auto"/>
          </w:tcPr>
          <w:p w:rsidR="00FC41F4" w:rsidRPr="00577593" w:rsidRDefault="008925FA" w:rsidP="002000D4">
            <w:pPr>
              <w:spacing w:after="0" w:line="240" w:lineRule="auto"/>
              <w:jc w:val="center"/>
              <w:rPr>
                <w:rFonts w:ascii="Times New Roman" w:eastAsia="MS Mincho" w:hAnsi="Times New Roman"/>
                <w:sz w:val="20"/>
                <w:szCs w:val="20"/>
              </w:rPr>
            </w:pPr>
            <w:r w:rsidRPr="00577593">
              <w:rPr>
                <w:rFonts w:ascii="Times New Roman" w:eastAsia="Aptos" w:hAnsi="Times New Roman"/>
                <w:sz w:val="20"/>
                <w:szCs w:val="20"/>
              </w:rPr>
              <w:t>93,5</w:t>
            </w:r>
          </w:p>
        </w:tc>
        <w:tc>
          <w:tcPr>
            <w:tcW w:w="3205"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н/д</w:t>
            </w:r>
          </w:p>
        </w:tc>
        <w:tc>
          <w:tcPr>
            <w:tcW w:w="2234" w:type="dxa"/>
            <w:shd w:val="clear" w:color="auto" w:fill="auto"/>
          </w:tcPr>
          <w:p w:rsidR="00FC41F4" w:rsidRPr="00577593" w:rsidRDefault="008925FA" w:rsidP="002000D4">
            <w:pPr>
              <w:spacing w:after="0" w:line="240" w:lineRule="auto"/>
              <w:jc w:val="center"/>
              <w:rPr>
                <w:rFonts w:ascii="Times New Roman" w:eastAsia="Aptos" w:hAnsi="Times New Roman"/>
                <w:sz w:val="20"/>
                <w:szCs w:val="20"/>
              </w:rPr>
            </w:pPr>
            <w:r w:rsidRPr="00577593">
              <w:rPr>
                <w:rFonts w:ascii="Times New Roman" w:eastAsia="Aptos" w:hAnsi="Times New Roman"/>
                <w:sz w:val="20"/>
                <w:szCs w:val="20"/>
              </w:rPr>
              <w:t>38,6</w:t>
            </w:r>
          </w:p>
        </w:tc>
      </w:tr>
    </w:tbl>
    <w:p w:rsidR="00FC41F4" w:rsidRDefault="008925FA" w:rsidP="008C1C22">
      <w:pPr>
        <w:pStyle w:val="aff9"/>
        <w:spacing w:after="0"/>
        <w:ind w:firstLine="709"/>
        <w:jc w:val="both"/>
        <w:rPr>
          <w:rFonts w:ascii="Times New Roman" w:hAnsi="Times New Roman"/>
          <w:i w:val="0"/>
          <w:color w:val="auto"/>
          <w:sz w:val="28"/>
          <w:szCs w:val="28"/>
        </w:rPr>
      </w:pPr>
      <w:r w:rsidRPr="00577593">
        <w:rPr>
          <w:rFonts w:ascii="Times New Roman" w:hAnsi="Times New Roman"/>
          <w:i w:val="0"/>
          <w:color w:val="auto"/>
          <w:sz w:val="28"/>
          <w:szCs w:val="28"/>
        </w:rPr>
        <w:t xml:space="preserve">Примечание </w:t>
      </w:r>
      <w:r w:rsidR="0099669C" w:rsidRPr="00577593">
        <w:rPr>
          <w:rFonts w:ascii="Times New Roman" w:hAnsi="Times New Roman"/>
          <w:i w:val="0"/>
          <w:color w:val="auto"/>
          <w:sz w:val="28"/>
          <w:szCs w:val="28"/>
        </w:rPr>
        <w:t>–</w:t>
      </w:r>
      <w:r w:rsidRPr="00577593">
        <w:rPr>
          <w:rFonts w:ascii="Times New Roman" w:hAnsi="Times New Roman"/>
          <w:i w:val="0"/>
          <w:color w:val="auto"/>
          <w:sz w:val="28"/>
          <w:szCs w:val="28"/>
        </w:rPr>
        <w:t xml:space="preserve"> Источник: на основе данных </w:t>
      </w:r>
      <w:r w:rsidRPr="00577593">
        <w:rPr>
          <w:rFonts w:ascii="Times New Roman" w:hAnsi="Times New Roman"/>
          <w:i w:val="0"/>
          <w:iCs w:val="0"/>
          <w:color w:val="auto"/>
          <w:sz w:val="28"/>
          <w:szCs w:val="28"/>
        </w:rPr>
        <w:t>администрации</w:t>
      </w:r>
      <w:r w:rsidRPr="00577593">
        <w:rPr>
          <w:rFonts w:ascii="Times New Roman" w:hAnsi="Times New Roman"/>
          <w:i w:val="0"/>
          <w:color w:val="auto"/>
          <w:sz w:val="28"/>
          <w:szCs w:val="28"/>
        </w:rPr>
        <w:t xml:space="preserve"> города </w:t>
      </w:r>
      <w:r w:rsidRPr="008C1C22">
        <w:rPr>
          <w:rFonts w:ascii="Times New Roman" w:hAnsi="Times New Roman"/>
          <w:i w:val="0"/>
          <w:color w:val="auto"/>
          <w:sz w:val="28"/>
          <w:szCs w:val="28"/>
        </w:rPr>
        <w:t>Барнаула</w:t>
      </w:r>
    </w:p>
    <w:p w:rsidR="008C1C22" w:rsidRPr="008C1C22" w:rsidRDefault="008C1C22" w:rsidP="008C1C22">
      <w:pPr>
        <w:spacing w:after="0" w:line="240" w:lineRule="auto"/>
        <w:rPr>
          <w:rFonts w:ascii="Times New Roman" w:hAnsi="Times New Roman"/>
          <w:sz w:val="28"/>
          <w:szCs w:val="28"/>
        </w:rPr>
      </w:pPr>
    </w:p>
    <w:p w:rsidR="008C1C22" w:rsidRPr="0047469B" w:rsidRDefault="008925FA" w:rsidP="008C1C22">
      <w:pPr>
        <w:pStyle w:val="my-2"/>
        <w:spacing w:before="0" w:beforeAutospacing="0" w:after="0" w:afterAutospacing="0"/>
        <w:ind w:firstLine="709"/>
        <w:jc w:val="both"/>
        <w:rPr>
          <w:sz w:val="28"/>
          <w:szCs w:val="28"/>
        </w:rPr>
      </w:pPr>
      <w:r w:rsidRPr="008C1C22">
        <w:rPr>
          <w:sz w:val="28"/>
          <w:szCs w:val="28"/>
        </w:rPr>
        <w:t>Бесхозяйное имущество в основном выявляется на территории города при аварийных ситуаци</w:t>
      </w:r>
      <w:r w:rsidR="008C1C22" w:rsidRPr="008C1C22">
        <w:rPr>
          <w:sz w:val="28"/>
          <w:szCs w:val="28"/>
        </w:rPr>
        <w:t>ях</w:t>
      </w:r>
      <w:r w:rsidRPr="008C1C22">
        <w:rPr>
          <w:sz w:val="28"/>
          <w:szCs w:val="28"/>
        </w:rPr>
        <w:t xml:space="preserve"> на объектах инженерной инфраструктуры. Протяженность бесхозяйных инженерных коммуникаций (водопровод, канализация, тепловые сети, электросети, газовые сети, ливневая</w:t>
      </w:r>
      <w:r w:rsidR="00AD2E92" w:rsidRPr="008C1C22">
        <w:rPr>
          <w:sz w:val="28"/>
          <w:szCs w:val="28"/>
        </w:rPr>
        <w:t xml:space="preserve"> канализация) </w:t>
      </w:r>
      <w:r w:rsidR="008C1C22" w:rsidRPr="008C1C22">
        <w:rPr>
          <w:sz w:val="28"/>
          <w:szCs w:val="28"/>
        </w:rPr>
        <w:t>в</w:t>
      </w:r>
      <w:r w:rsidR="00AD2E92" w:rsidRPr="008C1C22">
        <w:rPr>
          <w:sz w:val="28"/>
          <w:szCs w:val="28"/>
        </w:rPr>
        <w:t xml:space="preserve"> 2019</w:t>
      </w:r>
      <w:r w:rsidR="008C1C22" w:rsidRPr="008C1C22">
        <w:rPr>
          <w:sz w:val="28"/>
          <w:szCs w:val="28"/>
        </w:rPr>
        <w:t>-</w:t>
      </w:r>
      <w:r w:rsidR="00AD2E92" w:rsidRPr="008C1C22">
        <w:rPr>
          <w:sz w:val="28"/>
          <w:szCs w:val="28"/>
        </w:rPr>
        <w:t>2024 год</w:t>
      </w:r>
      <w:r w:rsidR="008C1C22" w:rsidRPr="008C1C22">
        <w:rPr>
          <w:sz w:val="28"/>
          <w:szCs w:val="28"/>
        </w:rPr>
        <w:t>ах</w:t>
      </w:r>
      <w:r w:rsidRPr="008C1C22">
        <w:rPr>
          <w:sz w:val="28"/>
          <w:szCs w:val="28"/>
        </w:rPr>
        <w:t xml:space="preserve"> не</w:t>
      </w:r>
      <w:r w:rsidR="008C1C22" w:rsidRPr="008C1C22">
        <w:rPr>
          <w:sz w:val="28"/>
          <w:szCs w:val="28"/>
        </w:rPr>
        <w:t xml:space="preserve"> </w:t>
      </w:r>
      <w:r w:rsidRPr="008C1C22">
        <w:rPr>
          <w:sz w:val="28"/>
          <w:szCs w:val="28"/>
        </w:rPr>
        <w:t>сокраща</w:t>
      </w:r>
      <w:r w:rsidR="00C3152E" w:rsidRPr="008C1C22">
        <w:rPr>
          <w:sz w:val="28"/>
          <w:szCs w:val="28"/>
        </w:rPr>
        <w:t>лась</w:t>
      </w:r>
      <w:r w:rsidRPr="008C1C22">
        <w:rPr>
          <w:sz w:val="28"/>
          <w:szCs w:val="28"/>
        </w:rPr>
        <w:t xml:space="preserve"> </w:t>
      </w:r>
      <w:r w:rsidR="008C1C22" w:rsidRPr="008C1C22">
        <w:rPr>
          <w:sz w:val="28"/>
          <w:szCs w:val="28"/>
        </w:rPr>
        <w:t>из-за вновь</w:t>
      </w:r>
      <w:r w:rsidRPr="008C1C22">
        <w:rPr>
          <w:sz w:val="28"/>
          <w:szCs w:val="28"/>
        </w:rPr>
        <w:t xml:space="preserve"> выявляемы</w:t>
      </w:r>
      <w:r w:rsidR="008C1C22" w:rsidRPr="008C1C22">
        <w:rPr>
          <w:sz w:val="28"/>
          <w:szCs w:val="28"/>
        </w:rPr>
        <w:t>х</w:t>
      </w:r>
      <w:r w:rsidRPr="008C1C22">
        <w:rPr>
          <w:sz w:val="28"/>
          <w:szCs w:val="28"/>
        </w:rPr>
        <w:t xml:space="preserve"> объект</w:t>
      </w:r>
      <w:r w:rsidR="008C1C22" w:rsidRPr="008C1C22">
        <w:rPr>
          <w:sz w:val="28"/>
          <w:szCs w:val="28"/>
        </w:rPr>
        <w:t>ов</w:t>
      </w:r>
      <w:r w:rsidRPr="008C1C22">
        <w:rPr>
          <w:sz w:val="28"/>
          <w:szCs w:val="28"/>
        </w:rPr>
        <w:t xml:space="preserve"> (</w:t>
      </w:r>
      <w:r w:rsidR="00C3152E" w:rsidRPr="008C1C22">
        <w:rPr>
          <w:sz w:val="28"/>
          <w:szCs w:val="28"/>
        </w:rPr>
        <w:t>Таблица 21)</w:t>
      </w:r>
      <w:r w:rsidRPr="008C1C22">
        <w:rPr>
          <w:sz w:val="28"/>
          <w:szCs w:val="28"/>
        </w:rPr>
        <w:t xml:space="preserve">, </w:t>
      </w:r>
      <w:r w:rsidR="008C1C22" w:rsidRPr="008C1C22">
        <w:rPr>
          <w:sz w:val="28"/>
          <w:szCs w:val="28"/>
        </w:rPr>
        <w:t>при этом</w:t>
      </w:r>
      <w:r w:rsidRPr="008C1C22">
        <w:rPr>
          <w:sz w:val="28"/>
          <w:szCs w:val="28"/>
        </w:rPr>
        <w:t xml:space="preserve"> обнаружение новых объектов продолжается. </w:t>
      </w:r>
      <w:bookmarkStart w:id="198" w:name="_Ref199469435"/>
    </w:p>
    <w:p w:rsidR="00842245" w:rsidRPr="0047469B" w:rsidRDefault="00842245" w:rsidP="008C1C22">
      <w:pPr>
        <w:spacing w:after="0" w:line="240" w:lineRule="auto"/>
        <w:contextualSpacing/>
        <w:jc w:val="both"/>
        <w:rPr>
          <w:rFonts w:ascii="Times New Roman" w:hAnsi="Times New Roman"/>
          <w:sz w:val="28"/>
          <w:szCs w:val="28"/>
        </w:rPr>
      </w:pPr>
    </w:p>
    <w:p w:rsidR="00FC41F4" w:rsidRPr="00577593" w:rsidRDefault="008925FA" w:rsidP="008C1C22">
      <w:pPr>
        <w:spacing w:after="0" w:line="240" w:lineRule="auto"/>
        <w:contextualSpacing/>
        <w:jc w:val="both"/>
        <w:rPr>
          <w:rFonts w:ascii="Times New Roman" w:hAnsi="Times New Roman"/>
          <w:sz w:val="28"/>
          <w:szCs w:val="28"/>
        </w:rPr>
      </w:pPr>
      <w:r w:rsidRPr="008C1C22">
        <w:rPr>
          <w:rFonts w:ascii="Times New Roman" w:hAnsi="Times New Roman"/>
          <w:sz w:val="28"/>
          <w:szCs w:val="28"/>
        </w:rPr>
        <w:lastRenderedPageBreak/>
        <w:t xml:space="preserve">Таблица </w:t>
      </w:r>
      <w:r w:rsidR="00074AE5" w:rsidRPr="008C1C22">
        <w:rPr>
          <w:rFonts w:ascii="Times New Roman" w:hAnsi="Times New Roman"/>
          <w:sz w:val="28"/>
          <w:szCs w:val="28"/>
        </w:rPr>
        <w:fldChar w:fldCharType="begin"/>
      </w:r>
      <w:r w:rsidRPr="008C1C22">
        <w:rPr>
          <w:rFonts w:ascii="Times New Roman" w:hAnsi="Times New Roman"/>
          <w:sz w:val="28"/>
          <w:szCs w:val="28"/>
        </w:rPr>
        <w:instrText xml:space="preserve"> SEQ Таблица \* ARABIC </w:instrText>
      </w:r>
      <w:r w:rsidR="00074AE5" w:rsidRPr="008C1C22">
        <w:rPr>
          <w:rFonts w:ascii="Times New Roman" w:hAnsi="Times New Roman"/>
          <w:sz w:val="28"/>
          <w:szCs w:val="28"/>
        </w:rPr>
        <w:fldChar w:fldCharType="separate"/>
      </w:r>
      <w:r w:rsidR="00071499">
        <w:rPr>
          <w:rFonts w:ascii="Times New Roman" w:hAnsi="Times New Roman"/>
          <w:noProof/>
          <w:sz w:val="28"/>
          <w:szCs w:val="28"/>
        </w:rPr>
        <w:t>21</w:t>
      </w:r>
      <w:r w:rsidR="00074AE5" w:rsidRPr="008C1C22">
        <w:rPr>
          <w:rFonts w:ascii="Times New Roman" w:hAnsi="Times New Roman"/>
          <w:sz w:val="28"/>
          <w:szCs w:val="28"/>
        </w:rPr>
        <w:fldChar w:fldCharType="end"/>
      </w:r>
      <w:bookmarkEnd w:id="198"/>
      <w:r w:rsidRPr="008C1C22">
        <w:rPr>
          <w:rFonts w:ascii="Times New Roman" w:hAnsi="Times New Roman"/>
          <w:sz w:val="28"/>
          <w:szCs w:val="28"/>
        </w:rPr>
        <w:t xml:space="preserve"> </w:t>
      </w:r>
      <w:r w:rsidR="0099669C" w:rsidRPr="008C1C22">
        <w:rPr>
          <w:rFonts w:ascii="Times New Roman" w:hAnsi="Times New Roman"/>
          <w:sz w:val="28"/>
          <w:szCs w:val="28"/>
        </w:rPr>
        <w:t>–</w:t>
      </w:r>
      <w:r w:rsidRPr="008C1C22">
        <w:rPr>
          <w:rFonts w:ascii="Times New Roman" w:hAnsi="Times New Roman"/>
          <w:sz w:val="28"/>
          <w:szCs w:val="28"/>
        </w:rPr>
        <w:t xml:space="preserve"> Бесхозяй</w:t>
      </w:r>
      <w:r w:rsidR="00AD2E92" w:rsidRPr="008C1C22">
        <w:rPr>
          <w:rFonts w:ascii="Times New Roman" w:hAnsi="Times New Roman"/>
          <w:sz w:val="28"/>
          <w:szCs w:val="28"/>
        </w:rPr>
        <w:t xml:space="preserve">ное имущество в </w:t>
      </w:r>
      <w:r w:rsidR="005F1DC6" w:rsidRPr="008C1C22">
        <w:rPr>
          <w:rFonts w:ascii="Times New Roman" w:hAnsi="Times New Roman"/>
          <w:sz w:val="28"/>
          <w:szCs w:val="28"/>
        </w:rPr>
        <w:t xml:space="preserve">города </w:t>
      </w:r>
      <w:r w:rsidR="00AD2E92" w:rsidRPr="008C1C22">
        <w:rPr>
          <w:rFonts w:ascii="Times New Roman" w:hAnsi="Times New Roman"/>
          <w:sz w:val="28"/>
          <w:szCs w:val="28"/>
        </w:rPr>
        <w:t>Барнауле в 201</w:t>
      </w:r>
      <w:r w:rsidR="005F1DC6" w:rsidRPr="008C1C22">
        <w:rPr>
          <w:rFonts w:ascii="Times New Roman" w:hAnsi="Times New Roman"/>
          <w:sz w:val="28"/>
          <w:szCs w:val="28"/>
        </w:rPr>
        <w:t>9</w:t>
      </w:r>
      <w:r w:rsidR="00AD2E92" w:rsidRPr="008C1C22">
        <w:rPr>
          <w:rFonts w:ascii="Times New Roman" w:hAnsi="Times New Roman"/>
          <w:sz w:val="28"/>
          <w:szCs w:val="28"/>
        </w:rPr>
        <w:t>-2024 год</w:t>
      </w:r>
      <w:r w:rsidR="005F1DC6" w:rsidRPr="008C1C22">
        <w:rPr>
          <w:rFonts w:ascii="Times New Roman" w:hAnsi="Times New Roman"/>
          <w:sz w:val="28"/>
          <w:szCs w:val="28"/>
        </w:rPr>
        <w:t>ах</w:t>
      </w:r>
      <w:r w:rsidRPr="008C1C22">
        <w:rPr>
          <w:rFonts w:ascii="Times New Roman" w:hAnsi="Times New Roman"/>
          <w:sz w:val="28"/>
          <w:szCs w:val="28"/>
        </w:rPr>
        <w:t>,</w:t>
      </w:r>
      <w:r w:rsidRPr="00577593">
        <w:rPr>
          <w:rFonts w:ascii="Times New Roman" w:hAnsi="Times New Roman"/>
          <w:sz w:val="28"/>
          <w:szCs w:val="28"/>
        </w:rPr>
        <w:t xml:space="preserve"> км</w:t>
      </w:r>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59"/>
        <w:gridCol w:w="1134"/>
        <w:gridCol w:w="992"/>
        <w:gridCol w:w="1134"/>
        <w:gridCol w:w="1134"/>
        <w:gridCol w:w="1276"/>
        <w:gridCol w:w="1134"/>
        <w:gridCol w:w="1559"/>
      </w:tblGrid>
      <w:tr w:rsidR="00842245" w:rsidRPr="00577593" w:rsidTr="005F1DC6">
        <w:trPr>
          <w:tblHeader/>
        </w:trPr>
        <w:tc>
          <w:tcPr>
            <w:tcW w:w="959" w:type="dxa"/>
            <w:shd w:val="clear" w:color="auto" w:fill="auto"/>
          </w:tcPr>
          <w:p w:rsidR="00FC41F4" w:rsidRPr="00577593" w:rsidRDefault="00842245" w:rsidP="00C3152E">
            <w:pPr>
              <w:spacing w:after="0" w:line="240" w:lineRule="auto"/>
              <w:contextualSpacing/>
              <w:jc w:val="center"/>
              <w:rPr>
                <w:rFonts w:ascii="Times New Roman" w:hAnsi="Times New Roman"/>
                <w:sz w:val="20"/>
                <w:szCs w:val="20"/>
              </w:rPr>
            </w:pPr>
            <w:r w:rsidRPr="00577593">
              <w:rPr>
                <w:rFonts w:ascii="Times New Roman" w:hAnsi="Times New Roman"/>
                <w:sz w:val="20"/>
                <w:szCs w:val="20"/>
              </w:rPr>
              <w:t>Год</w:t>
            </w:r>
          </w:p>
        </w:tc>
        <w:tc>
          <w:tcPr>
            <w:tcW w:w="1134" w:type="dxa"/>
            <w:shd w:val="clear" w:color="auto" w:fill="auto"/>
          </w:tcPr>
          <w:p w:rsidR="00FC41F4" w:rsidRPr="00577593" w:rsidRDefault="008925FA" w:rsidP="00C3152E">
            <w:pPr>
              <w:spacing w:after="0" w:line="240" w:lineRule="auto"/>
              <w:contextualSpacing/>
              <w:jc w:val="center"/>
              <w:rPr>
                <w:rFonts w:ascii="Times New Roman" w:hAnsi="Times New Roman"/>
                <w:sz w:val="20"/>
                <w:szCs w:val="20"/>
              </w:rPr>
            </w:pPr>
            <w:r w:rsidRPr="00577593">
              <w:rPr>
                <w:rFonts w:ascii="Times New Roman" w:hAnsi="Times New Roman"/>
                <w:sz w:val="20"/>
                <w:szCs w:val="20"/>
              </w:rPr>
              <w:t>ВСЕГО</w:t>
            </w:r>
          </w:p>
        </w:tc>
        <w:tc>
          <w:tcPr>
            <w:tcW w:w="992" w:type="dxa"/>
            <w:shd w:val="clear" w:color="auto" w:fill="auto"/>
          </w:tcPr>
          <w:p w:rsidR="00FC41F4" w:rsidRPr="00577593" w:rsidRDefault="008925FA" w:rsidP="00C3152E">
            <w:pPr>
              <w:spacing w:after="0" w:line="240" w:lineRule="auto"/>
              <w:contextualSpacing/>
              <w:jc w:val="center"/>
              <w:rPr>
                <w:rFonts w:ascii="Times New Roman" w:hAnsi="Times New Roman"/>
                <w:sz w:val="20"/>
                <w:szCs w:val="20"/>
              </w:rPr>
            </w:pPr>
            <w:r w:rsidRPr="00577593">
              <w:rPr>
                <w:rFonts w:ascii="Times New Roman" w:hAnsi="Times New Roman"/>
                <w:sz w:val="20"/>
                <w:szCs w:val="20"/>
              </w:rPr>
              <w:t>Водо</w:t>
            </w:r>
            <w:r w:rsidR="00842245" w:rsidRPr="00577593">
              <w:rPr>
                <w:rFonts w:ascii="Times New Roman" w:hAnsi="Times New Roman"/>
                <w:sz w:val="20"/>
                <w:szCs w:val="20"/>
              </w:rPr>
              <w:t>-</w:t>
            </w:r>
            <w:r w:rsidRPr="00577593">
              <w:rPr>
                <w:rFonts w:ascii="Times New Roman" w:hAnsi="Times New Roman"/>
                <w:sz w:val="20"/>
                <w:szCs w:val="20"/>
              </w:rPr>
              <w:t>провод</w:t>
            </w:r>
          </w:p>
        </w:tc>
        <w:tc>
          <w:tcPr>
            <w:tcW w:w="1134" w:type="dxa"/>
            <w:shd w:val="clear" w:color="auto" w:fill="auto"/>
          </w:tcPr>
          <w:p w:rsidR="00FC41F4" w:rsidRPr="00577593" w:rsidRDefault="008925FA" w:rsidP="00C3152E">
            <w:pPr>
              <w:spacing w:after="0" w:line="240" w:lineRule="auto"/>
              <w:contextualSpacing/>
              <w:jc w:val="center"/>
              <w:rPr>
                <w:rFonts w:ascii="Times New Roman" w:hAnsi="Times New Roman"/>
                <w:sz w:val="20"/>
                <w:szCs w:val="20"/>
              </w:rPr>
            </w:pPr>
            <w:r w:rsidRPr="00577593">
              <w:rPr>
                <w:rFonts w:ascii="Times New Roman" w:hAnsi="Times New Roman"/>
                <w:sz w:val="20"/>
                <w:szCs w:val="20"/>
              </w:rPr>
              <w:t>Канали</w:t>
            </w:r>
            <w:r w:rsidR="00842245" w:rsidRPr="00577593">
              <w:rPr>
                <w:rFonts w:ascii="Times New Roman" w:hAnsi="Times New Roman"/>
                <w:sz w:val="20"/>
                <w:szCs w:val="20"/>
              </w:rPr>
              <w:t>-</w:t>
            </w:r>
            <w:r w:rsidRPr="00577593">
              <w:rPr>
                <w:rFonts w:ascii="Times New Roman" w:hAnsi="Times New Roman"/>
                <w:sz w:val="20"/>
                <w:szCs w:val="20"/>
              </w:rPr>
              <w:t>зация</w:t>
            </w:r>
          </w:p>
        </w:tc>
        <w:tc>
          <w:tcPr>
            <w:tcW w:w="1134" w:type="dxa"/>
            <w:shd w:val="clear" w:color="auto" w:fill="auto"/>
          </w:tcPr>
          <w:p w:rsidR="00FC41F4" w:rsidRPr="00577593" w:rsidRDefault="008925FA" w:rsidP="00C3152E">
            <w:pPr>
              <w:spacing w:after="0" w:line="240" w:lineRule="auto"/>
              <w:contextualSpacing/>
              <w:jc w:val="center"/>
              <w:rPr>
                <w:rFonts w:ascii="Times New Roman" w:hAnsi="Times New Roman"/>
                <w:sz w:val="20"/>
                <w:szCs w:val="20"/>
              </w:rPr>
            </w:pPr>
            <w:r w:rsidRPr="00577593">
              <w:rPr>
                <w:rFonts w:ascii="Times New Roman" w:hAnsi="Times New Roman"/>
                <w:sz w:val="20"/>
                <w:szCs w:val="20"/>
              </w:rPr>
              <w:t>Тепловые сети</w:t>
            </w:r>
          </w:p>
        </w:tc>
        <w:tc>
          <w:tcPr>
            <w:tcW w:w="1276" w:type="dxa"/>
            <w:shd w:val="clear" w:color="auto" w:fill="auto"/>
          </w:tcPr>
          <w:p w:rsidR="00FC41F4" w:rsidRPr="00577593" w:rsidRDefault="008925FA" w:rsidP="00C3152E">
            <w:pPr>
              <w:spacing w:after="0" w:line="240" w:lineRule="auto"/>
              <w:contextualSpacing/>
              <w:jc w:val="center"/>
              <w:rPr>
                <w:rFonts w:ascii="Times New Roman" w:hAnsi="Times New Roman"/>
                <w:sz w:val="20"/>
                <w:szCs w:val="20"/>
              </w:rPr>
            </w:pPr>
            <w:r w:rsidRPr="00577593">
              <w:rPr>
                <w:rFonts w:ascii="Times New Roman" w:hAnsi="Times New Roman"/>
                <w:sz w:val="20"/>
                <w:szCs w:val="20"/>
              </w:rPr>
              <w:t>Электро</w:t>
            </w:r>
            <w:r w:rsidR="00842245" w:rsidRPr="00577593">
              <w:rPr>
                <w:rFonts w:ascii="Times New Roman" w:hAnsi="Times New Roman"/>
                <w:sz w:val="20"/>
                <w:szCs w:val="20"/>
              </w:rPr>
              <w:t>-</w:t>
            </w:r>
            <w:r w:rsidRPr="00577593">
              <w:rPr>
                <w:rFonts w:ascii="Times New Roman" w:hAnsi="Times New Roman"/>
                <w:sz w:val="20"/>
                <w:szCs w:val="20"/>
              </w:rPr>
              <w:t>сети</w:t>
            </w:r>
          </w:p>
        </w:tc>
        <w:tc>
          <w:tcPr>
            <w:tcW w:w="1134" w:type="dxa"/>
            <w:shd w:val="clear" w:color="auto" w:fill="auto"/>
          </w:tcPr>
          <w:p w:rsidR="00FC41F4" w:rsidRPr="00577593" w:rsidRDefault="008925FA" w:rsidP="00C3152E">
            <w:pPr>
              <w:spacing w:after="0" w:line="240" w:lineRule="auto"/>
              <w:contextualSpacing/>
              <w:jc w:val="center"/>
              <w:rPr>
                <w:rFonts w:ascii="Times New Roman" w:hAnsi="Times New Roman"/>
                <w:sz w:val="20"/>
                <w:szCs w:val="20"/>
              </w:rPr>
            </w:pPr>
            <w:r w:rsidRPr="00577593">
              <w:rPr>
                <w:rFonts w:ascii="Times New Roman" w:hAnsi="Times New Roman"/>
                <w:sz w:val="20"/>
                <w:szCs w:val="20"/>
              </w:rPr>
              <w:t>Газовые сети</w:t>
            </w:r>
          </w:p>
        </w:tc>
        <w:tc>
          <w:tcPr>
            <w:tcW w:w="1559" w:type="dxa"/>
            <w:shd w:val="clear" w:color="auto" w:fill="auto"/>
          </w:tcPr>
          <w:p w:rsidR="00FC41F4" w:rsidRPr="00577593" w:rsidRDefault="008925FA" w:rsidP="00C3152E">
            <w:pPr>
              <w:spacing w:after="0" w:line="240" w:lineRule="auto"/>
              <w:contextualSpacing/>
              <w:jc w:val="center"/>
              <w:rPr>
                <w:rFonts w:ascii="Times New Roman" w:hAnsi="Times New Roman"/>
                <w:sz w:val="20"/>
                <w:szCs w:val="20"/>
              </w:rPr>
            </w:pPr>
            <w:r w:rsidRPr="00577593">
              <w:rPr>
                <w:rFonts w:ascii="Times New Roman" w:hAnsi="Times New Roman"/>
                <w:sz w:val="20"/>
                <w:szCs w:val="20"/>
              </w:rPr>
              <w:t>Ливневая канализация</w:t>
            </w:r>
          </w:p>
        </w:tc>
      </w:tr>
      <w:tr w:rsidR="00842245" w:rsidRPr="00577593" w:rsidTr="005F1DC6">
        <w:tc>
          <w:tcPr>
            <w:tcW w:w="959" w:type="dxa"/>
            <w:shd w:val="clear" w:color="auto" w:fill="auto"/>
          </w:tcPr>
          <w:p w:rsidR="00FC41F4" w:rsidRPr="00577593" w:rsidRDefault="008925FA" w:rsidP="002000D4">
            <w:pPr>
              <w:spacing w:after="0" w:line="240" w:lineRule="auto"/>
              <w:contextualSpacing/>
              <w:jc w:val="both"/>
              <w:rPr>
                <w:rFonts w:ascii="Times New Roman" w:hAnsi="Times New Roman"/>
                <w:sz w:val="20"/>
                <w:szCs w:val="20"/>
              </w:rPr>
            </w:pPr>
            <w:r w:rsidRPr="00577593">
              <w:rPr>
                <w:rFonts w:ascii="Times New Roman" w:hAnsi="Times New Roman"/>
                <w:sz w:val="20"/>
                <w:szCs w:val="20"/>
              </w:rPr>
              <w:t>2024</w:t>
            </w:r>
          </w:p>
        </w:tc>
        <w:tc>
          <w:tcPr>
            <w:tcW w:w="1134" w:type="dxa"/>
            <w:shd w:val="clear" w:color="auto" w:fill="auto"/>
          </w:tcPr>
          <w:p w:rsidR="00FC41F4" w:rsidRPr="00577593" w:rsidRDefault="008925FA" w:rsidP="002000D4">
            <w:pPr>
              <w:spacing w:after="0" w:line="240" w:lineRule="auto"/>
              <w:jc w:val="center"/>
              <w:rPr>
                <w:rFonts w:ascii="Times New Roman" w:eastAsia="Times New Roman" w:hAnsi="Times New Roman"/>
                <w:sz w:val="20"/>
                <w:szCs w:val="20"/>
              </w:rPr>
            </w:pPr>
            <w:r w:rsidRPr="00577593">
              <w:rPr>
                <w:rFonts w:ascii="Times New Roman" w:eastAsia="Times New Roman" w:hAnsi="Times New Roman"/>
                <w:sz w:val="20"/>
                <w:szCs w:val="20"/>
              </w:rPr>
              <w:t>338,9</w:t>
            </w:r>
          </w:p>
        </w:tc>
        <w:tc>
          <w:tcPr>
            <w:tcW w:w="992" w:type="dxa"/>
            <w:shd w:val="clear" w:color="auto" w:fill="auto"/>
          </w:tcPr>
          <w:p w:rsidR="00FC41F4" w:rsidRPr="00577593" w:rsidRDefault="008925FA" w:rsidP="002000D4">
            <w:pPr>
              <w:spacing w:after="0" w:line="240" w:lineRule="auto"/>
              <w:jc w:val="center"/>
              <w:rPr>
                <w:rFonts w:ascii="Times New Roman" w:eastAsia="Times New Roman" w:hAnsi="Times New Roman"/>
                <w:sz w:val="20"/>
                <w:szCs w:val="20"/>
              </w:rPr>
            </w:pPr>
            <w:r w:rsidRPr="00577593">
              <w:rPr>
                <w:rFonts w:ascii="Times New Roman" w:eastAsia="Times New Roman" w:hAnsi="Times New Roman"/>
                <w:sz w:val="20"/>
                <w:szCs w:val="20"/>
              </w:rPr>
              <w:t>68,0</w:t>
            </w:r>
          </w:p>
        </w:tc>
        <w:tc>
          <w:tcPr>
            <w:tcW w:w="1134" w:type="dxa"/>
            <w:shd w:val="clear" w:color="auto" w:fill="auto"/>
          </w:tcPr>
          <w:p w:rsidR="00FC41F4" w:rsidRPr="00577593" w:rsidRDefault="008925FA" w:rsidP="002000D4">
            <w:pPr>
              <w:spacing w:after="0" w:line="240" w:lineRule="auto"/>
              <w:jc w:val="center"/>
              <w:rPr>
                <w:rFonts w:ascii="Times New Roman" w:eastAsia="Times New Roman" w:hAnsi="Times New Roman"/>
                <w:sz w:val="20"/>
                <w:szCs w:val="20"/>
              </w:rPr>
            </w:pPr>
            <w:r w:rsidRPr="00577593">
              <w:rPr>
                <w:rFonts w:ascii="Times New Roman" w:eastAsia="Times New Roman" w:hAnsi="Times New Roman"/>
                <w:sz w:val="20"/>
                <w:szCs w:val="20"/>
              </w:rPr>
              <w:t>21,2</w:t>
            </w:r>
          </w:p>
        </w:tc>
        <w:tc>
          <w:tcPr>
            <w:tcW w:w="1134" w:type="dxa"/>
            <w:shd w:val="clear" w:color="auto" w:fill="auto"/>
          </w:tcPr>
          <w:p w:rsidR="00FC41F4" w:rsidRPr="00577593" w:rsidRDefault="008925FA" w:rsidP="002000D4">
            <w:pPr>
              <w:spacing w:after="0" w:line="240" w:lineRule="auto"/>
              <w:jc w:val="center"/>
              <w:rPr>
                <w:rFonts w:ascii="Times New Roman" w:eastAsia="Times New Roman" w:hAnsi="Times New Roman"/>
                <w:sz w:val="20"/>
                <w:szCs w:val="20"/>
              </w:rPr>
            </w:pPr>
            <w:r w:rsidRPr="00577593">
              <w:rPr>
                <w:rFonts w:ascii="Times New Roman" w:eastAsia="Times New Roman" w:hAnsi="Times New Roman"/>
                <w:sz w:val="20"/>
                <w:szCs w:val="20"/>
              </w:rPr>
              <w:t>6,3</w:t>
            </w:r>
          </w:p>
        </w:tc>
        <w:tc>
          <w:tcPr>
            <w:tcW w:w="1276" w:type="dxa"/>
            <w:shd w:val="clear" w:color="auto" w:fill="auto"/>
          </w:tcPr>
          <w:p w:rsidR="00FC41F4" w:rsidRPr="00577593" w:rsidRDefault="008925FA" w:rsidP="002000D4">
            <w:pPr>
              <w:spacing w:after="0" w:line="240" w:lineRule="auto"/>
              <w:jc w:val="center"/>
              <w:rPr>
                <w:rFonts w:ascii="Times New Roman" w:eastAsia="Times New Roman" w:hAnsi="Times New Roman"/>
                <w:sz w:val="20"/>
                <w:szCs w:val="20"/>
              </w:rPr>
            </w:pPr>
            <w:r w:rsidRPr="00577593">
              <w:rPr>
                <w:rFonts w:ascii="Times New Roman" w:eastAsia="Times New Roman" w:hAnsi="Times New Roman"/>
                <w:sz w:val="20"/>
                <w:szCs w:val="20"/>
              </w:rPr>
              <w:t>67,4</w:t>
            </w:r>
          </w:p>
        </w:tc>
        <w:tc>
          <w:tcPr>
            <w:tcW w:w="1134" w:type="dxa"/>
            <w:shd w:val="clear" w:color="auto" w:fill="auto"/>
          </w:tcPr>
          <w:p w:rsidR="00FC41F4" w:rsidRPr="00577593" w:rsidRDefault="008925FA" w:rsidP="002000D4">
            <w:pPr>
              <w:spacing w:after="0" w:line="240" w:lineRule="auto"/>
              <w:jc w:val="center"/>
              <w:rPr>
                <w:rFonts w:ascii="Times New Roman" w:eastAsia="Times New Roman" w:hAnsi="Times New Roman"/>
                <w:sz w:val="20"/>
                <w:szCs w:val="20"/>
              </w:rPr>
            </w:pPr>
            <w:r w:rsidRPr="00577593">
              <w:rPr>
                <w:rFonts w:ascii="Times New Roman" w:eastAsia="Times New Roman" w:hAnsi="Times New Roman"/>
                <w:sz w:val="20"/>
                <w:szCs w:val="20"/>
              </w:rPr>
              <w:t>175,7</w:t>
            </w:r>
          </w:p>
        </w:tc>
        <w:tc>
          <w:tcPr>
            <w:tcW w:w="1559" w:type="dxa"/>
            <w:shd w:val="clear" w:color="auto" w:fill="auto"/>
          </w:tcPr>
          <w:p w:rsidR="00FC41F4" w:rsidRPr="00577593" w:rsidRDefault="008925FA" w:rsidP="002000D4">
            <w:pPr>
              <w:spacing w:after="0" w:line="240" w:lineRule="auto"/>
              <w:contextualSpacing/>
              <w:jc w:val="center"/>
              <w:rPr>
                <w:rFonts w:ascii="Times New Roman" w:hAnsi="Times New Roman"/>
                <w:sz w:val="20"/>
                <w:szCs w:val="20"/>
              </w:rPr>
            </w:pPr>
            <w:r w:rsidRPr="00577593">
              <w:rPr>
                <w:rFonts w:ascii="Times New Roman" w:hAnsi="Times New Roman"/>
                <w:sz w:val="20"/>
                <w:szCs w:val="20"/>
              </w:rPr>
              <w:t>0,3</w:t>
            </w:r>
          </w:p>
        </w:tc>
      </w:tr>
      <w:tr w:rsidR="00842245" w:rsidRPr="00577593" w:rsidTr="005F1DC6">
        <w:tc>
          <w:tcPr>
            <w:tcW w:w="959" w:type="dxa"/>
            <w:shd w:val="clear" w:color="auto" w:fill="auto"/>
          </w:tcPr>
          <w:p w:rsidR="00FC41F4" w:rsidRPr="00577593" w:rsidRDefault="008925FA" w:rsidP="002000D4">
            <w:pPr>
              <w:spacing w:after="0" w:line="240" w:lineRule="auto"/>
              <w:contextualSpacing/>
              <w:jc w:val="both"/>
              <w:rPr>
                <w:rFonts w:ascii="Times New Roman" w:hAnsi="Times New Roman"/>
                <w:sz w:val="20"/>
                <w:szCs w:val="20"/>
              </w:rPr>
            </w:pPr>
            <w:r w:rsidRPr="00577593">
              <w:rPr>
                <w:rFonts w:ascii="Times New Roman" w:hAnsi="Times New Roman"/>
                <w:sz w:val="20"/>
                <w:szCs w:val="20"/>
              </w:rPr>
              <w:t>2023</w:t>
            </w:r>
          </w:p>
        </w:tc>
        <w:tc>
          <w:tcPr>
            <w:tcW w:w="1134" w:type="dxa"/>
            <w:shd w:val="clear" w:color="auto" w:fill="auto"/>
          </w:tcPr>
          <w:p w:rsidR="00FC41F4" w:rsidRPr="00577593" w:rsidRDefault="008925FA" w:rsidP="002000D4">
            <w:pPr>
              <w:spacing w:after="0" w:line="240" w:lineRule="auto"/>
              <w:jc w:val="center"/>
              <w:rPr>
                <w:rFonts w:ascii="Times New Roman" w:eastAsia="Times New Roman" w:hAnsi="Times New Roman"/>
                <w:sz w:val="20"/>
                <w:szCs w:val="20"/>
              </w:rPr>
            </w:pPr>
            <w:r w:rsidRPr="00577593">
              <w:rPr>
                <w:rFonts w:ascii="Times New Roman" w:eastAsia="Times New Roman" w:hAnsi="Times New Roman"/>
                <w:sz w:val="20"/>
                <w:szCs w:val="20"/>
              </w:rPr>
              <w:t>392,5</w:t>
            </w:r>
          </w:p>
        </w:tc>
        <w:tc>
          <w:tcPr>
            <w:tcW w:w="992" w:type="dxa"/>
            <w:shd w:val="clear" w:color="auto" w:fill="auto"/>
          </w:tcPr>
          <w:p w:rsidR="00FC41F4" w:rsidRPr="00577593" w:rsidRDefault="008925FA" w:rsidP="002000D4">
            <w:pPr>
              <w:spacing w:after="0" w:line="240" w:lineRule="auto"/>
              <w:jc w:val="center"/>
              <w:rPr>
                <w:rFonts w:ascii="Times New Roman" w:eastAsia="Times New Roman" w:hAnsi="Times New Roman"/>
                <w:sz w:val="20"/>
                <w:szCs w:val="20"/>
              </w:rPr>
            </w:pPr>
            <w:r w:rsidRPr="00577593">
              <w:rPr>
                <w:rFonts w:ascii="Times New Roman" w:eastAsia="Times New Roman" w:hAnsi="Times New Roman"/>
                <w:sz w:val="20"/>
                <w:szCs w:val="20"/>
              </w:rPr>
              <w:t>111,6</w:t>
            </w:r>
          </w:p>
        </w:tc>
        <w:tc>
          <w:tcPr>
            <w:tcW w:w="1134" w:type="dxa"/>
            <w:shd w:val="clear" w:color="auto" w:fill="auto"/>
          </w:tcPr>
          <w:p w:rsidR="00FC41F4" w:rsidRPr="00577593" w:rsidRDefault="008925FA" w:rsidP="002000D4">
            <w:pPr>
              <w:spacing w:after="0" w:line="240" w:lineRule="auto"/>
              <w:jc w:val="center"/>
              <w:rPr>
                <w:rFonts w:ascii="Times New Roman" w:eastAsia="Times New Roman" w:hAnsi="Times New Roman"/>
                <w:sz w:val="20"/>
                <w:szCs w:val="20"/>
              </w:rPr>
            </w:pPr>
            <w:r w:rsidRPr="00577593">
              <w:rPr>
                <w:rFonts w:ascii="Times New Roman" w:eastAsia="Times New Roman" w:hAnsi="Times New Roman"/>
                <w:sz w:val="20"/>
                <w:szCs w:val="20"/>
              </w:rPr>
              <w:t>22,3</w:t>
            </w:r>
          </w:p>
        </w:tc>
        <w:tc>
          <w:tcPr>
            <w:tcW w:w="1134" w:type="dxa"/>
            <w:shd w:val="clear" w:color="auto" w:fill="auto"/>
          </w:tcPr>
          <w:p w:rsidR="00FC41F4" w:rsidRPr="00577593" w:rsidRDefault="008925FA" w:rsidP="002000D4">
            <w:pPr>
              <w:spacing w:after="0" w:line="240" w:lineRule="auto"/>
              <w:jc w:val="center"/>
              <w:rPr>
                <w:rFonts w:ascii="Times New Roman" w:eastAsia="Times New Roman" w:hAnsi="Times New Roman"/>
                <w:sz w:val="20"/>
                <w:szCs w:val="20"/>
              </w:rPr>
            </w:pPr>
            <w:r w:rsidRPr="00577593">
              <w:rPr>
                <w:rFonts w:ascii="Times New Roman" w:eastAsia="Times New Roman" w:hAnsi="Times New Roman"/>
                <w:sz w:val="20"/>
                <w:szCs w:val="20"/>
              </w:rPr>
              <w:t>7,9</w:t>
            </w:r>
          </w:p>
        </w:tc>
        <w:tc>
          <w:tcPr>
            <w:tcW w:w="1276" w:type="dxa"/>
            <w:shd w:val="clear" w:color="auto" w:fill="auto"/>
          </w:tcPr>
          <w:p w:rsidR="00FC41F4" w:rsidRPr="00577593" w:rsidRDefault="008925FA" w:rsidP="002000D4">
            <w:pPr>
              <w:spacing w:after="0" w:line="240" w:lineRule="auto"/>
              <w:jc w:val="center"/>
              <w:rPr>
                <w:rFonts w:ascii="Times New Roman" w:eastAsia="Times New Roman" w:hAnsi="Times New Roman"/>
                <w:sz w:val="20"/>
                <w:szCs w:val="20"/>
              </w:rPr>
            </w:pPr>
            <w:r w:rsidRPr="00577593">
              <w:rPr>
                <w:rFonts w:ascii="Times New Roman" w:eastAsia="Times New Roman" w:hAnsi="Times New Roman"/>
                <w:sz w:val="20"/>
                <w:szCs w:val="20"/>
              </w:rPr>
              <w:t>83,4</w:t>
            </w:r>
          </w:p>
        </w:tc>
        <w:tc>
          <w:tcPr>
            <w:tcW w:w="1134" w:type="dxa"/>
            <w:shd w:val="clear" w:color="auto" w:fill="auto"/>
          </w:tcPr>
          <w:p w:rsidR="00FC41F4" w:rsidRPr="00577593" w:rsidRDefault="008925FA" w:rsidP="002000D4">
            <w:pPr>
              <w:spacing w:after="0" w:line="240" w:lineRule="auto"/>
              <w:jc w:val="center"/>
              <w:rPr>
                <w:rFonts w:ascii="Times New Roman" w:eastAsia="Times New Roman" w:hAnsi="Times New Roman"/>
                <w:sz w:val="20"/>
                <w:szCs w:val="20"/>
              </w:rPr>
            </w:pPr>
            <w:r w:rsidRPr="00577593">
              <w:rPr>
                <w:rFonts w:ascii="Times New Roman" w:eastAsia="Times New Roman" w:hAnsi="Times New Roman"/>
                <w:sz w:val="20"/>
                <w:szCs w:val="20"/>
              </w:rPr>
              <w:t>167,3</w:t>
            </w:r>
          </w:p>
        </w:tc>
        <w:tc>
          <w:tcPr>
            <w:tcW w:w="1559" w:type="dxa"/>
            <w:shd w:val="clear" w:color="auto" w:fill="auto"/>
          </w:tcPr>
          <w:p w:rsidR="00FC41F4" w:rsidRPr="00577593" w:rsidRDefault="008925FA" w:rsidP="002000D4">
            <w:pPr>
              <w:spacing w:after="0" w:line="240" w:lineRule="auto"/>
              <w:contextualSpacing/>
              <w:jc w:val="center"/>
              <w:rPr>
                <w:rFonts w:ascii="Times New Roman" w:hAnsi="Times New Roman"/>
                <w:sz w:val="20"/>
                <w:szCs w:val="20"/>
              </w:rPr>
            </w:pPr>
            <w:r w:rsidRPr="00577593">
              <w:rPr>
                <w:rFonts w:ascii="Times New Roman" w:hAnsi="Times New Roman"/>
                <w:sz w:val="20"/>
                <w:szCs w:val="20"/>
              </w:rPr>
              <w:t>н/д</w:t>
            </w:r>
          </w:p>
        </w:tc>
      </w:tr>
      <w:tr w:rsidR="00842245" w:rsidRPr="00577593" w:rsidTr="005F1DC6">
        <w:tc>
          <w:tcPr>
            <w:tcW w:w="959" w:type="dxa"/>
            <w:shd w:val="clear" w:color="auto" w:fill="auto"/>
          </w:tcPr>
          <w:p w:rsidR="00FC41F4" w:rsidRPr="00577593" w:rsidRDefault="008925FA" w:rsidP="002000D4">
            <w:pPr>
              <w:spacing w:after="0" w:line="240" w:lineRule="auto"/>
              <w:contextualSpacing/>
              <w:jc w:val="both"/>
              <w:rPr>
                <w:rFonts w:ascii="Times New Roman" w:hAnsi="Times New Roman"/>
                <w:sz w:val="20"/>
                <w:szCs w:val="20"/>
              </w:rPr>
            </w:pPr>
            <w:r w:rsidRPr="00577593">
              <w:rPr>
                <w:rFonts w:ascii="Times New Roman" w:hAnsi="Times New Roman"/>
                <w:sz w:val="20"/>
                <w:szCs w:val="20"/>
              </w:rPr>
              <w:t>2022</w:t>
            </w:r>
          </w:p>
        </w:tc>
        <w:tc>
          <w:tcPr>
            <w:tcW w:w="1134" w:type="dxa"/>
            <w:shd w:val="clear" w:color="auto" w:fill="auto"/>
          </w:tcPr>
          <w:p w:rsidR="00FC41F4" w:rsidRPr="00577593" w:rsidRDefault="008925FA" w:rsidP="002000D4">
            <w:pPr>
              <w:spacing w:after="0" w:line="240" w:lineRule="auto"/>
              <w:jc w:val="center"/>
              <w:rPr>
                <w:rFonts w:ascii="Times New Roman" w:eastAsia="Times New Roman" w:hAnsi="Times New Roman"/>
                <w:sz w:val="20"/>
                <w:szCs w:val="20"/>
              </w:rPr>
            </w:pPr>
            <w:r w:rsidRPr="00577593">
              <w:rPr>
                <w:rFonts w:ascii="Times New Roman" w:eastAsia="Times New Roman" w:hAnsi="Times New Roman"/>
                <w:sz w:val="20"/>
                <w:szCs w:val="20"/>
              </w:rPr>
              <w:t>265,9</w:t>
            </w:r>
          </w:p>
        </w:tc>
        <w:tc>
          <w:tcPr>
            <w:tcW w:w="992" w:type="dxa"/>
            <w:shd w:val="clear" w:color="auto" w:fill="auto"/>
          </w:tcPr>
          <w:p w:rsidR="00FC41F4" w:rsidRPr="00577593" w:rsidRDefault="008925FA" w:rsidP="002000D4">
            <w:pPr>
              <w:spacing w:after="0" w:line="240" w:lineRule="auto"/>
              <w:jc w:val="center"/>
              <w:rPr>
                <w:rFonts w:ascii="Times New Roman" w:eastAsia="Times New Roman" w:hAnsi="Times New Roman"/>
                <w:sz w:val="20"/>
                <w:szCs w:val="20"/>
              </w:rPr>
            </w:pPr>
            <w:r w:rsidRPr="00577593">
              <w:rPr>
                <w:rFonts w:ascii="Times New Roman" w:eastAsia="Times New Roman" w:hAnsi="Times New Roman"/>
                <w:sz w:val="20"/>
                <w:szCs w:val="20"/>
              </w:rPr>
              <w:t>65,0</w:t>
            </w:r>
          </w:p>
        </w:tc>
        <w:tc>
          <w:tcPr>
            <w:tcW w:w="1134" w:type="dxa"/>
            <w:shd w:val="clear" w:color="auto" w:fill="auto"/>
          </w:tcPr>
          <w:p w:rsidR="00FC41F4" w:rsidRPr="00577593" w:rsidRDefault="008925FA" w:rsidP="002000D4">
            <w:pPr>
              <w:spacing w:after="0" w:line="240" w:lineRule="auto"/>
              <w:jc w:val="center"/>
              <w:rPr>
                <w:rFonts w:ascii="Times New Roman" w:eastAsia="Times New Roman" w:hAnsi="Times New Roman"/>
                <w:sz w:val="20"/>
                <w:szCs w:val="20"/>
              </w:rPr>
            </w:pPr>
            <w:r w:rsidRPr="00577593">
              <w:rPr>
                <w:rFonts w:ascii="Times New Roman" w:eastAsia="Times New Roman" w:hAnsi="Times New Roman"/>
                <w:sz w:val="20"/>
                <w:szCs w:val="20"/>
              </w:rPr>
              <w:t>21,2</w:t>
            </w:r>
          </w:p>
        </w:tc>
        <w:tc>
          <w:tcPr>
            <w:tcW w:w="1134" w:type="dxa"/>
            <w:shd w:val="clear" w:color="auto" w:fill="auto"/>
          </w:tcPr>
          <w:p w:rsidR="00FC41F4" w:rsidRPr="00577593" w:rsidRDefault="008925FA" w:rsidP="002000D4">
            <w:pPr>
              <w:spacing w:after="0" w:line="240" w:lineRule="auto"/>
              <w:jc w:val="center"/>
              <w:rPr>
                <w:rFonts w:ascii="Times New Roman" w:eastAsia="Times New Roman" w:hAnsi="Times New Roman"/>
                <w:sz w:val="20"/>
                <w:szCs w:val="20"/>
              </w:rPr>
            </w:pPr>
            <w:r w:rsidRPr="00577593">
              <w:rPr>
                <w:rFonts w:ascii="Times New Roman" w:eastAsia="Times New Roman" w:hAnsi="Times New Roman"/>
                <w:sz w:val="20"/>
                <w:szCs w:val="20"/>
              </w:rPr>
              <w:t>16,4</w:t>
            </w:r>
          </w:p>
        </w:tc>
        <w:tc>
          <w:tcPr>
            <w:tcW w:w="1276" w:type="dxa"/>
            <w:shd w:val="clear" w:color="auto" w:fill="auto"/>
          </w:tcPr>
          <w:p w:rsidR="00FC41F4" w:rsidRPr="00577593" w:rsidRDefault="008925FA" w:rsidP="002000D4">
            <w:pPr>
              <w:spacing w:after="0" w:line="240" w:lineRule="auto"/>
              <w:jc w:val="center"/>
              <w:rPr>
                <w:rFonts w:ascii="Times New Roman" w:eastAsia="Times New Roman" w:hAnsi="Times New Roman"/>
                <w:sz w:val="20"/>
                <w:szCs w:val="20"/>
              </w:rPr>
            </w:pPr>
            <w:r w:rsidRPr="00577593">
              <w:rPr>
                <w:rFonts w:ascii="Times New Roman" w:eastAsia="Times New Roman" w:hAnsi="Times New Roman"/>
                <w:sz w:val="20"/>
                <w:szCs w:val="20"/>
              </w:rPr>
              <w:t>56,2</w:t>
            </w:r>
          </w:p>
        </w:tc>
        <w:tc>
          <w:tcPr>
            <w:tcW w:w="1134" w:type="dxa"/>
            <w:shd w:val="clear" w:color="auto" w:fill="auto"/>
          </w:tcPr>
          <w:p w:rsidR="00FC41F4" w:rsidRPr="00577593" w:rsidRDefault="008925FA" w:rsidP="002000D4">
            <w:pPr>
              <w:spacing w:after="0" w:line="240" w:lineRule="auto"/>
              <w:jc w:val="center"/>
              <w:rPr>
                <w:rFonts w:ascii="Times New Roman" w:eastAsia="Times New Roman" w:hAnsi="Times New Roman"/>
                <w:sz w:val="20"/>
                <w:szCs w:val="20"/>
              </w:rPr>
            </w:pPr>
            <w:r w:rsidRPr="00577593">
              <w:rPr>
                <w:rFonts w:ascii="Times New Roman" w:eastAsia="Times New Roman" w:hAnsi="Times New Roman"/>
                <w:sz w:val="20"/>
                <w:szCs w:val="20"/>
              </w:rPr>
              <w:t>107,1</w:t>
            </w:r>
          </w:p>
        </w:tc>
        <w:tc>
          <w:tcPr>
            <w:tcW w:w="1559" w:type="dxa"/>
            <w:shd w:val="clear" w:color="auto" w:fill="auto"/>
          </w:tcPr>
          <w:p w:rsidR="00FC41F4" w:rsidRPr="00577593" w:rsidRDefault="008925FA" w:rsidP="002000D4">
            <w:pPr>
              <w:spacing w:after="0" w:line="240" w:lineRule="auto"/>
              <w:contextualSpacing/>
              <w:jc w:val="center"/>
              <w:rPr>
                <w:rFonts w:ascii="Times New Roman" w:hAnsi="Times New Roman"/>
                <w:sz w:val="20"/>
                <w:szCs w:val="20"/>
              </w:rPr>
            </w:pPr>
            <w:r w:rsidRPr="00577593">
              <w:rPr>
                <w:rFonts w:ascii="Times New Roman" w:hAnsi="Times New Roman"/>
                <w:sz w:val="20"/>
                <w:szCs w:val="20"/>
              </w:rPr>
              <w:t>н/д</w:t>
            </w:r>
          </w:p>
        </w:tc>
      </w:tr>
      <w:tr w:rsidR="00842245" w:rsidRPr="00577593" w:rsidTr="005F1DC6">
        <w:tc>
          <w:tcPr>
            <w:tcW w:w="959" w:type="dxa"/>
            <w:shd w:val="clear" w:color="auto" w:fill="auto"/>
          </w:tcPr>
          <w:p w:rsidR="00FC41F4" w:rsidRPr="00577593" w:rsidRDefault="008925FA" w:rsidP="002000D4">
            <w:pPr>
              <w:spacing w:after="0" w:line="240" w:lineRule="auto"/>
              <w:contextualSpacing/>
              <w:jc w:val="both"/>
              <w:rPr>
                <w:rFonts w:ascii="Times New Roman" w:hAnsi="Times New Roman"/>
                <w:sz w:val="20"/>
                <w:szCs w:val="20"/>
              </w:rPr>
            </w:pPr>
            <w:r w:rsidRPr="00577593">
              <w:rPr>
                <w:rFonts w:ascii="Times New Roman" w:hAnsi="Times New Roman"/>
                <w:sz w:val="20"/>
                <w:szCs w:val="20"/>
              </w:rPr>
              <w:t>2021</w:t>
            </w:r>
          </w:p>
        </w:tc>
        <w:tc>
          <w:tcPr>
            <w:tcW w:w="1134" w:type="dxa"/>
            <w:shd w:val="clear" w:color="auto" w:fill="auto"/>
          </w:tcPr>
          <w:p w:rsidR="00FC41F4" w:rsidRPr="00577593" w:rsidRDefault="008925FA" w:rsidP="002000D4">
            <w:pPr>
              <w:spacing w:after="0" w:line="240" w:lineRule="auto"/>
              <w:jc w:val="center"/>
              <w:rPr>
                <w:rFonts w:ascii="Times New Roman" w:eastAsia="Times New Roman" w:hAnsi="Times New Roman"/>
                <w:sz w:val="20"/>
                <w:szCs w:val="20"/>
              </w:rPr>
            </w:pPr>
            <w:r w:rsidRPr="00577593">
              <w:rPr>
                <w:rFonts w:ascii="Times New Roman" w:eastAsia="Times New Roman" w:hAnsi="Times New Roman"/>
                <w:sz w:val="20"/>
                <w:szCs w:val="20"/>
              </w:rPr>
              <w:t>334,4</w:t>
            </w:r>
          </w:p>
        </w:tc>
        <w:tc>
          <w:tcPr>
            <w:tcW w:w="992" w:type="dxa"/>
            <w:shd w:val="clear" w:color="auto" w:fill="auto"/>
          </w:tcPr>
          <w:p w:rsidR="00FC41F4" w:rsidRPr="00577593" w:rsidRDefault="008925FA" w:rsidP="002000D4">
            <w:pPr>
              <w:spacing w:after="0" w:line="240" w:lineRule="auto"/>
              <w:jc w:val="center"/>
              <w:rPr>
                <w:rFonts w:ascii="Times New Roman" w:eastAsia="Times New Roman" w:hAnsi="Times New Roman"/>
                <w:sz w:val="20"/>
                <w:szCs w:val="20"/>
              </w:rPr>
            </w:pPr>
            <w:r w:rsidRPr="00577593">
              <w:rPr>
                <w:rFonts w:ascii="Times New Roman" w:eastAsia="Times New Roman" w:hAnsi="Times New Roman"/>
                <w:sz w:val="20"/>
                <w:szCs w:val="20"/>
              </w:rPr>
              <w:t>75,8</w:t>
            </w:r>
          </w:p>
        </w:tc>
        <w:tc>
          <w:tcPr>
            <w:tcW w:w="1134" w:type="dxa"/>
            <w:shd w:val="clear" w:color="auto" w:fill="auto"/>
          </w:tcPr>
          <w:p w:rsidR="00FC41F4" w:rsidRPr="00577593" w:rsidRDefault="008925FA" w:rsidP="002000D4">
            <w:pPr>
              <w:spacing w:after="0" w:line="240" w:lineRule="auto"/>
              <w:jc w:val="center"/>
              <w:rPr>
                <w:rFonts w:ascii="Times New Roman" w:eastAsia="Times New Roman" w:hAnsi="Times New Roman"/>
                <w:sz w:val="20"/>
                <w:szCs w:val="20"/>
              </w:rPr>
            </w:pPr>
            <w:r w:rsidRPr="00577593">
              <w:rPr>
                <w:rFonts w:ascii="Times New Roman" w:eastAsia="Times New Roman" w:hAnsi="Times New Roman"/>
                <w:sz w:val="20"/>
                <w:szCs w:val="20"/>
              </w:rPr>
              <w:t>26,5</w:t>
            </w:r>
          </w:p>
        </w:tc>
        <w:tc>
          <w:tcPr>
            <w:tcW w:w="1134" w:type="dxa"/>
            <w:shd w:val="clear" w:color="auto" w:fill="auto"/>
          </w:tcPr>
          <w:p w:rsidR="00FC41F4" w:rsidRPr="00577593" w:rsidRDefault="008925FA" w:rsidP="002000D4">
            <w:pPr>
              <w:spacing w:after="0" w:line="240" w:lineRule="auto"/>
              <w:jc w:val="center"/>
              <w:rPr>
                <w:rFonts w:ascii="Times New Roman" w:eastAsia="Times New Roman" w:hAnsi="Times New Roman"/>
                <w:sz w:val="20"/>
                <w:szCs w:val="20"/>
              </w:rPr>
            </w:pPr>
            <w:r w:rsidRPr="00577593">
              <w:rPr>
                <w:rFonts w:ascii="Times New Roman" w:eastAsia="Times New Roman" w:hAnsi="Times New Roman"/>
                <w:sz w:val="20"/>
                <w:szCs w:val="20"/>
              </w:rPr>
              <w:t>60,2</w:t>
            </w:r>
          </w:p>
        </w:tc>
        <w:tc>
          <w:tcPr>
            <w:tcW w:w="1276" w:type="dxa"/>
            <w:shd w:val="clear" w:color="auto" w:fill="auto"/>
          </w:tcPr>
          <w:p w:rsidR="00FC41F4" w:rsidRPr="00577593" w:rsidRDefault="008925FA" w:rsidP="002000D4">
            <w:pPr>
              <w:spacing w:after="0" w:line="240" w:lineRule="auto"/>
              <w:jc w:val="center"/>
              <w:rPr>
                <w:rFonts w:ascii="Times New Roman" w:eastAsia="Times New Roman" w:hAnsi="Times New Roman"/>
                <w:sz w:val="20"/>
                <w:szCs w:val="20"/>
              </w:rPr>
            </w:pPr>
            <w:r w:rsidRPr="00577593">
              <w:rPr>
                <w:rFonts w:ascii="Times New Roman" w:eastAsia="Times New Roman" w:hAnsi="Times New Roman"/>
                <w:sz w:val="20"/>
                <w:szCs w:val="20"/>
              </w:rPr>
              <w:t>82,1</w:t>
            </w:r>
          </w:p>
        </w:tc>
        <w:tc>
          <w:tcPr>
            <w:tcW w:w="1134" w:type="dxa"/>
            <w:shd w:val="clear" w:color="auto" w:fill="auto"/>
          </w:tcPr>
          <w:p w:rsidR="00FC41F4" w:rsidRPr="00577593" w:rsidRDefault="008925FA" w:rsidP="002000D4">
            <w:pPr>
              <w:spacing w:after="0" w:line="240" w:lineRule="auto"/>
              <w:jc w:val="center"/>
              <w:rPr>
                <w:rFonts w:ascii="Times New Roman" w:eastAsia="Times New Roman" w:hAnsi="Times New Roman"/>
                <w:sz w:val="20"/>
                <w:szCs w:val="20"/>
              </w:rPr>
            </w:pPr>
            <w:r w:rsidRPr="00577593">
              <w:rPr>
                <w:rFonts w:ascii="Times New Roman" w:eastAsia="Times New Roman" w:hAnsi="Times New Roman"/>
                <w:sz w:val="20"/>
                <w:szCs w:val="20"/>
              </w:rPr>
              <w:t>89,8</w:t>
            </w:r>
          </w:p>
        </w:tc>
        <w:tc>
          <w:tcPr>
            <w:tcW w:w="1559" w:type="dxa"/>
            <w:shd w:val="clear" w:color="auto" w:fill="auto"/>
          </w:tcPr>
          <w:p w:rsidR="00FC41F4" w:rsidRPr="00577593" w:rsidRDefault="008925FA" w:rsidP="002000D4">
            <w:pPr>
              <w:spacing w:after="0" w:line="240" w:lineRule="auto"/>
              <w:contextualSpacing/>
              <w:jc w:val="center"/>
              <w:rPr>
                <w:rFonts w:ascii="Times New Roman" w:hAnsi="Times New Roman"/>
                <w:sz w:val="20"/>
                <w:szCs w:val="20"/>
              </w:rPr>
            </w:pPr>
            <w:r w:rsidRPr="00577593">
              <w:rPr>
                <w:rFonts w:ascii="Times New Roman" w:hAnsi="Times New Roman"/>
                <w:sz w:val="20"/>
                <w:szCs w:val="20"/>
              </w:rPr>
              <w:t>н/д</w:t>
            </w:r>
          </w:p>
        </w:tc>
      </w:tr>
      <w:tr w:rsidR="00842245" w:rsidRPr="00577593" w:rsidTr="005F1DC6">
        <w:tc>
          <w:tcPr>
            <w:tcW w:w="959" w:type="dxa"/>
            <w:shd w:val="clear" w:color="auto" w:fill="auto"/>
          </w:tcPr>
          <w:p w:rsidR="00FC41F4" w:rsidRPr="00577593" w:rsidRDefault="008925FA" w:rsidP="002000D4">
            <w:pPr>
              <w:spacing w:after="0" w:line="240" w:lineRule="auto"/>
              <w:contextualSpacing/>
              <w:jc w:val="both"/>
              <w:rPr>
                <w:rFonts w:ascii="Times New Roman" w:hAnsi="Times New Roman"/>
                <w:sz w:val="20"/>
                <w:szCs w:val="20"/>
              </w:rPr>
            </w:pPr>
            <w:r w:rsidRPr="00577593">
              <w:rPr>
                <w:rFonts w:ascii="Times New Roman" w:hAnsi="Times New Roman"/>
                <w:sz w:val="20"/>
                <w:szCs w:val="20"/>
              </w:rPr>
              <w:t>2020</w:t>
            </w:r>
          </w:p>
        </w:tc>
        <w:tc>
          <w:tcPr>
            <w:tcW w:w="1134" w:type="dxa"/>
            <w:shd w:val="clear" w:color="auto" w:fill="auto"/>
          </w:tcPr>
          <w:p w:rsidR="00FC41F4" w:rsidRPr="00577593" w:rsidRDefault="008925FA" w:rsidP="002000D4">
            <w:pPr>
              <w:spacing w:after="0" w:line="240" w:lineRule="auto"/>
              <w:jc w:val="center"/>
              <w:rPr>
                <w:rFonts w:ascii="Times New Roman" w:eastAsia="Times New Roman" w:hAnsi="Times New Roman"/>
                <w:sz w:val="20"/>
                <w:szCs w:val="20"/>
              </w:rPr>
            </w:pPr>
            <w:r w:rsidRPr="00577593">
              <w:rPr>
                <w:rFonts w:ascii="Times New Roman" w:eastAsia="Times New Roman" w:hAnsi="Times New Roman"/>
                <w:sz w:val="20"/>
                <w:szCs w:val="20"/>
              </w:rPr>
              <w:t>392,1</w:t>
            </w:r>
          </w:p>
        </w:tc>
        <w:tc>
          <w:tcPr>
            <w:tcW w:w="992" w:type="dxa"/>
            <w:shd w:val="clear" w:color="auto" w:fill="auto"/>
          </w:tcPr>
          <w:p w:rsidR="00FC41F4" w:rsidRPr="00577593" w:rsidRDefault="008925FA" w:rsidP="002000D4">
            <w:pPr>
              <w:spacing w:after="0" w:line="240" w:lineRule="auto"/>
              <w:jc w:val="center"/>
              <w:rPr>
                <w:rFonts w:ascii="Times New Roman" w:eastAsia="Times New Roman" w:hAnsi="Times New Roman"/>
                <w:sz w:val="20"/>
                <w:szCs w:val="20"/>
              </w:rPr>
            </w:pPr>
            <w:r w:rsidRPr="00577593">
              <w:rPr>
                <w:rFonts w:ascii="Times New Roman" w:eastAsia="Times New Roman" w:hAnsi="Times New Roman"/>
                <w:sz w:val="20"/>
                <w:szCs w:val="20"/>
              </w:rPr>
              <w:t>124</w:t>
            </w:r>
          </w:p>
        </w:tc>
        <w:tc>
          <w:tcPr>
            <w:tcW w:w="1134" w:type="dxa"/>
            <w:shd w:val="clear" w:color="auto" w:fill="auto"/>
          </w:tcPr>
          <w:p w:rsidR="00FC41F4" w:rsidRPr="00577593" w:rsidRDefault="008925FA" w:rsidP="002000D4">
            <w:pPr>
              <w:spacing w:after="0" w:line="240" w:lineRule="auto"/>
              <w:jc w:val="center"/>
              <w:rPr>
                <w:rFonts w:ascii="Times New Roman" w:eastAsia="Times New Roman" w:hAnsi="Times New Roman"/>
                <w:sz w:val="20"/>
                <w:szCs w:val="20"/>
              </w:rPr>
            </w:pPr>
            <w:r w:rsidRPr="00577593">
              <w:rPr>
                <w:rFonts w:ascii="Times New Roman" w:eastAsia="Times New Roman" w:hAnsi="Times New Roman"/>
                <w:sz w:val="20"/>
                <w:szCs w:val="20"/>
              </w:rPr>
              <w:t>23,3</w:t>
            </w:r>
          </w:p>
        </w:tc>
        <w:tc>
          <w:tcPr>
            <w:tcW w:w="1134" w:type="dxa"/>
            <w:shd w:val="clear" w:color="auto" w:fill="auto"/>
          </w:tcPr>
          <w:p w:rsidR="00FC41F4" w:rsidRPr="00577593" w:rsidRDefault="008925FA" w:rsidP="002000D4">
            <w:pPr>
              <w:spacing w:after="0" w:line="240" w:lineRule="auto"/>
              <w:jc w:val="center"/>
              <w:rPr>
                <w:rFonts w:ascii="Times New Roman" w:eastAsia="Times New Roman" w:hAnsi="Times New Roman"/>
                <w:sz w:val="20"/>
                <w:szCs w:val="20"/>
              </w:rPr>
            </w:pPr>
            <w:r w:rsidRPr="00577593">
              <w:rPr>
                <w:rFonts w:ascii="Times New Roman" w:eastAsia="Times New Roman" w:hAnsi="Times New Roman"/>
                <w:sz w:val="20"/>
                <w:szCs w:val="20"/>
              </w:rPr>
              <w:t>51,4</w:t>
            </w:r>
          </w:p>
        </w:tc>
        <w:tc>
          <w:tcPr>
            <w:tcW w:w="1276" w:type="dxa"/>
            <w:shd w:val="clear" w:color="auto" w:fill="auto"/>
          </w:tcPr>
          <w:p w:rsidR="00FC41F4" w:rsidRPr="00577593" w:rsidRDefault="008925FA" w:rsidP="002000D4">
            <w:pPr>
              <w:spacing w:after="0" w:line="240" w:lineRule="auto"/>
              <w:jc w:val="center"/>
              <w:rPr>
                <w:rFonts w:ascii="Times New Roman" w:eastAsia="Times New Roman" w:hAnsi="Times New Roman"/>
                <w:sz w:val="20"/>
                <w:szCs w:val="20"/>
              </w:rPr>
            </w:pPr>
            <w:r w:rsidRPr="00577593">
              <w:rPr>
                <w:rFonts w:ascii="Times New Roman" w:eastAsia="Times New Roman" w:hAnsi="Times New Roman"/>
                <w:sz w:val="20"/>
                <w:szCs w:val="20"/>
              </w:rPr>
              <w:t>100,2</w:t>
            </w:r>
          </w:p>
        </w:tc>
        <w:tc>
          <w:tcPr>
            <w:tcW w:w="1134" w:type="dxa"/>
            <w:shd w:val="clear" w:color="auto" w:fill="auto"/>
          </w:tcPr>
          <w:p w:rsidR="00FC41F4" w:rsidRPr="00577593" w:rsidRDefault="008925FA" w:rsidP="002000D4">
            <w:pPr>
              <w:spacing w:after="0" w:line="240" w:lineRule="auto"/>
              <w:jc w:val="center"/>
              <w:rPr>
                <w:rFonts w:ascii="Times New Roman" w:eastAsia="Times New Roman" w:hAnsi="Times New Roman"/>
                <w:sz w:val="20"/>
                <w:szCs w:val="20"/>
              </w:rPr>
            </w:pPr>
            <w:r w:rsidRPr="00577593">
              <w:rPr>
                <w:rFonts w:ascii="Times New Roman" w:eastAsia="Times New Roman" w:hAnsi="Times New Roman"/>
                <w:sz w:val="20"/>
                <w:szCs w:val="20"/>
              </w:rPr>
              <w:t>93,2</w:t>
            </w:r>
          </w:p>
        </w:tc>
        <w:tc>
          <w:tcPr>
            <w:tcW w:w="1559" w:type="dxa"/>
            <w:shd w:val="clear" w:color="auto" w:fill="auto"/>
          </w:tcPr>
          <w:p w:rsidR="00FC41F4" w:rsidRPr="00577593" w:rsidRDefault="008925FA" w:rsidP="002000D4">
            <w:pPr>
              <w:spacing w:after="0" w:line="240" w:lineRule="auto"/>
              <w:contextualSpacing/>
              <w:jc w:val="center"/>
              <w:rPr>
                <w:rFonts w:ascii="Times New Roman" w:hAnsi="Times New Roman"/>
                <w:sz w:val="20"/>
                <w:szCs w:val="20"/>
              </w:rPr>
            </w:pPr>
            <w:r w:rsidRPr="00577593">
              <w:rPr>
                <w:rFonts w:ascii="Times New Roman" w:hAnsi="Times New Roman"/>
                <w:sz w:val="20"/>
                <w:szCs w:val="20"/>
              </w:rPr>
              <w:t>н/д</w:t>
            </w:r>
          </w:p>
        </w:tc>
      </w:tr>
      <w:tr w:rsidR="00FC41F4" w:rsidRPr="00577593" w:rsidTr="005F1DC6">
        <w:tc>
          <w:tcPr>
            <w:tcW w:w="959" w:type="dxa"/>
            <w:shd w:val="clear" w:color="auto" w:fill="auto"/>
          </w:tcPr>
          <w:p w:rsidR="00FC41F4" w:rsidRPr="00577593" w:rsidRDefault="008925FA" w:rsidP="002000D4">
            <w:pPr>
              <w:spacing w:after="0" w:line="240" w:lineRule="auto"/>
              <w:contextualSpacing/>
              <w:jc w:val="both"/>
              <w:rPr>
                <w:rFonts w:ascii="Times New Roman" w:hAnsi="Times New Roman"/>
                <w:sz w:val="20"/>
              </w:rPr>
            </w:pPr>
            <w:r w:rsidRPr="00577593">
              <w:rPr>
                <w:rFonts w:ascii="Times New Roman" w:hAnsi="Times New Roman"/>
                <w:sz w:val="20"/>
              </w:rPr>
              <w:t>2019</w:t>
            </w:r>
          </w:p>
        </w:tc>
        <w:tc>
          <w:tcPr>
            <w:tcW w:w="1134" w:type="dxa"/>
            <w:shd w:val="clear" w:color="auto" w:fill="auto"/>
          </w:tcPr>
          <w:p w:rsidR="00FC41F4" w:rsidRPr="00577593" w:rsidRDefault="008925FA" w:rsidP="002000D4">
            <w:pPr>
              <w:spacing w:after="0" w:line="240" w:lineRule="auto"/>
              <w:jc w:val="center"/>
              <w:rPr>
                <w:rFonts w:ascii="Times New Roman" w:eastAsia="Times New Roman" w:hAnsi="Times New Roman"/>
                <w:sz w:val="20"/>
                <w:szCs w:val="20"/>
              </w:rPr>
            </w:pPr>
            <w:r w:rsidRPr="00577593">
              <w:rPr>
                <w:rFonts w:ascii="Times New Roman" w:eastAsia="Times New Roman" w:hAnsi="Times New Roman"/>
                <w:sz w:val="20"/>
                <w:szCs w:val="20"/>
              </w:rPr>
              <w:t>388,6</w:t>
            </w:r>
          </w:p>
        </w:tc>
        <w:tc>
          <w:tcPr>
            <w:tcW w:w="992" w:type="dxa"/>
            <w:shd w:val="clear" w:color="auto" w:fill="auto"/>
          </w:tcPr>
          <w:p w:rsidR="00FC41F4" w:rsidRPr="00577593" w:rsidRDefault="008925FA" w:rsidP="002000D4">
            <w:pPr>
              <w:spacing w:after="0" w:line="240" w:lineRule="auto"/>
              <w:jc w:val="center"/>
              <w:rPr>
                <w:rFonts w:ascii="Times New Roman" w:eastAsia="Times New Roman" w:hAnsi="Times New Roman"/>
                <w:sz w:val="20"/>
                <w:szCs w:val="20"/>
              </w:rPr>
            </w:pPr>
            <w:r w:rsidRPr="00577593">
              <w:rPr>
                <w:rFonts w:ascii="Times New Roman" w:eastAsia="Times New Roman" w:hAnsi="Times New Roman"/>
                <w:sz w:val="20"/>
                <w:szCs w:val="20"/>
              </w:rPr>
              <w:t>120,2</w:t>
            </w:r>
          </w:p>
        </w:tc>
        <w:tc>
          <w:tcPr>
            <w:tcW w:w="1134" w:type="dxa"/>
            <w:shd w:val="clear" w:color="auto" w:fill="auto"/>
          </w:tcPr>
          <w:p w:rsidR="00FC41F4" w:rsidRPr="00577593" w:rsidRDefault="008925FA" w:rsidP="002000D4">
            <w:pPr>
              <w:spacing w:after="0" w:line="240" w:lineRule="auto"/>
              <w:jc w:val="center"/>
              <w:rPr>
                <w:rFonts w:ascii="Times New Roman" w:eastAsia="Times New Roman" w:hAnsi="Times New Roman"/>
                <w:sz w:val="20"/>
                <w:szCs w:val="20"/>
              </w:rPr>
            </w:pPr>
            <w:r w:rsidRPr="00577593">
              <w:rPr>
                <w:rFonts w:ascii="Times New Roman" w:eastAsia="Times New Roman" w:hAnsi="Times New Roman"/>
                <w:sz w:val="20"/>
                <w:szCs w:val="20"/>
              </w:rPr>
              <w:t>23,9</w:t>
            </w:r>
          </w:p>
        </w:tc>
        <w:tc>
          <w:tcPr>
            <w:tcW w:w="1134" w:type="dxa"/>
            <w:shd w:val="clear" w:color="auto" w:fill="auto"/>
          </w:tcPr>
          <w:p w:rsidR="00FC41F4" w:rsidRPr="00577593" w:rsidRDefault="008925FA" w:rsidP="002000D4">
            <w:pPr>
              <w:spacing w:after="0" w:line="240" w:lineRule="auto"/>
              <w:jc w:val="center"/>
              <w:rPr>
                <w:rFonts w:ascii="Times New Roman" w:eastAsia="Times New Roman" w:hAnsi="Times New Roman"/>
                <w:sz w:val="20"/>
                <w:szCs w:val="20"/>
              </w:rPr>
            </w:pPr>
            <w:r w:rsidRPr="00577593">
              <w:rPr>
                <w:rFonts w:ascii="Times New Roman" w:eastAsia="Times New Roman" w:hAnsi="Times New Roman"/>
                <w:sz w:val="20"/>
                <w:szCs w:val="20"/>
              </w:rPr>
              <w:t>62,2</w:t>
            </w:r>
          </w:p>
        </w:tc>
        <w:tc>
          <w:tcPr>
            <w:tcW w:w="1276" w:type="dxa"/>
            <w:shd w:val="clear" w:color="auto" w:fill="auto"/>
          </w:tcPr>
          <w:p w:rsidR="00FC41F4" w:rsidRPr="00577593" w:rsidRDefault="008925FA" w:rsidP="002000D4">
            <w:pPr>
              <w:spacing w:after="0" w:line="240" w:lineRule="auto"/>
              <w:jc w:val="center"/>
              <w:rPr>
                <w:rFonts w:ascii="Times New Roman" w:eastAsia="Times New Roman" w:hAnsi="Times New Roman"/>
                <w:sz w:val="20"/>
                <w:szCs w:val="20"/>
              </w:rPr>
            </w:pPr>
            <w:r w:rsidRPr="00577593">
              <w:rPr>
                <w:rFonts w:ascii="Times New Roman" w:eastAsia="Times New Roman" w:hAnsi="Times New Roman"/>
                <w:sz w:val="20"/>
                <w:szCs w:val="20"/>
              </w:rPr>
              <w:t>112,5</w:t>
            </w:r>
          </w:p>
        </w:tc>
        <w:tc>
          <w:tcPr>
            <w:tcW w:w="1134" w:type="dxa"/>
            <w:shd w:val="clear" w:color="auto" w:fill="auto"/>
          </w:tcPr>
          <w:p w:rsidR="00FC41F4" w:rsidRPr="00577593" w:rsidRDefault="008925FA" w:rsidP="002000D4">
            <w:pPr>
              <w:spacing w:after="0" w:line="240" w:lineRule="auto"/>
              <w:jc w:val="center"/>
              <w:rPr>
                <w:rFonts w:ascii="Times New Roman" w:eastAsia="Times New Roman" w:hAnsi="Times New Roman"/>
                <w:sz w:val="20"/>
                <w:szCs w:val="20"/>
              </w:rPr>
            </w:pPr>
            <w:r w:rsidRPr="00577593">
              <w:rPr>
                <w:rFonts w:ascii="Times New Roman" w:eastAsia="Times New Roman" w:hAnsi="Times New Roman"/>
                <w:sz w:val="20"/>
                <w:szCs w:val="20"/>
              </w:rPr>
              <w:t>69,8</w:t>
            </w:r>
          </w:p>
        </w:tc>
        <w:tc>
          <w:tcPr>
            <w:tcW w:w="1559" w:type="dxa"/>
            <w:shd w:val="clear" w:color="auto" w:fill="auto"/>
          </w:tcPr>
          <w:p w:rsidR="00FC41F4" w:rsidRPr="00577593" w:rsidRDefault="008925FA" w:rsidP="002000D4">
            <w:pPr>
              <w:spacing w:after="0" w:line="240" w:lineRule="auto"/>
              <w:contextualSpacing/>
              <w:jc w:val="center"/>
              <w:rPr>
                <w:rFonts w:ascii="Times New Roman" w:hAnsi="Times New Roman"/>
                <w:sz w:val="20"/>
              </w:rPr>
            </w:pPr>
            <w:r w:rsidRPr="00577593">
              <w:rPr>
                <w:rFonts w:ascii="Times New Roman" w:hAnsi="Times New Roman"/>
                <w:sz w:val="20"/>
              </w:rPr>
              <w:t>н/д</w:t>
            </w:r>
          </w:p>
        </w:tc>
      </w:tr>
    </w:tbl>
    <w:p w:rsidR="00FC41F4" w:rsidRPr="00577593" w:rsidRDefault="008925FA" w:rsidP="002000D4">
      <w:pPr>
        <w:pStyle w:val="aff9"/>
        <w:ind w:firstLine="709"/>
        <w:jc w:val="both"/>
        <w:rPr>
          <w:rFonts w:ascii="Times New Roman" w:hAnsi="Times New Roman"/>
          <w:i w:val="0"/>
          <w:color w:val="auto"/>
          <w:sz w:val="28"/>
          <w:szCs w:val="28"/>
        </w:rPr>
      </w:pPr>
      <w:r w:rsidRPr="00577593">
        <w:rPr>
          <w:rFonts w:ascii="Times New Roman" w:hAnsi="Times New Roman"/>
          <w:i w:val="0"/>
          <w:color w:val="auto"/>
          <w:sz w:val="28"/>
          <w:szCs w:val="28"/>
        </w:rPr>
        <w:t xml:space="preserve">Примечание </w:t>
      </w:r>
      <w:r w:rsidR="0099669C" w:rsidRPr="00577593">
        <w:rPr>
          <w:rFonts w:ascii="Times New Roman" w:hAnsi="Times New Roman"/>
          <w:i w:val="0"/>
          <w:color w:val="auto"/>
          <w:sz w:val="28"/>
          <w:szCs w:val="28"/>
        </w:rPr>
        <w:t>–</w:t>
      </w:r>
      <w:r w:rsidRPr="00577593">
        <w:rPr>
          <w:rFonts w:ascii="Times New Roman" w:hAnsi="Times New Roman"/>
          <w:i w:val="0"/>
          <w:color w:val="auto"/>
          <w:sz w:val="28"/>
          <w:szCs w:val="28"/>
        </w:rPr>
        <w:t xml:space="preserve"> Источник: на основе данных </w:t>
      </w:r>
      <w:r w:rsidRPr="00577593">
        <w:rPr>
          <w:rFonts w:ascii="Times New Roman" w:hAnsi="Times New Roman"/>
          <w:i w:val="0"/>
          <w:iCs w:val="0"/>
          <w:color w:val="auto"/>
          <w:sz w:val="28"/>
          <w:szCs w:val="28"/>
        </w:rPr>
        <w:t>администрации</w:t>
      </w:r>
      <w:r w:rsidRPr="00577593">
        <w:rPr>
          <w:rFonts w:ascii="Times New Roman" w:hAnsi="Times New Roman"/>
          <w:i w:val="0"/>
          <w:color w:val="auto"/>
          <w:sz w:val="28"/>
          <w:szCs w:val="28"/>
        </w:rPr>
        <w:t xml:space="preserve"> города Барнаула</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К основным проблемам в сфере муниципального имущества можно отнести:</w:t>
      </w:r>
    </w:p>
    <w:p w:rsidR="00FC41F4" w:rsidRPr="00577593" w:rsidRDefault="008925FA" w:rsidP="002000D4">
      <w:pPr>
        <w:pStyle w:val="af5"/>
        <w:numPr>
          <w:ilvl w:val="0"/>
          <w:numId w:val="23"/>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 xml:space="preserve">наличие большого количества бесхозяйного имущества; </w:t>
      </w:r>
    </w:p>
    <w:p w:rsidR="00FC41F4" w:rsidRPr="00577593" w:rsidRDefault="008925FA" w:rsidP="002000D4">
      <w:pPr>
        <w:pStyle w:val="af5"/>
        <w:numPr>
          <w:ilvl w:val="0"/>
          <w:numId w:val="23"/>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уменьшение количества муниципального имущества из-за приватизации и</w:t>
      </w:r>
      <w:r w:rsidR="003F0645" w:rsidRPr="00577593">
        <w:rPr>
          <w:rFonts w:ascii="Times New Roman" w:eastAsia="Times New Roman" w:hAnsi="Times New Roman"/>
          <w:sz w:val="28"/>
          <w:szCs w:val="28"/>
          <w:lang w:eastAsia="ru-RU"/>
        </w:rPr>
        <w:t> </w:t>
      </w:r>
      <w:r w:rsidRPr="00577593">
        <w:rPr>
          <w:rFonts w:ascii="Times New Roman" w:eastAsia="Times New Roman" w:hAnsi="Times New Roman"/>
          <w:sz w:val="28"/>
          <w:szCs w:val="28"/>
          <w:lang w:eastAsia="ru-RU"/>
        </w:rPr>
        <w:t>соответствующего снижения бюджетных доходов</w:t>
      </w:r>
      <w:r w:rsidR="003F0645" w:rsidRPr="00577593">
        <w:rPr>
          <w:rFonts w:ascii="Times New Roman" w:eastAsia="Times New Roman" w:hAnsi="Times New Roman"/>
          <w:sz w:val="28"/>
          <w:szCs w:val="28"/>
          <w:lang w:eastAsia="ru-RU"/>
        </w:rPr>
        <w:t>.</w:t>
      </w:r>
    </w:p>
    <w:p w:rsidR="00A158CB" w:rsidRPr="00C0673C" w:rsidRDefault="008925FA" w:rsidP="00C0673C">
      <w:pPr>
        <w:pStyle w:val="2"/>
        <w:spacing w:line="240" w:lineRule="auto"/>
        <w:ind w:firstLine="709"/>
        <w:jc w:val="both"/>
        <w:rPr>
          <w:rFonts w:ascii="Times New Roman" w:eastAsia="Times New Roman" w:hAnsi="Times New Roman"/>
          <w:color w:val="auto"/>
          <w:sz w:val="28"/>
          <w:szCs w:val="28"/>
        </w:rPr>
      </w:pPr>
      <w:bookmarkStart w:id="199" w:name="_Toc1714544469"/>
      <w:bookmarkStart w:id="200" w:name="_Toc212804285"/>
      <w:r w:rsidRPr="00577593">
        <w:rPr>
          <w:rFonts w:ascii="Times New Roman" w:eastAsia="Times New Roman" w:hAnsi="Times New Roman"/>
          <w:color w:val="auto"/>
          <w:sz w:val="28"/>
          <w:szCs w:val="28"/>
        </w:rPr>
        <w:t>3</w:t>
      </w:r>
      <w:r w:rsidR="00C3152E">
        <w:rPr>
          <w:rFonts w:ascii="Times New Roman" w:eastAsia="Times New Roman" w:hAnsi="Times New Roman"/>
          <w:color w:val="auto"/>
          <w:sz w:val="28"/>
          <w:szCs w:val="28"/>
        </w:rPr>
        <w:t>.</w:t>
      </w:r>
      <w:r w:rsidRPr="00577593">
        <w:rPr>
          <w:rFonts w:ascii="Times New Roman" w:eastAsia="Times New Roman" w:hAnsi="Times New Roman"/>
          <w:color w:val="auto"/>
          <w:sz w:val="28"/>
          <w:szCs w:val="28"/>
        </w:rPr>
        <w:t xml:space="preserve"> Сравнительный анализ социально-экономического развития города Барнаула и других крупных городов Сибири</w:t>
      </w:r>
      <w:bookmarkEnd w:id="199"/>
      <w:bookmarkEnd w:id="200"/>
    </w:p>
    <w:p w:rsidR="0047469B" w:rsidRPr="0060109F" w:rsidRDefault="0047469B" w:rsidP="0047469B">
      <w:pPr>
        <w:spacing w:after="0" w:line="240" w:lineRule="auto"/>
        <w:ind w:firstLine="709"/>
        <w:jc w:val="both"/>
        <w:rPr>
          <w:rFonts w:ascii="Times New Roman" w:eastAsia="Times New Roman" w:hAnsi="Times New Roman"/>
          <w:sz w:val="28"/>
          <w:szCs w:val="28"/>
          <w:lang w:eastAsia="ru-RU"/>
        </w:rPr>
      </w:pPr>
      <w:r w:rsidRPr="0060109F">
        <w:rPr>
          <w:rFonts w:ascii="Times New Roman" w:eastAsia="Times New Roman" w:hAnsi="Times New Roman"/>
          <w:sz w:val="28"/>
          <w:szCs w:val="28"/>
          <w:lang w:eastAsia="ru-RU"/>
        </w:rPr>
        <w:t xml:space="preserve">Для объективной оценки </w:t>
      </w:r>
      <w:r w:rsidRPr="0047469B">
        <w:rPr>
          <w:rFonts w:ascii="Times New Roman" w:eastAsia="Times New Roman" w:hAnsi="Times New Roman"/>
          <w:bCs/>
          <w:sz w:val="28"/>
          <w:szCs w:val="28"/>
          <w:lang w:eastAsia="ru-RU"/>
        </w:rPr>
        <w:t>социально</w:t>
      </w:r>
      <w:r w:rsidRPr="0047469B">
        <w:rPr>
          <w:rFonts w:ascii="Times New Roman" w:eastAsia="Times New Roman" w:hAnsi="Times New Roman"/>
          <w:bCs/>
          <w:sz w:val="28"/>
          <w:szCs w:val="28"/>
          <w:lang w:eastAsia="ru-RU"/>
        </w:rPr>
        <w:noBreakHyphen/>
        <w:t>экономического положения города Барнаула</w:t>
      </w:r>
      <w:r w:rsidRPr="0060109F">
        <w:rPr>
          <w:rFonts w:ascii="Times New Roman" w:eastAsia="Times New Roman" w:hAnsi="Times New Roman"/>
          <w:sz w:val="28"/>
          <w:szCs w:val="28"/>
          <w:lang w:eastAsia="ru-RU"/>
        </w:rPr>
        <w:t xml:space="preserve"> необходимо рассматривать его развитие в сравнении с другими городами, сопоставимыми по статусу и масштабу экономики. В качестве базовых точек для анализа выбраны </w:t>
      </w:r>
      <w:r w:rsidRPr="0047469B">
        <w:rPr>
          <w:rFonts w:ascii="Times New Roman" w:eastAsia="Times New Roman" w:hAnsi="Times New Roman"/>
          <w:bCs/>
          <w:sz w:val="28"/>
          <w:szCs w:val="28"/>
          <w:lang w:eastAsia="ru-RU"/>
        </w:rPr>
        <w:t>столичные города Сибирского федерального округа</w:t>
      </w:r>
      <w:r w:rsidRPr="0060109F">
        <w:rPr>
          <w:rFonts w:ascii="Times New Roman" w:eastAsia="Times New Roman" w:hAnsi="Times New Roman"/>
          <w:sz w:val="28"/>
          <w:szCs w:val="28"/>
          <w:lang w:eastAsia="ru-RU"/>
        </w:rPr>
        <w:t xml:space="preserve"> — Иркутск, Кемерово, Красноярск, Новосибирск, Омск и Томск, а также </w:t>
      </w:r>
      <w:r w:rsidRPr="0047469B">
        <w:rPr>
          <w:rFonts w:ascii="Times New Roman" w:eastAsia="Times New Roman" w:hAnsi="Times New Roman"/>
          <w:bCs/>
          <w:sz w:val="28"/>
          <w:szCs w:val="28"/>
          <w:lang w:eastAsia="ru-RU"/>
        </w:rPr>
        <w:t>город Бийск</w:t>
      </w:r>
      <w:r w:rsidRPr="0060109F">
        <w:rPr>
          <w:rFonts w:ascii="Times New Roman" w:eastAsia="Times New Roman" w:hAnsi="Times New Roman"/>
          <w:sz w:val="28"/>
          <w:szCs w:val="28"/>
          <w:lang w:eastAsia="ru-RU"/>
        </w:rPr>
        <w:t>, являющийся вторым по численности населения и экономической значимости центром Алтайского края. Такое сопоставление позволяет определить конкурентные преимущества Барнаула и выявить направления, требующие дополнительного развития.</w:t>
      </w:r>
    </w:p>
    <w:p w:rsidR="0047469B" w:rsidRPr="0047469B" w:rsidRDefault="0047469B" w:rsidP="0047469B">
      <w:pPr>
        <w:spacing w:after="0" w:line="240" w:lineRule="auto"/>
        <w:ind w:firstLine="709"/>
        <w:jc w:val="both"/>
        <w:rPr>
          <w:rFonts w:ascii="Times New Roman" w:eastAsia="Times New Roman" w:hAnsi="Times New Roman"/>
          <w:sz w:val="28"/>
          <w:szCs w:val="28"/>
          <w:lang w:eastAsia="ru-RU"/>
        </w:rPr>
      </w:pPr>
      <w:r w:rsidRPr="0047469B">
        <w:rPr>
          <w:rFonts w:ascii="Times New Roman" w:eastAsia="Times New Roman" w:hAnsi="Times New Roman"/>
          <w:sz w:val="28"/>
          <w:szCs w:val="28"/>
          <w:lang w:eastAsia="ru-RU"/>
        </w:rPr>
        <w:t xml:space="preserve">Барнаул традиционно занимает </w:t>
      </w:r>
      <w:r w:rsidRPr="0047469B">
        <w:rPr>
          <w:rFonts w:ascii="Times New Roman" w:eastAsia="Times New Roman" w:hAnsi="Times New Roman"/>
          <w:bCs/>
          <w:sz w:val="28"/>
          <w:szCs w:val="28"/>
          <w:lang w:eastAsia="ru-RU"/>
        </w:rPr>
        <w:t>ведущее положение среди региональных столиц Сибири</w:t>
      </w:r>
      <w:r w:rsidRPr="0047469B">
        <w:rPr>
          <w:rFonts w:ascii="Times New Roman" w:eastAsia="Times New Roman" w:hAnsi="Times New Roman"/>
          <w:sz w:val="28"/>
          <w:szCs w:val="28"/>
          <w:lang w:eastAsia="ru-RU"/>
        </w:rPr>
        <w:t xml:space="preserve"> по динамике жилищного строительства. Несмотря на снижение показателей с 2022 года, город сохраняет прочные позиции как по </w:t>
      </w:r>
      <w:r w:rsidRPr="0047469B">
        <w:rPr>
          <w:rFonts w:ascii="Times New Roman" w:eastAsia="Times New Roman" w:hAnsi="Times New Roman"/>
          <w:bCs/>
          <w:sz w:val="28"/>
          <w:szCs w:val="28"/>
          <w:lang w:eastAsia="ru-RU"/>
        </w:rPr>
        <w:t>общему вводу жилья</w:t>
      </w:r>
      <w:r w:rsidRPr="0047469B">
        <w:rPr>
          <w:rFonts w:ascii="Times New Roman" w:eastAsia="Times New Roman" w:hAnsi="Times New Roman"/>
          <w:sz w:val="28"/>
          <w:szCs w:val="28"/>
          <w:lang w:eastAsia="ru-RU"/>
        </w:rPr>
        <w:t xml:space="preserve">, так и по </w:t>
      </w:r>
      <w:r w:rsidRPr="0047469B">
        <w:rPr>
          <w:rFonts w:ascii="Times New Roman" w:eastAsia="Times New Roman" w:hAnsi="Times New Roman"/>
          <w:bCs/>
          <w:sz w:val="28"/>
          <w:szCs w:val="28"/>
          <w:lang w:eastAsia="ru-RU"/>
        </w:rPr>
        <w:t>вводу жилья на душу населения</w:t>
      </w:r>
      <w:r w:rsidRPr="0047469B">
        <w:rPr>
          <w:rFonts w:ascii="Times New Roman" w:eastAsia="Times New Roman" w:hAnsi="Times New Roman"/>
          <w:sz w:val="28"/>
          <w:szCs w:val="28"/>
          <w:lang w:eastAsia="ru-RU"/>
        </w:rPr>
        <w:t xml:space="preserve">. В 2024 году по объёмам ввода жилья Барнаул опередил Иркутск, Кемерово, Омск, Томск и Бийск, уступив лишь Красноярску (в 1,5 раза) и Новосибирску (более чем в 3 раза). По показателю ввода жилья на душу населения </w:t>
      </w:r>
      <w:r w:rsidRPr="0047469B">
        <w:rPr>
          <w:rFonts w:ascii="Times New Roman" w:eastAsia="Times New Roman" w:hAnsi="Times New Roman"/>
          <w:bCs/>
          <w:sz w:val="28"/>
          <w:szCs w:val="28"/>
          <w:lang w:eastAsia="ru-RU"/>
        </w:rPr>
        <w:t>город занял второе место</w:t>
      </w:r>
      <w:r w:rsidRPr="0047469B">
        <w:rPr>
          <w:rFonts w:ascii="Times New Roman" w:eastAsia="Times New Roman" w:hAnsi="Times New Roman"/>
          <w:sz w:val="28"/>
          <w:szCs w:val="28"/>
          <w:lang w:eastAsia="ru-RU"/>
        </w:rPr>
        <w:t xml:space="preserve">, уступив только Новосибирску, который опережал Барнаул в 1,4 раза. Следует отметить, что в 2021–2022 годах Барнаул занимал </w:t>
      </w:r>
      <w:r w:rsidRPr="0047469B">
        <w:rPr>
          <w:rFonts w:ascii="Times New Roman" w:eastAsia="Times New Roman" w:hAnsi="Times New Roman"/>
          <w:bCs/>
          <w:sz w:val="28"/>
          <w:szCs w:val="28"/>
          <w:lang w:eastAsia="ru-RU"/>
        </w:rPr>
        <w:t>лидирующую позицию среди всех сопоставляемых городов</w:t>
      </w:r>
      <w:r w:rsidRPr="0047469B">
        <w:rPr>
          <w:rFonts w:ascii="Times New Roman" w:eastAsia="Times New Roman" w:hAnsi="Times New Roman"/>
          <w:sz w:val="28"/>
          <w:szCs w:val="28"/>
          <w:lang w:eastAsia="ru-RU"/>
        </w:rPr>
        <w:t>, что свидетельствует о высоком потенциале жилищного строительства и постепенном формировании комфортной городской среды.</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По основным экономическим подушевым показателям (объем промышленного производства, инвестиций в основной капитал, индексу промышленного производства) город занимает 5-6-е место среди региональных столиц Сибири.</w:t>
      </w:r>
    </w:p>
    <w:p w:rsidR="00BF467B" w:rsidRPr="0060109F" w:rsidRDefault="00BF467B" w:rsidP="00BF467B">
      <w:pPr>
        <w:spacing w:after="0" w:line="240" w:lineRule="auto"/>
        <w:ind w:firstLine="709"/>
        <w:jc w:val="both"/>
        <w:rPr>
          <w:rFonts w:ascii="Times New Roman" w:eastAsia="Times New Roman" w:hAnsi="Times New Roman"/>
          <w:sz w:val="28"/>
          <w:szCs w:val="28"/>
          <w:lang w:eastAsia="ru-RU"/>
        </w:rPr>
      </w:pPr>
      <w:r w:rsidRPr="0060109F">
        <w:rPr>
          <w:rFonts w:ascii="Times New Roman" w:eastAsia="Times New Roman" w:hAnsi="Times New Roman"/>
          <w:sz w:val="28"/>
          <w:szCs w:val="28"/>
          <w:lang w:eastAsia="ru-RU"/>
        </w:rPr>
        <w:lastRenderedPageBreak/>
        <w:t xml:space="preserve">Структура промышленного производства Барнаула заметно отличается от отраслевого профиля других сибирских центров. Так, для Омска характерно развитие </w:t>
      </w:r>
      <w:r w:rsidRPr="00BF467B">
        <w:rPr>
          <w:rFonts w:ascii="Times New Roman" w:eastAsia="Times New Roman" w:hAnsi="Times New Roman"/>
          <w:bCs/>
          <w:sz w:val="28"/>
          <w:szCs w:val="28"/>
          <w:lang w:eastAsia="ru-RU"/>
        </w:rPr>
        <w:t>нефтехимического комплекса</w:t>
      </w:r>
      <w:r w:rsidRPr="0060109F">
        <w:rPr>
          <w:rFonts w:ascii="Times New Roman" w:eastAsia="Times New Roman" w:hAnsi="Times New Roman"/>
          <w:sz w:val="28"/>
          <w:szCs w:val="28"/>
          <w:lang w:eastAsia="ru-RU"/>
        </w:rPr>
        <w:t xml:space="preserve">, для Красноярска — </w:t>
      </w:r>
      <w:r w:rsidRPr="00BF467B">
        <w:rPr>
          <w:rFonts w:ascii="Times New Roman" w:eastAsia="Times New Roman" w:hAnsi="Times New Roman"/>
          <w:bCs/>
          <w:sz w:val="28"/>
          <w:szCs w:val="28"/>
          <w:lang w:eastAsia="ru-RU"/>
        </w:rPr>
        <w:t>металлургического производства</w:t>
      </w:r>
      <w:r w:rsidRPr="0060109F">
        <w:rPr>
          <w:rFonts w:ascii="Times New Roman" w:eastAsia="Times New Roman" w:hAnsi="Times New Roman"/>
          <w:sz w:val="28"/>
          <w:szCs w:val="28"/>
          <w:lang w:eastAsia="ru-RU"/>
        </w:rPr>
        <w:t xml:space="preserve">, для Новосибирска — </w:t>
      </w:r>
      <w:r w:rsidRPr="00BF467B">
        <w:rPr>
          <w:rFonts w:ascii="Times New Roman" w:eastAsia="Times New Roman" w:hAnsi="Times New Roman"/>
          <w:bCs/>
          <w:sz w:val="28"/>
          <w:szCs w:val="28"/>
          <w:lang w:eastAsia="ru-RU"/>
        </w:rPr>
        <w:t>машиностроения и приборостроения</w:t>
      </w:r>
      <w:r w:rsidRPr="0060109F">
        <w:rPr>
          <w:rFonts w:ascii="Times New Roman" w:eastAsia="Times New Roman" w:hAnsi="Times New Roman"/>
          <w:sz w:val="28"/>
          <w:szCs w:val="28"/>
          <w:lang w:eastAsia="ru-RU"/>
        </w:rPr>
        <w:t xml:space="preserve">. В Барнауле крупнейшие доли в промышленной структуре занимают </w:t>
      </w:r>
      <w:r w:rsidRPr="00BF467B">
        <w:rPr>
          <w:rFonts w:ascii="Times New Roman" w:eastAsia="Times New Roman" w:hAnsi="Times New Roman"/>
          <w:bCs/>
          <w:sz w:val="28"/>
          <w:szCs w:val="28"/>
          <w:lang w:eastAsia="ru-RU"/>
        </w:rPr>
        <w:t>пищевая и перерабатывающая промышленность</w:t>
      </w:r>
      <w:r w:rsidRPr="0060109F">
        <w:rPr>
          <w:rFonts w:ascii="Times New Roman" w:eastAsia="Times New Roman" w:hAnsi="Times New Roman"/>
          <w:sz w:val="28"/>
          <w:szCs w:val="28"/>
          <w:lang w:eastAsia="ru-RU"/>
        </w:rPr>
        <w:t xml:space="preserve">, а также </w:t>
      </w:r>
      <w:r w:rsidRPr="00BF467B">
        <w:rPr>
          <w:rFonts w:ascii="Times New Roman" w:eastAsia="Times New Roman" w:hAnsi="Times New Roman"/>
          <w:bCs/>
          <w:sz w:val="28"/>
          <w:szCs w:val="28"/>
          <w:lang w:eastAsia="ru-RU"/>
        </w:rPr>
        <w:t>машиностроение</w:t>
      </w:r>
      <w:r w:rsidRPr="0060109F">
        <w:rPr>
          <w:rFonts w:ascii="Times New Roman" w:eastAsia="Times New Roman" w:hAnsi="Times New Roman"/>
          <w:sz w:val="28"/>
          <w:szCs w:val="28"/>
          <w:lang w:eastAsia="ru-RU"/>
        </w:rPr>
        <w:t>, что обусловлено исторически сложившейся специализацией и наличием устойчивой базы предприятий среднего и малого бизнеса.</w:t>
      </w:r>
    </w:p>
    <w:p w:rsidR="00BF467B" w:rsidRPr="00BF467B" w:rsidRDefault="00BF467B" w:rsidP="002000D4">
      <w:pPr>
        <w:spacing w:after="0" w:line="240" w:lineRule="auto"/>
        <w:ind w:firstLine="709"/>
        <w:jc w:val="both"/>
        <w:rPr>
          <w:rFonts w:ascii="Times New Roman" w:hAnsi="Times New Roman"/>
          <w:sz w:val="28"/>
          <w:szCs w:val="28"/>
        </w:rPr>
      </w:pPr>
      <w:r w:rsidRPr="00BF467B">
        <w:rPr>
          <w:rFonts w:ascii="Times New Roman" w:hAnsi="Times New Roman"/>
          <w:sz w:val="28"/>
          <w:szCs w:val="28"/>
        </w:rPr>
        <w:t xml:space="preserve">В то же время по объёму </w:t>
      </w:r>
      <w:r w:rsidRPr="00BF467B">
        <w:rPr>
          <w:rFonts w:ascii="Times New Roman" w:hAnsi="Times New Roman"/>
          <w:bCs/>
          <w:sz w:val="28"/>
          <w:szCs w:val="28"/>
        </w:rPr>
        <w:t>промышленного производства на душу населения в 2024 году</w:t>
      </w:r>
      <w:r w:rsidRPr="00BF467B">
        <w:rPr>
          <w:rFonts w:ascii="Times New Roman" w:hAnsi="Times New Roman"/>
          <w:sz w:val="28"/>
          <w:szCs w:val="28"/>
        </w:rPr>
        <w:t xml:space="preserve"> город занял </w:t>
      </w:r>
      <w:r w:rsidRPr="00BF467B">
        <w:rPr>
          <w:rFonts w:ascii="Times New Roman" w:hAnsi="Times New Roman"/>
          <w:bCs/>
          <w:sz w:val="28"/>
          <w:szCs w:val="28"/>
        </w:rPr>
        <w:t>последнее место среди столиц Сибирского федерального округа</w:t>
      </w:r>
      <w:r w:rsidRPr="00BF467B">
        <w:rPr>
          <w:rFonts w:ascii="Times New Roman" w:hAnsi="Times New Roman"/>
          <w:sz w:val="28"/>
          <w:szCs w:val="28"/>
        </w:rPr>
        <w:t xml:space="preserve"> и демонстрирует </w:t>
      </w:r>
      <w:r w:rsidRPr="00BF467B">
        <w:rPr>
          <w:rFonts w:ascii="Times New Roman" w:hAnsi="Times New Roman"/>
          <w:bCs/>
          <w:sz w:val="28"/>
          <w:szCs w:val="28"/>
        </w:rPr>
        <w:t>существенное отставание от показателей города Бийска</w:t>
      </w:r>
      <w:r w:rsidRPr="00BF467B">
        <w:rPr>
          <w:rFonts w:ascii="Times New Roman" w:hAnsi="Times New Roman"/>
          <w:sz w:val="28"/>
          <w:szCs w:val="28"/>
        </w:rPr>
        <w:t xml:space="preserve">, где выше концентрация наукоёмких и инновационных производств. </w:t>
      </w:r>
    </w:p>
    <w:p w:rsidR="00FC41F4"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Если рассматривать долю занятых только по виду деятельности обрабатывающих производств (C по ОКВЭД 2), то </w:t>
      </w:r>
      <w:r w:rsidR="005F1DC6">
        <w:rPr>
          <w:rFonts w:ascii="Times New Roman" w:hAnsi="Times New Roman"/>
          <w:sz w:val="28"/>
          <w:szCs w:val="28"/>
        </w:rPr>
        <w:t xml:space="preserve">город </w:t>
      </w:r>
      <w:r w:rsidRPr="00577593">
        <w:rPr>
          <w:rFonts w:ascii="Times New Roman" w:hAnsi="Times New Roman"/>
          <w:sz w:val="28"/>
          <w:szCs w:val="28"/>
        </w:rPr>
        <w:t xml:space="preserve">Барнаул является лидером среди рассматриваемых столиц Сибирского федерального округа, </w:t>
      </w:r>
      <w:r w:rsidR="00C0673C">
        <w:rPr>
          <w:rFonts w:ascii="Times New Roman" w:hAnsi="Times New Roman"/>
          <w:sz w:val="28"/>
          <w:szCs w:val="28"/>
        </w:rPr>
        <w:br/>
      </w:r>
      <w:r w:rsidRPr="00577593">
        <w:rPr>
          <w:rFonts w:ascii="Times New Roman" w:hAnsi="Times New Roman"/>
          <w:sz w:val="28"/>
          <w:szCs w:val="28"/>
        </w:rPr>
        <w:t>но значительно отстает от Бийска (</w:t>
      </w:r>
      <w:r w:rsidR="00D558A5">
        <w:fldChar w:fldCharType="begin"/>
      </w:r>
      <w:r w:rsidR="00D558A5">
        <w:instrText xml:space="preserve"> REF _Ref199471695 \h  \* MERGEFORMAT </w:instrText>
      </w:r>
      <w:r w:rsidR="00D558A5">
        <w:fldChar w:fldCharType="separate"/>
      </w:r>
      <w:r w:rsidR="00071499" w:rsidRPr="00577593">
        <w:rPr>
          <w:rFonts w:ascii="Times New Roman" w:hAnsi="Times New Roman"/>
          <w:sz w:val="28"/>
          <w:szCs w:val="28"/>
        </w:rPr>
        <w:t xml:space="preserve">Рисунок </w:t>
      </w:r>
      <w:r w:rsidR="00D558A5">
        <w:fldChar w:fldCharType="end"/>
      </w:r>
      <w:r w:rsidR="00C3038B">
        <w:rPr>
          <w:rFonts w:ascii="Times New Roman" w:hAnsi="Times New Roman"/>
          <w:sz w:val="28"/>
          <w:szCs w:val="28"/>
        </w:rPr>
        <w:t>65</w:t>
      </w:r>
      <w:r w:rsidRPr="00577593">
        <w:rPr>
          <w:rFonts w:ascii="Times New Roman" w:hAnsi="Times New Roman"/>
          <w:sz w:val="28"/>
          <w:szCs w:val="28"/>
        </w:rPr>
        <w:t>).</w:t>
      </w:r>
    </w:p>
    <w:p w:rsidR="0031317B" w:rsidRPr="00577593" w:rsidRDefault="000D3F7A" w:rsidP="002000D4">
      <w:pPr>
        <w:spacing w:after="0" w:line="240" w:lineRule="auto"/>
        <w:ind w:firstLine="709"/>
        <w:jc w:val="both"/>
        <w:rPr>
          <w:rFonts w:ascii="Times New Roman" w:hAnsi="Times New Roman"/>
          <w:sz w:val="28"/>
          <w:szCs w:val="28"/>
        </w:rPr>
      </w:pPr>
      <w:r w:rsidRPr="00FC5EFE">
        <w:rPr>
          <w:noProof/>
          <w:lang w:eastAsia="ru-RU"/>
        </w:rPr>
        <w:drawing>
          <wp:inline distT="0" distB="0" distL="0" distR="0">
            <wp:extent cx="5447030" cy="2677795"/>
            <wp:effectExtent l="0" t="0" r="0" b="0"/>
            <wp:docPr id="65" name="Объект 6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805EB8" w:rsidRPr="00577593" w:rsidRDefault="00805EB8" w:rsidP="002000D4">
      <w:pPr>
        <w:spacing w:after="0" w:line="240" w:lineRule="auto"/>
        <w:ind w:firstLine="709"/>
        <w:jc w:val="both"/>
        <w:rPr>
          <w:rFonts w:ascii="Times New Roman" w:hAnsi="Times New Roman"/>
          <w:sz w:val="2"/>
          <w:szCs w:val="2"/>
        </w:rPr>
      </w:pPr>
    </w:p>
    <w:p w:rsidR="00FC41F4" w:rsidRPr="00577593" w:rsidRDefault="00FC41F4" w:rsidP="002000D4">
      <w:pPr>
        <w:spacing w:after="0" w:line="240" w:lineRule="auto"/>
        <w:jc w:val="center"/>
        <w:rPr>
          <w:rFonts w:ascii="Times New Roman" w:hAnsi="Times New Roman"/>
          <w:sz w:val="2"/>
          <w:szCs w:val="2"/>
        </w:rPr>
      </w:pPr>
    </w:p>
    <w:p w:rsidR="00FC41F4" w:rsidRDefault="008925FA" w:rsidP="00950472">
      <w:pPr>
        <w:spacing w:after="0" w:line="240" w:lineRule="auto"/>
        <w:jc w:val="center"/>
        <w:rPr>
          <w:rFonts w:ascii="Times New Roman" w:hAnsi="Times New Roman"/>
          <w:sz w:val="28"/>
          <w:szCs w:val="28"/>
        </w:rPr>
      </w:pPr>
      <w:bookmarkStart w:id="201" w:name="_Ref199471695"/>
      <w:r w:rsidRPr="00577593">
        <w:rPr>
          <w:rFonts w:ascii="Times New Roman" w:hAnsi="Times New Roman"/>
          <w:sz w:val="28"/>
          <w:szCs w:val="28"/>
        </w:rPr>
        <w:t xml:space="preserve">Рисунок </w:t>
      </w:r>
      <w:bookmarkEnd w:id="201"/>
      <w:r w:rsidR="00C3038B">
        <w:rPr>
          <w:rFonts w:ascii="Times New Roman" w:hAnsi="Times New Roman"/>
          <w:sz w:val="28"/>
          <w:szCs w:val="28"/>
        </w:rPr>
        <w:t>65</w:t>
      </w:r>
      <w:r w:rsidRPr="00577593">
        <w:rPr>
          <w:rFonts w:ascii="Times New Roman" w:hAnsi="Times New Roman"/>
          <w:sz w:val="28"/>
          <w:szCs w:val="28"/>
        </w:rPr>
        <w:t xml:space="preserve"> </w:t>
      </w:r>
      <w:r w:rsidR="0099669C" w:rsidRPr="00577593">
        <w:rPr>
          <w:rFonts w:ascii="Times New Roman" w:hAnsi="Times New Roman"/>
          <w:sz w:val="28"/>
          <w:szCs w:val="28"/>
        </w:rPr>
        <w:t>–</w:t>
      </w:r>
      <w:r w:rsidRPr="00577593">
        <w:rPr>
          <w:rFonts w:ascii="Times New Roman" w:hAnsi="Times New Roman"/>
          <w:sz w:val="28"/>
          <w:szCs w:val="28"/>
        </w:rPr>
        <w:t xml:space="preserve"> Доля занятых по виду деятельности C «Обрабатывающие производства», %</w:t>
      </w:r>
    </w:p>
    <w:p w:rsidR="000E0959" w:rsidRPr="00577593" w:rsidRDefault="000E0959" w:rsidP="000E0959">
      <w:pPr>
        <w:pStyle w:val="aff9"/>
        <w:spacing w:after="0"/>
        <w:jc w:val="both"/>
        <w:rPr>
          <w:rFonts w:ascii="Times New Roman" w:hAnsi="Times New Roman"/>
          <w:i w:val="0"/>
          <w:color w:val="auto"/>
          <w:sz w:val="28"/>
          <w:szCs w:val="28"/>
        </w:rPr>
      </w:pPr>
      <w:r w:rsidRPr="00577593">
        <w:rPr>
          <w:rFonts w:ascii="Times New Roman" w:hAnsi="Times New Roman"/>
          <w:i w:val="0"/>
          <w:color w:val="auto"/>
          <w:sz w:val="28"/>
          <w:szCs w:val="28"/>
        </w:rPr>
        <w:t>Примечание – Источник: оценка по данным Росстата</w:t>
      </w:r>
    </w:p>
    <w:p w:rsidR="00950472" w:rsidRPr="00BF467B" w:rsidRDefault="00950472" w:rsidP="00950472">
      <w:pPr>
        <w:spacing w:after="0" w:line="240" w:lineRule="auto"/>
        <w:jc w:val="center"/>
        <w:rPr>
          <w:rFonts w:ascii="Times New Roman" w:hAnsi="Times New Roman"/>
          <w:sz w:val="28"/>
          <w:szCs w:val="28"/>
        </w:rPr>
      </w:pPr>
    </w:p>
    <w:p w:rsidR="00BF467B"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По уровню благосостояния </w:t>
      </w:r>
      <w:r w:rsidR="005F1DC6">
        <w:rPr>
          <w:rFonts w:ascii="Times New Roman" w:hAnsi="Times New Roman"/>
          <w:sz w:val="28"/>
          <w:szCs w:val="28"/>
        </w:rPr>
        <w:t xml:space="preserve">город </w:t>
      </w:r>
      <w:r w:rsidRPr="00577593">
        <w:rPr>
          <w:rFonts w:ascii="Times New Roman" w:hAnsi="Times New Roman"/>
          <w:sz w:val="28"/>
          <w:szCs w:val="28"/>
        </w:rPr>
        <w:t xml:space="preserve">Барнаул пока значительно отстает </w:t>
      </w:r>
      <w:r w:rsidR="00B05DE5" w:rsidRPr="00577593">
        <w:rPr>
          <w:rFonts w:ascii="Times New Roman" w:hAnsi="Times New Roman"/>
          <w:sz w:val="28"/>
          <w:szCs w:val="28"/>
        </w:rPr>
        <w:br/>
      </w:r>
      <w:r w:rsidRPr="00577593">
        <w:rPr>
          <w:rFonts w:ascii="Times New Roman" w:hAnsi="Times New Roman"/>
          <w:sz w:val="28"/>
          <w:szCs w:val="28"/>
        </w:rPr>
        <w:t xml:space="preserve">от других сибирских столичных городов. </w:t>
      </w:r>
      <w:r w:rsidR="005F1DC6">
        <w:rPr>
          <w:rFonts w:ascii="Times New Roman" w:hAnsi="Times New Roman"/>
          <w:sz w:val="28"/>
          <w:szCs w:val="28"/>
        </w:rPr>
        <w:t>Е</w:t>
      </w:r>
      <w:r w:rsidRPr="00577593">
        <w:rPr>
          <w:rFonts w:ascii="Times New Roman" w:hAnsi="Times New Roman"/>
          <w:sz w:val="28"/>
          <w:szCs w:val="28"/>
        </w:rPr>
        <w:t>сли сопоставлять уровень средней заработной платы по крупным и средним организациям, то отставани</w:t>
      </w:r>
      <w:r w:rsidR="00AD2E92" w:rsidRPr="00577593">
        <w:rPr>
          <w:rFonts w:ascii="Times New Roman" w:hAnsi="Times New Roman"/>
          <w:sz w:val="28"/>
          <w:szCs w:val="28"/>
        </w:rPr>
        <w:t xml:space="preserve">е наблюдалось в 2012 и 2017 годы </w:t>
      </w:r>
      <w:r w:rsidRPr="00577593">
        <w:rPr>
          <w:rFonts w:ascii="Times New Roman" w:hAnsi="Times New Roman"/>
          <w:sz w:val="28"/>
          <w:szCs w:val="28"/>
        </w:rPr>
        <w:t>и сохраняется в 2024 г</w:t>
      </w:r>
      <w:r w:rsidR="00AD2E92" w:rsidRPr="00577593">
        <w:rPr>
          <w:rFonts w:ascii="Times New Roman" w:hAnsi="Times New Roman"/>
          <w:sz w:val="28"/>
          <w:szCs w:val="28"/>
        </w:rPr>
        <w:t>оду</w:t>
      </w:r>
      <w:r w:rsidRPr="00577593">
        <w:rPr>
          <w:rFonts w:ascii="Times New Roman" w:hAnsi="Times New Roman"/>
          <w:sz w:val="28"/>
          <w:szCs w:val="28"/>
        </w:rPr>
        <w:t xml:space="preserve">. В 2024 году показатель средней заработной платы в </w:t>
      </w:r>
      <w:r w:rsidR="005F1DC6">
        <w:rPr>
          <w:rFonts w:ascii="Times New Roman" w:hAnsi="Times New Roman"/>
          <w:sz w:val="28"/>
          <w:szCs w:val="28"/>
        </w:rPr>
        <w:t>городе</w:t>
      </w:r>
      <w:r w:rsidRPr="00577593">
        <w:rPr>
          <w:rFonts w:ascii="Times New Roman" w:hAnsi="Times New Roman"/>
          <w:sz w:val="28"/>
          <w:szCs w:val="28"/>
        </w:rPr>
        <w:t xml:space="preserve"> составил 69,6 тыс. рублей, а в лидирующем Иркутске </w:t>
      </w:r>
      <w:r w:rsidR="0099669C" w:rsidRPr="00577593">
        <w:rPr>
          <w:rFonts w:ascii="Times New Roman" w:hAnsi="Times New Roman"/>
          <w:sz w:val="28"/>
          <w:szCs w:val="28"/>
        </w:rPr>
        <w:t>–</w:t>
      </w:r>
      <w:r w:rsidRPr="00577593">
        <w:rPr>
          <w:rFonts w:ascii="Times New Roman" w:hAnsi="Times New Roman"/>
          <w:sz w:val="28"/>
          <w:szCs w:val="28"/>
        </w:rPr>
        <w:t xml:space="preserve"> 100 тыс. рублей. При этом отставание </w:t>
      </w:r>
      <w:r w:rsidR="005F1DC6">
        <w:rPr>
          <w:rFonts w:ascii="Times New Roman" w:hAnsi="Times New Roman"/>
          <w:sz w:val="28"/>
          <w:szCs w:val="28"/>
        </w:rPr>
        <w:t xml:space="preserve">города </w:t>
      </w:r>
      <w:r w:rsidRPr="00577593">
        <w:rPr>
          <w:rFonts w:ascii="Times New Roman" w:hAnsi="Times New Roman"/>
          <w:sz w:val="28"/>
          <w:szCs w:val="28"/>
        </w:rPr>
        <w:t>Барнаула за рассматриваемый период не</w:t>
      </w:r>
      <w:r w:rsidR="00AD2E92" w:rsidRPr="00577593">
        <w:rPr>
          <w:rFonts w:ascii="Times New Roman" w:hAnsi="Times New Roman"/>
          <w:sz w:val="28"/>
          <w:szCs w:val="28"/>
        </w:rPr>
        <w:t>сколько сокращается, а в 2024 году</w:t>
      </w:r>
      <w:r w:rsidRPr="00577593">
        <w:rPr>
          <w:rFonts w:ascii="Times New Roman" w:hAnsi="Times New Roman"/>
          <w:sz w:val="28"/>
          <w:szCs w:val="28"/>
        </w:rPr>
        <w:t xml:space="preserve"> по темпам роста заработной платы город был на первом месте вместе с Новосибирском. Также </w:t>
      </w:r>
      <w:r w:rsidR="005F1DC6">
        <w:rPr>
          <w:rFonts w:ascii="Times New Roman" w:hAnsi="Times New Roman"/>
          <w:sz w:val="28"/>
          <w:szCs w:val="28"/>
        </w:rPr>
        <w:t>город</w:t>
      </w:r>
      <w:r w:rsidRPr="00577593">
        <w:rPr>
          <w:rFonts w:ascii="Times New Roman" w:hAnsi="Times New Roman"/>
          <w:sz w:val="28"/>
          <w:szCs w:val="28"/>
        </w:rPr>
        <w:t xml:space="preserve"> несколько опережает </w:t>
      </w:r>
      <w:r w:rsidRPr="00BF467B">
        <w:rPr>
          <w:rFonts w:ascii="Times New Roman" w:hAnsi="Times New Roman"/>
          <w:sz w:val="28"/>
          <w:szCs w:val="28"/>
        </w:rPr>
        <w:t>Бийск</w:t>
      </w:r>
      <w:r w:rsidRPr="00577593">
        <w:rPr>
          <w:rFonts w:ascii="Times New Roman" w:hAnsi="Times New Roman"/>
          <w:sz w:val="28"/>
          <w:szCs w:val="28"/>
        </w:rPr>
        <w:t xml:space="preserve"> </w:t>
      </w:r>
      <w:r w:rsidR="00B05DE5" w:rsidRPr="00577593">
        <w:rPr>
          <w:rFonts w:ascii="Times New Roman" w:hAnsi="Times New Roman"/>
          <w:sz w:val="28"/>
          <w:szCs w:val="28"/>
        </w:rPr>
        <w:br/>
      </w:r>
    </w:p>
    <w:p w:rsidR="00FC41F4" w:rsidRPr="00577593" w:rsidRDefault="008925FA" w:rsidP="00BF467B">
      <w:pPr>
        <w:spacing w:after="0" w:line="240" w:lineRule="auto"/>
        <w:jc w:val="both"/>
        <w:rPr>
          <w:rFonts w:ascii="Times New Roman" w:hAnsi="Times New Roman"/>
          <w:sz w:val="28"/>
          <w:szCs w:val="28"/>
        </w:rPr>
      </w:pPr>
      <w:r w:rsidRPr="00577593">
        <w:rPr>
          <w:rFonts w:ascii="Times New Roman" w:hAnsi="Times New Roman"/>
          <w:sz w:val="28"/>
          <w:szCs w:val="28"/>
        </w:rPr>
        <w:lastRenderedPageBreak/>
        <w:t>по уровню заработной платы по крупным и средним организациям, а значит, является более привлекательным местом для работы и проживания при выборе между двумя городами.</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По обороту розничной торговли на душу населения статистика </w:t>
      </w:r>
      <w:r w:rsidR="00B05DE5" w:rsidRPr="00577593">
        <w:rPr>
          <w:rFonts w:ascii="Times New Roman" w:hAnsi="Times New Roman"/>
          <w:sz w:val="28"/>
          <w:szCs w:val="28"/>
        </w:rPr>
        <w:br/>
      </w:r>
      <w:r w:rsidRPr="00577593">
        <w:rPr>
          <w:rFonts w:ascii="Times New Roman" w:hAnsi="Times New Roman"/>
          <w:sz w:val="28"/>
          <w:szCs w:val="28"/>
        </w:rPr>
        <w:t>на момент разработки Стратегии социально-экономическог</w:t>
      </w:r>
      <w:r w:rsidR="0006083A">
        <w:rPr>
          <w:rFonts w:ascii="Times New Roman" w:hAnsi="Times New Roman"/>
          <w:sz w:val="28"/>
          <w:szCs w:val="28"/>
        </w:rPr>
        <w:t xml:space="preserve">о развития города Барнаула </w:t>
      </w:r>
      <w:r w:rsidRPr="00577593">
        <w:rPr>
          <w:rFonts w:ascii="Times New Roman" w:hAnsi="Times New Roman"/>
          <w:sz w:val="28"/>
          <w:szCs w:val="28"/>
        </w:rPr>
        <w:t>до </w:t>
      </w:r>
      <w:r w:rsidR="0006083A">
        <w:rPr>
          <w:rFonts w:ascii="Times New Roman" w:hAnsi="Times New Roman"/>
          <w:sz w:val="28"/>
          <w:szCs w:val="28"/>
        </w:rPr>
        <w:t xml:space="preserve"> </w:t>
      </w:r>
      <w:r w:rsidRPr="00577593">
        <w:rPr>
          <w:rFonts w:ascii="Times New Roman" w:hAnsi="Times New Roman"/>
          <w:sz w:val="28"/>
          <w:szCs w:val="28"/>
        </w:rPr>
        <w:t>2025 </w:t>
      </w:r>
      <w:r w:rsidR="0006083A">
        <w:rPr>
          <w:rFonts w:ascii="Times New Roman" w:hAnsi="Times New Roman"/>
          <w:sz w:val="28"/>
          <w:szCs w:val="28"/>
        </w:rPr>
        <w:t xml:space="preserve"> </w:t>
      </w:r>
      <w:r w:rsidRPr="00577593">
        <w:rPr>
          <w:rFonts w:ascii="Times New Roman" w:hAnsi="Times New Roman"/>
          <w:sz w:val="28"/>
          <w:szCs w:val="28"/>
        </w:rPr>
        <w:t>года предоставлялась по полному кругу организаций, на момент разработки настоящей Стратегии публикуются данные об обороте розничной торговл</w:t>
      </w:r>
      <w:r w:rsidR="00C3152E">
        <w:rPr>
          <w:rFonts w:ascii="Times New Roman" w:hAnsi="Times New Roman"/>
          <w:sz w:val="28"/>
          <w:szCs w:val="28"/>
        </w:rPr>
        <w:t>и</w:t>
      </w:r>
      <w:r w:rsidRPr="00577593">
        <w:rPr>
          <w:rFonts w:ascii="Times New Roman" w:hAnsi="Times New Roman"/>
          <w:sz w:val="28"/>
          <w:szCs w:val="28"/>
        </w:rPr>
        <w:t xml:space="preserve"> только по крупным и средним предприятиям. </w:t>
      </w:r>
      <w:r w:rsidR="0092055C" w:rsidRPr="00577593">
        <w:rPr>
          <w:rFonts w:ascii="Times New Roman" w:hAnsi="Times New Roman"/>
          <w:sz w:val="28"/>
          <w:szCs w:val="28"/>
        </w:rPr>
        <w:t>В</w:t>
      </w:r>
      <w:r w:rsidRPr="00577593">
        <w:rPr>
          <w:rFonts w:ascii="Times New Roman" w:hAnsi="Times New Roman"/>
          <w:sz w:val="28"/>
          <w:szCs w:val="28"/>
        </w:rPr>
        <w:t xml:space="preserve"> настоящем обзоре представлено сопоставление показателей оборота розничной торговли по отрытым данным официальной статистики без учета малых пред</w:t>
      </w:r>
      <w:r w:rsidR="00AD2E92" w:rsidRPr="00577593">
        <w:rPr>
          <w:rFonts w:ascii="Times New Roman" w:hAnsi="Times New Roman"/>
          <w:sz w:val="28"/>
          <w:szCs w:val="28"/>
        </w:rPr>
        <w:t>приятий. Город Барнаул в 2024 году</w:t>
      </w:r>
      <w:r w:rsidRPr="00577593">
        <w:rPr>
          <w:rFonts w:ascii="Times New Roman" w:hAnsi="Times New Roman"/>
          <w:sz w:val="28"/>
          <w:szCs w:val="28"/>
        </w:rPr>
        <w:t xml:space="preserve"> по обороту розничной торговли на душу населения занял четвертое место среди столичных городов Сибирского федерального округа (в 2012 году </w:t>
      </w:r>
      <w:r w:rsidR="00AD2E92" w:rsidRPr="00577593">
        <w:rPr>
          <w:rFonts w:ascii="Times New Roman" w:hAnsi="Times New Roman"/>
          <w:sz w:val="28"/>
          <w:szCs w:val="28"/>
        </w:rPr>
        <w:t>–</w:t>
      </w:r>
      <w:r w:rsidR="0006083A">
        <w:rPr>
          <w:rFonts w:ascii="Times New Roman" w:hAnsi="Times New Roman"/>
          <w:sz w:val="28"/>
          <w:szCs w:val="28"/>
        </w:rPr>
        <w:t xml:space="preserve">  </w:t>
      </w:r>
      <w:r w:rsidRPr="00577593">
        <w:rPr>
          <w:rFonts w:ascii="Times New Roman" w:hAnsi="Times New Roman"/>
          <w:sz w:val="28"/>
          <w:szCs w:val="28"/>
        </w:rPr>
        <w:t xml:space="preserve"> 4 место, в 2017</w:t>
      </w:r>
      <w:r w:rsidR="00AD2E92" w:rsidRPr="00577593">
        <w:rPr>
          <w:rFonts w:ascii="Times New Roman" w:hAnsi="Times New Roman"/>
          <w:sz w:val="28"/>
          <w:szCs w:val="28"/>
        </w:rPr>
        <w:t xml:space="preserve"> году</w:t>
      </w:r>
      <w:r w:rsidRPr="00577593">
        <w:rPr>
          <w:rFonts w:ascii="Times New Roman" w:hAnsi="Times New Roman"/>
          <w:sz w:val="28"/>
          <w:szCs w:val="28"/>
        </w:rPr>
        <w:t xml:space="preserve"> </w:t>
      </w:r>
      <w:r w:rsidR="00AD2E92" w:rsidRPr="00577593">
        <w:rPr>
          <w:rFonts w:ascii="Times New Roman" w:hAnsi="Times New Roman"/>
          <w:sz w:val="28"/>
          <w:szCs w:val="28"/>
        </w:rPr>
        <w:t>–</w:t>
      </w:r>
      <w:r w:rsidRPr="00577593">
        <w:rPr>
          <w:rFonts w:ascii="Times New Roman" w:hAnsi="Times New Roman"/>
          <w:sz w:val="28"/>
          <w:szCs w:val="28"/>
        </w:rPr>
        <w:t xml:space="preserve"> 2 место), уступая только Новосибирску, Иркутску и Кемерово.</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По уровню обеспеченности жильем </w:t>
      </w:r>
      <w:r w:rsidR="005F1DC6">
        <w:rPr>
          <w:rFonts w:ascii="Times New Roman" w:hAnsi="Times New Roman"/>
          <w:sz w:val="28"/>
          <w:szCs w:val="28"/>
        </w:rPr>
        <w:t xml:space="preserve">город </w:t>
      </w:r>
      <w:r w:rsidRPr="00577593">
        <w:rPr>
          <w:rFonts w:ascii="Times New Roman" w:hAnsi="Times New Roman"/>
          <w:sz w:val="28"/>
          <w:szCs w:val="28"/>
        </w:rPr>
        <w:t>Барнаул среди столиц Сибирского федерал</w:t>
      </w:r>
      <w:r w:rsidR="00AD2E92" w:rsidRPr="00577593">
        <w:rPr>
          <w:rFonts w:ascii="Times New Roman" w:hAnsi="Times New Roman"/>
          <w:sz w:val="28"/>
          <w:szCs w:val="28"/>
        </w:rPr>
        <w:t>ьного округа находился в 2024 году</w:t>
      </w:r>
      <w:r w:rsidRPr="00577593">
        <w:rPr>
          <w:rFonts w:ascii="Times New Roman" w:hAnsi="Times New Roman"/>
          <w:sz w:val="28"/>
          <w:szCs w:val="28"/>
        </w:rPr>
        <w:t xml:space="preserve"> на третьем месте, отставая от Иркутска и Новосибирска и опережая Кемерово, Красноярск, Омск и Томск. В Бийске обеспеченность жильем составляет 24,6 </w:t>
      </w:r>
      <w:r w:rsidR="000F76C4">
        <w:rPr>
          <w:rFonts w:ascii="Times New Roman" w:hAnsi="Times New Roman"/>
          <w:sz w:val="28"/>
          <w:szCs w:val="28"/>
        </w:rPr>
        <w:t>кв. м</w:t>
      </w:r>
      <w:r w:rsidRPr="00577593">
        <w:rPr>
          <w:rFonts w:ascii="Times New Roman" w:hAnsi="Times New Roman"/>
          <w:sz w:val="28"/>
          <w:szCs w:val="28"/>
        </w:rPr>
        <w:t xml:space="preserve">, что значительно ниже уровня </w:t>
      </w:r>
      <w:r w:rsidR="005F1DC6">
        <w:rPr>
          <w:rFonts w:ascii="Times New Roman" w:hAnsi="Times New Roman"/>
          <w:sz w:val="28"/>
          <w:szCs w:val="28"/>
        </w:rPr>
        <w:t xml:space="preserve">города </w:t>
      </w:r>
      <w:r w:rsidRPr="00577593">
        <w:rPr>
          <w:rFonts w:ascii="Times New Roman" w:hAnsi="Times New Roman"/>
          <w:sz w:val="28"/>
          <w:szCs w:val="28"/>
        </w:rPr>
        <w:t>Барнаула.</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В </w:t>
      </w:r>
      <w:r w:rsidR="00C3152E">
        <w:rPr>
          <w:rFonts w:ascii="Times New Roman" w:hAnsi="Times New Roman"/>
          <w:sz w:val="28"/>
          <w:szCs w:val="28"/>
        </w:rPr>
        <w:t xml:space="preserve">Таблице 22 </w:t>
      </w:r>
      <w:r w:rsidRPr="00577593">
        <w:rPr>
          <w:rFonts w:ascii="Times New Roman" w:hAnsi="Times New Roman"/>
          <w:sz w:val="28"/>
          <w:szCs w:val="28"/>
        </w:rPr>
        <w:t>представлены показатели социально-экономического развития городов Сибирского федерального округа за 2012, 2017</w:t>
      </w:r>
      <w:r w:rsidR="00AD2E92" w:rsidRPr="00577593">
        <w:rPr>
          <w:rFonts w:ascii="Times New Roman" w:hAnsi="Times New Roman"/>
          <w:sz w:val="28"/>
          <w:szCs w:val="28"/>
        </w:rPr>
        <w:t>-</w:t>
      </w:r>
      <w:r w:rsidRPr="00577593">
        <w:rPr>
          <w:rFonts w:ascii="Times New Roman" w:hAnsi="Times New Roman"/>
          <w:sz w:val="28"/>
          <w:szCs w:val="28"/>
        </w:rPr>
        <w:t>2024 годы.</w:t>
      </w:r>
    </w:p>
    <w:p w:rsidR="00950472" w:rsidRPr="00577593" w:rsidRDefault="00950472" w:rsidP="002000D4">
      <w:pPr>
        <w:spacing w:after="0" w:line="240" w:lineRule="auto"/>
        <w:contextualSpacing/>
        <w:jc w:val="both"/>
        <w:rPr>
          <w:rFonts w:ascii="Times New Roman" w:hAnsi="Times New Roman"/>
          <w:sz w:val="28"/>
          <w:szCs w:val="28"/>
        </w:rPr>
      </w:pPr>
      <w:bookmarkStart w:id="202" w:name="_Ref199472144"/>
    </w:p>
    <w:p w:rsidR="00FC41F4" w:rsidRDefault="008925FA" w:rsidP="002000D4">
      <w:pPr>
        <w:spacing w:after="0" w:line="240" w:lineRule="auto"/>
        <w:contextualSpacing/>
        <w:jc w:val="both"/>
        <w:rPr>
          <w:rFonts w:ascii="Times New Roman" w:hAnsi="Times New Roman"/>
          <w:sz w:val="28"/>
          <w:szCs w:val="28"/>
        </w:rPr>
      </w:pPr>
      <w:r w:rsidRPr="00577593">
        <w:rPr>
          <w:rFonts w:ascii="Times New Roman" w:hAnsi="Times New Roman"/>
          <w:sz w:val="28"/>
          <w:szCs w:val="28"/>
        </w:rPr>
        <w:t xml:space="preserve">Таблица </w:t>
      </w:r>
      <w:r w:rsidR="00074AE5" w:rsidRPr="00577593">
        <w:rPr>
          <w:rFonts w:ascii="Times New Roman" w:hAnsi="Times New Roman"/>
          <w:sz w:val="28"/>
          <w:szCs w:val="28"/>
        </w:rPr>
        <w:fldChar w:fldCharType="begin"/>
      </w:r>
      <w:r w:rsidRPr="00577593">
        <w:rPr>
          <w:rFonts w:ascii="Times New Roman" w:hAnsi="Times New Roman"/>
          <w:sz w:val="28"/>
          <w:szCs w:val="28"/>
        </w:rPr>
        <w:instrText xml:space="preserve"> SEQ Таблица \* ARABIC </w:instrText>
      </w:r>
      <w:r w:rsidR="00074AE5" w:rsidRPr="00577593">
        <w:rPr>
          <w:rFonts w:ascii="Times New Roman" w:hAnsi="Times New Roman"/>
          <w:sz w:val="28"/>
          <w:szCs w:val="28"/>
        </w:rPr>
        <w:fldChar w:fldCharType="separate"/>
      </w:r>
      <w:r w:rsidR="00071499">
        <w:rPr>
          <w:rFonts w:ascii="Times New Roman" w:hAnsi="Times New Roman"/>
          <w:noProof/>
          <w:sz w:val="28"/>
          <w:szCs w:val="28"/>
        </w:rPr>
        <w:t>22</w:t>
      </w:r>
      <w:r w:rsidR="00074AE5" w:rsidRPr="00577593">
        <w:rPr>
          <w:rFonts w:ascii="Times New Roman" w:hAnsi="Times New Roman"/>
          <w:sz w:val="28"/>
          <w:szCs w:val="28"/>
        </w:rPr>
        <w:fldChar w:fldCharType="end"/>
      </w:r>
      <w:bookmarkEnd w:id="202"/>
      <w:r w:rsidRPr="00577593">
        <w:rPr>
          <w:rFonts w:ascii="Times New Roman" w:hAnsi="Times New Roman"/>
          <w:sz w:val="28"/>
          <w:szCs w:val="28"/>
        </w:rPr>
        <w:t xml:space="preserve"> </w:t>
      </w:r>
      <w:r w:rsidR="00AD2E92" w:rsidRPr="00577593">
        <w:rPr>
          <w:rFonts w:ascii="Times New Roman" w:hAnsi="Times New Roman"/>
          <w:sz w:val="28"/>
          <w:szCs w:val="28"/>
        </w:rPr>
        <w:t>–</w:t>
      </w:r>
      <w:r w:rsidRPr="00577593">
        <w:rPr>
          <w:rFonts w:ascii="Times New Roman" w:hAnsi="Times New Roman"/>
          <w:sz w:val="28"/>
          <w:szCs w:val="28"/>
        </w:rPr>
        <w:t xml:space="preserve"> Показатели социально-экономического развития городов Сибирск</w:t>
      </w:r>
      <w:r w:rsidR="00AD2E92" w:rsidRPr="00577593">
        <w:rPr>
          <w:rFonts w:ascii="Times New Roman" w:hAnsi="Times New Roman"/>
          <w:sz w:val="28"/>
          <w:szCs w:val="28"/>
        </w:rPr>
        <w:t>ого федерального округа за 2012-</w:t>
      </w:r>
      <w:r w:rsidRPr="00577593">
        <w:rPr>
          <w:rFonts w:ascii="Times New Roman" w:hAnsi="Times New Roman"/>
          <w:sz w:val="28"/>
          <w:szCs w:val="28"/>
        </w:rPr>
        <w:t>2024 годы</w:t>
      </w:r>
      <w:r w:rsidR="0092055C" w:rsidRPr="00577593">
        <w:rPr>
          <w:rFonts w:ascii="Times New Roman" w:hAnsi="Times New Roman"/>
          <w:sz w:val="28"/>
          <w:szCs w:val="28"/>
        </w:rPr>
        <w:t xml:space="preserve"> (январь-декабрь)</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bottom w:w="15" w:type="dxa"/>
        </w:tblCellMar>
        <w:tblLook w:val="04A0" w:firstRow="1" w:lastRow="0" w:firstColumn="1" w:lastColumn="0" w:noHBand="0" w:noVBand="1"/>
      </w:tblPr>
      <w:tblGrid>
        <w:gridCol w:w="704"/>
        <w:gridCol w:w="1080"/>
        <w:gridCol w:w="1081"/>
        <w:gridCol w:w="1081"/>
        <w:gridCol w:w="1081"/>
        <w:gridCol w:w="1081"/>
        <w:gridCol w:w="1081"/>
        <w:gridCol w:w="1081"/>
        <w:gridCol w:w="1081"/>
      </w:tblGrid>
      <w:tr w:rsidR="008F3757" w:rsidRPr="00C0673C" w:rsidTr="008F3757">
        <w:trPr>
          <w:trHeight w:val="20"/>
          <w:tblHeader/>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bCs/>
                <w:color w:val="000000"/>
                <w:sz w:val="20"/>
                <w:szCs w:val="20"/>
                <w:lang w:eastAsia="ru-RU"/>
              </w:rPr>
            </w:pPr>
            <w:r w:rsidRPr="00C0673C">
              <w:rPr>
                <w:rFonts w:ascii="Times New Roman" w:eastAsia="Times New Roman" w:hAnsi="Times New Roman"/>
                <w:bCs/>
                <w:color w:val="000000"/>
                <w:sz w:val="20"/>
                <w:szCs w:val="20"/>
                <w:lang w:eastAsia="ru-RU"/>
              </w:rPr>
              <w:t>Год</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bCs/>
                <w:color w:val="000000"/>
                <w:sz w:val="20"/>
                <w:szCs w:val="20"/>
                <w:lang w:eastAsia="ru-RU"/>
              </w:rPr>
            </w:pPr>
            <w:r w:rsidRPr="00C0673C">
              <w:rPr>
                <w:rFonts w:ascii="Times New Roman" w:eastAsia="Times New Roman" w:hAnsi="Times New Roman"/>
                <w:bCs/>
                <w:color w:val="000000"/>
                <w:sz w:val="20"/>
                <w:szCs w:val="20"/>
                <w:lang w:eastAsia="ru-RU"/>
              </w:rPr>
              <w:t>Барнаул</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bCs/>
                <w:color w:val="000000"/>
                <w:sz w:val="20"/>
                <w:szCs w:val="20"/>
                <w:lang w:eastAsia="ru-RU"/>
              </w:rPr>
            </w:pPr>
            <w:r w:rsidRPr="00C0673C">
              <w:rPr>
                <w:rFonts w:ascii="Times New Roman" w:eastAsia="Times New Roman" w:hAnsi="Times New Roman"/>
                <w:bCs/>
                <w:color w:val="000000"/>
                <w:sz w:val="20"/>
                <w:szCs w:val="20"/>
                <w:lang w:eastAsia="ru-RU"/>
              </w:rPr>
              <w:t>Иркутск</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bCs/>
                <w:color w:val="000000"/>
                <w:sz w:val="20"/>
                <w:szCs w:val="20"/>
                <w:lang w:eastAsia="ru-RU"/>
              </w:rPr>
            </w:pPr>
            <w:r w:rsidRPr="00C0673C">
              <w:rPr>
                <w:rFonts w:ascii="Times New Roman" w:eastAsia="Times New Roman" w:hAnsi="Times New Roman"/>
                <w:bCs/>
                <w:color w:val="000000"/>
                <w:sz w:val="20"/>
                <w:szCs w:val="20"/>
                <w:lang w:eastAsia="ru-RU"/>
              </w:rPr>
              <w:t>Кемерово</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bCs/>
                <w:color w:val="000000"/>
                <w:sz w:val="20"/>
                <w:szCs w:val="20"/>
                <w:lang w:eastAsia="ru-RU"/>
              </w:rPr>
            </w:pPr>
            <w:r w:rsidRPr="00C0673C">
              <w:rPr>
                <w:rFonts w:ascii="Times New Roman" w:eastAsia="Times New Roman" w:hAnsi="Times New Roman"/>
                <w:bCs/>
                <w:color w:val="000000"/>
                <w:sz w:val="20"/>
                <w:szCs w:val="20"/>
                <w:lang w:eastAsia="ru-RU"/>
              </w:rPr>
              <w:t>Красноярск</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bCs/>
                <w:color w:val="000000"/>
                <w:sz w:val="20"/>
                <w:szCs w:val="20"/>
                <w:lang w:eastAsia="ru-RU"/>
              </w:rPr>
            </w:pPr>
            <w:r w:rsidRPr="00C0673C">
              <w:rPr>
                <w:rFonts w:ascii="Times New Roman" w:eastAsia="Times New Roman" w:hAnsi="Times New Roman"/>
                <w:bCs/>
                <w:color w:val="000000"/>
                <w:sz w:val="20"/>
                <w:szCs w:val="20"/>
                <w:lang w:eastAsia="ru-RU"/>
              </w:rPr>
              <w:t>Ново-сибирск</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bCs/>
                <w:color w:val="000000"/>
                <w:sz w:val="20"/>
                <w:szCs w:val="20"/>
                <w:lang w:eastAsia="ru-RU"/>
              </w:rPr>
            </w:pPr>
            <w:r w:rsidRPr="00C0673C">
              <w:rPr>
                <w:rFonts w:ascii="Times New Roman" w:eastAsia="Times New Roman" w:hAnsi="Times New Roman"/>
                <w:bCs/>
                <w:color w:val="000000"/>
                <w:sz w:val="20"/>
                <w:szCs w:val="20"/>
                <w:lang w:eastAsia="ru-RU"/>
              </w:rPr>
              <w:t>Омск</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bCs/>
                <w:color w:val="000000"/>
                <w:sz w:val="20"/>
                <w:szCs w:val="20"/>
                <w:lang w:eastAsia="ru-RU"/>
              </w:rPr>
            </w:pPr>
            <w:r w:rsidRPr="00C0673C">
              <w:rPr>
                <w:rFonts w:ascii="Times New Roman" w:eastAsia="Times New Roman" w:hAnsi="Times New Roman"/>
                <w:bCs/>
                <w:color w:val="000000"/>
                <w:sz w:val="20"/>
                <w:szCs w:val="20"/>
                <w:lang w:eastAsia="ru-RU"/>
              </w:rPr>
              <w:t>Томск</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bCs/>
                <w:color w:val="000000"/>
                <w:sz w:val="20"/>
                <w:szCs w:val="20"/>
                <w:lang w:eastAsia="ru-RU"/>
              </w:rPr>
            </w:pPr>
            <w:r w:rsidRPr="00C0673C">
              <w:rPr>
                <w:rFonts w:ascii="Times New Roman" w:eastAsia="Times New Roman" w:hAnsi="Times New Roman"/>
                <w:bCs/>
                <w:color w:val="000000"/>
                <w:sz w:val="20"/>
                <w:szCs w:val="20"/>
                <w:lang w:eastAsia="ru-RU"/>
              </w:rPr>
              <w:t>Бийск</w:t>
            </w:r>
          </w:p>
        </w:tc>
      </w:tr>
      <w:tr w:rsidR="008F3757" w:rsidRPr="00C0673C" w:rsidTr="008F3757">
        <w:trPr>
          <w:trHeight w:val="20"/>
          <w:tblHeader/>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bCs/>
                <w:color w:val="000000"/>
                <w:sz w:val="20"/>
                <w:szCs w:val="20"/>
                <w:lang w:eastAsia="ru-RU"/>
              </w:rPr>
            </w:pPr>
            <w:r w:rsidRPr="00C0673C">
              <w:rPr>
                <w:rFonts w:ascii="Times New Roman" w:eastAsia="Times New Roman" w:hAnsi="Times New Roman"/>
                <w:bCs/>
                <w:color w:val="000000"/>
                <w:sz w:val="20"/>
                <w:szCs w:val="20"/>
                <w:lang w:eastAsia="ru-RU"/>
              </w:rPr>
              <w:t>1</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bCs/>
                <w:color w:val="000000"/>
                <w:sz w:val="20"/>
                <w:szCs w:val="20"/>
                <w:lang w:eastAsia="ru-RU"/>
              </w:rPr>
            </w:pPr>
            <w:r w:rsidRPr="00C0673C">
              <w:rPr>
                <w:rFonts w:ascii="Times New Roman" w:eastAsia="Times New Roman" w:hAnsi="Times New Roman"/>
                <w:bCs/>
                <w:color w:val="000000"/>
                <w:sz w:val="20"/>
                <w:szCs w:val="20"/>
                <w:lang w:eastAsia="ru-RU"/>
              </w:rPr>
              <w:t>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bCs/>
                <w:color w:val="000000"/>
                <w:sz w:val="20"/>
                <w:szCs w:val="20"/>
                <w:lang w:eastAsia="ru-RU"/>
              </w:rPr>
            </w:pPr>
            <w:r w:rsidRPr="00C0673C">
              <w:rPr>
                <w:rFonts w:ascii="Times New Roman" w:eastAsia="Times New Roman" w:hAnsi="Times New Roman"/>
                <w:bCs/>
                <w:color w:val="000000"/>
                <w:sz w:val="20"/>
                <w:szCs w:val="20"/>
                <w:lang w:eastAsia="ru-RU"/>
              </w:rPr>
              <w:t>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bCs/>
                <w:color w:val="000000"/>
                <w:sz w:val="20"/>
                <w:szCs w:val="20"/>
                <w:lang w:eastAsia="ru-RU"/>
              </w:rPr>
            </w:pPr>
            <w:r w:rsidRPr="00C0673C">
              <w:rPr>
                <w:rFonts w:ascii="Times New Roman" w:eastAsia="Times New Roman" w:hAnsi="Times New Roman"/>
                <w:bCs/>
                <w:color w:val="000000"/>
                <w:sz w:val="20"/>
                <w:szCs w:val="20"/>
                <w:lang w:eastAsia="ru-RU"/>
              </w:rPr>
              <w:t>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bCs/>
                <w:color w:val="000000"/>
                <w:sz w:val="20"/>
                <w:szCs w:val="20"/>
                <w:lang w:eastAsia="ru-RU"/>
              </w:rPr>
            </w:pPr>
            <w:r w:rsidRPr="00C0673C">
              <w:rPr>
                <w:rFonts w:ascii="Times New Roman" w:eastAsia="Times New Roman" w:hAnsi="Times New Roman"/>
                <w:bCs/>
                <w:color w:val="000000"/>
                <w:sz w:val="20"/>
                <w:szCs w:val="20"/>
                <w:lang w:eastAsia="ru-RU"/>
              </w:rPr>
              <w:t>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bCs/>
                <w:color w:val="000000"/>
                <w:sz w:val="20"/>
                <w:szCs w:val="20"/>
                <w:lang w:eastAsia="ru-RU"/>
              </w:rPr>
            </w:pPr>
            <w:r w:rsidRPr="00C0673C">
              <w:rPr>
                <w:rFonts w:ascii="Times New Roman" w:eastAsia="Times New Roman" w:hAnsi="Times New Roman"/>
                <w:bCs/>
                <w:color w:val="000000"/>
                <w:sz w:val="20"/>
                <w:szCs w:val="20"/>
                <w:lang w:eastAsia="ru-RU"/>
              </w:rPr>
              <w:t>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bCs/>
                <w:color w:val="000000"/>
                <w:sz w:val="20"/>
                <w:szCs w:val="20"/>
                <w:lang w:eastAsia="ru-RU"/>
              </w:rPr>
            </w:pPr>
            <w:r w:rsidRPr="00C0673C">
              <w:rPr>
                <w:rFonts w:ascii="Times New Roman" w:eastAsia="Times New Roman" w:hAnsi="Times New Roman"/>
                <w:bCs/>
                <w:color w:val="000000"/>
                <w:sz w:val="20"/>
                <w:szCs w:val="20"/>
                <w:lang w:eastAsia="ru-RU"/>
              </w:rPr>
              <w:t>7</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bCs/>
                <w:color w:val="000000"/>
                <w:sz w:val="20"/>
                <w:szCs w:val="20"/>
                <w:lang w:eastAsia="ru-RU"/>
              </w:rPr>
            </w:pPr>
            <w:r w:rsidRPr="00C0673C">
              <w:rPr>
                <w:rFonts w:ascii="Times New Roman" w:eastAsia="Times New Roman" w:hAnsi="Times New Roman"/>
                <w:bCs/>
                <w:color w:val="000000"/>
                <w:sz w:val="20"/>
                <w:szCs w:val="20"/>
                <w:lang w:eastAsia="ru-RU"/>
              </w:rPr>
              <w:t>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bCs/>
                <w:color w:val="000000"/>
                <w:sz w:val="20"/>
                <w:szCs w:val="20"/>
                <w:lang w:eastAsia="ru-RU"/>
              </w:rPr>
            </w:pPr>
            <w:r w:rsidRPr="00C0673C">
              <w:rPr>
                <w:rFonts w:ascii="Times New Roman" w:eastAsia="Times New Roman" w:hAnsi="Times New Roman"/>
                <w:bCs/>
                <w:color w:val="000000"/>
                <w:sz w:val="20"/>
                <w:szCs w:val="20"/>
                <w:lang w:eastAsia="ru-RU"/>
              </w:rPr>
              <w:t>9</w:t>
            </w:r>
          </w:p>
        </w:tc>
      </w:tr>
      <w:tr w:rsidR="008F3757" w:rsidRPr="00C0673C" w:rsidTr="008F3757">
        <w:trPr>
          <w:trHeight w:val="20"/>
        </w:trPr>
        <w:tc>
          <w:tcPr>
            <w:tcW w:w="9351" w:type="dxa"/>
            <w:gridSpan w:val="9"/>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Территория, кв. км</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2012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940</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277,4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294,8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353,9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500,3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566,9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277,4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291</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2017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940</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277,4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294,8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353,9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502,7</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566,9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277,4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291</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2024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940</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277,4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329,3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379,5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502,7</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583,3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295,1</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291</w:t>
            </w:r>
          </w:p>
        </w:tc>
      </w:tr>
      <w:tr w:rsidR="008F3757" w:rsidRPr="00C0673C" w:rsidTr="008F3757">
        <w:trPr>
          <w:trHeight w:val="20"/>
        </w:trPr>
        <w:tc>
          <w:tcPr>
            <w:tcW w:w="9351" w:type="dxa"/>
            <w:gridSpan w:val="9"/>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Численность населения, тысяч человек</w:t>
            </w:r>
            <w:r w:rsidRPr="00C0673C">
              <w:rPr>
                <w:rStyle w:val="af9"/>
                <w:rFonts w:ascii="Times New Roman" w:eastAsia="Times New Roman" w:hAnsi="Times New Roman"/>
                <w:color w:val="000000"/>
                <w:sz w:val="20"/>
                <w:szCs w:val="20"/>
                <w:lang w:eastAsia="ru-RU"/>
              </w:rPr>
              <w:footnoteReference w:id="4"/>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2012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691,1</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606,1</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540,1</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1017,2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1523,8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1160,7</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569,5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216,7</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2017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696,4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623,8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559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1091,6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1612,8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1172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595,2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212,8</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2018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696,7</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623,5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558,7</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1095,3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1618,0</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1164,8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596,4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211,6</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2019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697,0</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623,6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556,4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1094,5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1625,6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1154,5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597,8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210,3</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2020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695,5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617,5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552,5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1093,6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1620,2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1139,9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589,7</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209,2</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2021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692,1</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617,2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556,2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1193,9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1621,3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1126,2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591,5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208,1</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2022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690,1</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611,2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549,4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1197,7</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1635,3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1110,8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572,0</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205,9</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2023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687,6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606,4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544,6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1206,2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1633,9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1104,5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565,8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189,6</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2024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688,8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605,7</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542,9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1212,6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1637,3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1101,4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564,9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187,1</w:t>
            </w:r>
          </w:p>
        </w:tc>
      </w:tr>
      <w:tr w:rsidR="008F3757" w:rsidRPr="00C0673C" w:rsidTr="008F3757">
        <w:trPr>
          <w:trHeight w:val="20"/>
        </w:trPr>
        <w:tc>
          <w:tcPr>
            <w:tcW w:w="9351" w:type="dxa"/>
            <w:gridSpan w:val="9"/>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Индекс промышленного производства, %</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2012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2017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105,5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81,3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99,6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99,3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102,3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112,7</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103,7</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100</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2018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101,9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86,8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100,2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119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102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123,2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108,9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96,2</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2019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101,1</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84,5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103,3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101,9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103,3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99,9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100,4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100</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lastRenderedPageBreak/>
              <w:t xml:space="preserve">2020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97,9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108,5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102,1</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93,6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109,5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86,8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94,6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102,1</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2021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105,6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126,3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108,3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101</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122,1</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104,7</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103,4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99,4</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2022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107,6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107,5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89,2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101,8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112,9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46,8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99,4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119,5</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2023</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103,8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112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103,2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99,4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123,6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123,8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103,6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112,6</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2024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105,3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109,2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103,1</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101,1</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121,7</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118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104,6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117,7</w:t>
            </w:r>
          </w:p>
        </w:tc>
      </w:tr>
      <w:tr w:rsidR="008F3757" w:rsidRPr="00C0673C" w:rsidTr="008F3757">
        <w:trPr>
          <w:trHeight w:val="20"/>
        </w:trPr>
        <w:tc>
          <w:tcPr>
            <w:tcW w:w="9351" w:type="dxa"/>
            <w:gridSpan w:val="9"/>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Объем отгруженных товаров собственного производства, выполненных работ и услуг по крупным и средним промышленным предприятиям на душу населения, тыс. рублей</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2012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81,5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112,2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216,5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258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132,8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477</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144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158</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2017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118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241</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244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315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165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642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197</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213</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2018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135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322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250</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354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167</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805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218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209</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2019</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143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319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265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376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169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816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220</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228</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2020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145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358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261</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459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179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720</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218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236</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2021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191</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442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392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484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222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771</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228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249</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2022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194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486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416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459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251</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401</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304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340</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2023</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245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512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392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357</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308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495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334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412</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2024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308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562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452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380</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372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576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381</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520</w:t>
            </w:r>
          </w:p>
        </w:tc>
      </w:tr>
      <w:tr w:rsidR="008F3757" w:rsidRPr="00C0673C" w:rsidTr="008F3757">
        <w:trPr>
          <w:trHeight w:val="20"/>
        </w:trPr>
        <w:tc>
          <w:tcPr>
            <w:tcW w:w="9351" w:type="dxa"/>
            <w:gridSpan w:val="9"/>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Инвестиции в основной капитал по крупным и средним организациям на душу населения, тыс. рублей</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2012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27,5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31,3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41,6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67,7</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54,6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50,6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18,7</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2017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26,6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71</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31,1</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37,1</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40</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51</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42,8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19,7</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2018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43,4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124,0</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35,9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77,4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41,9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62,1</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41,4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16,7</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2019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44,9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126,7</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56,8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91,8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60,4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93,0</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45,0</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0,0</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2020</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49,9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216,9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93,1</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92,0</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65,4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122,2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43,3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0,0</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2021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46,1</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407,8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129,3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81,4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68,8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115,3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59,3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0,0</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2022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47,9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689,6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101,7</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101,0</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70,7</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122,5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61,3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23,9</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2023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64,6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588,1</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93,2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116,5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98,8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131,8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79,6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43,0</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2024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89,4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710,3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124,0</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132,6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128,3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141,5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80,7</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42,6</w:t>
            </w:r>
          </w:p>
        </w:tc>
      </w:tr>
      <w:tr w:rsidR="008F3757" w:rsidRPr="00C0673C" w:rsidTr="008F3757">
        <w:trPr>
          <w:trHeight w:val="20"/>
        </w:trPr>
        <w:tc>
          <w:tcPr>
            <w:tcW w:w="9351" w:type="dxa"/>
            <w:gridSpan w:val="9"/>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Среднемесячная заработная плата работников крупных и средних организаций, рублей</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2012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21 753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33 431</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25 234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32 539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29 549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25 015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30 442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17 359</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2017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31 151</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46 980</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39 371</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44 384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42 085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35 454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43 402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24 592</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2018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34 761</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51 967</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45 056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50 562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46 667</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39 918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48 078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27 575</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2019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37 990</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55 867</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49 229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54 635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50 163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42 898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51 878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30 281</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2020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40 714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59 522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51 679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58 585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52 896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45 590</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54 713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32 032</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2021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44 887</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64 512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56 266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64 846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58 810</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49 108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59 282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35 209</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2022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50 583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75 196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66 643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73 480</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66 996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55 841</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68 086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41 541</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2023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58 748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86 085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77 794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83 948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78 755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65 738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78 100</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50 561</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2024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69 589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100 089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89 253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98 129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93 057</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77 427</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90 444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hAnsi="Times New Roman"/>
                <w:sz w:val="20"/>
                <w:szCs w:val="20"/>
              </w:rPr>
            </w:pPr>
            <w:r w:rsidRPr="00C0673C">
              <w:rPr>
                <w:rFonts w:ascii="Times New Roman" w:eastAsia="Times New Roman" w:hAnsi="Times New Roman"/>
                <w:color w:val="000000"/>
                <w:sz w:val="20"/>
                <w:szCs w:val="20"/>
              </w:rPr>
              <w:t>63 226</w:t>
            </w:r>
          </w:p>
        </w:tc>
      </w:tr>
      <w:tr w:rsidR="008F3757" w:rsidRPr="00C0673C" w:rsidTr="008F3757">
        <w:trPr>
          <w:trHeight w:val="20"/>
        </w:trPr>
        <w:tc>
          <w:tcPr>
            <w:tcW w:w="9351" w:type="dxa"/>
            <w:gridSpan w:val="9"/>
            <w:noWrap/>
            <w:tcMar>
              <w:left w:w="17" w:type="dxa"/>
              <w:right w:w="17" w:type="dxa"/>
            </w:tcMar>
            <w:vAlign w:val="center"/>
          </w:tcPr>
          <w:p w:rsidR="00B72332"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Оборот розничной торговли на душу на</w:t>
            </w:r>
            <w:r w:rsidR="00B72332">
              <w:rPr>
                <w:rFonts w:ascii="Times New Roman" w:eastAsia="Times New Roman" w:hAnsi="Times New Roman"/>
                <w:color w:val="000000"/>
                <w:sz w:val="20"/>
                <w:szCs w:val="20"/>
                <w:lang w:eastAsia="ru-RU"/>
              </w:rPr>
              <w:t>селения, тыс. рублей (до 2017 года по полному кругу, с 2018 года –</w:t>
            </w:r>
            <w:r w:rsidRPr="00C0673C">
              <w:rPr>
                <w:rFonts w:ascii="Times New Roman" w:eastAsia="Times New Roman" w:hAnsi="Times New Roman"/>
                <w:color w:val="000000"/>
                <w:sz w:val="20"/>
                <w:szCs w:val="20"/>
                <w:lang w:eastAsia="ru-RU"/>
              </w:rPr>
              <w:t xml:space="preserve"> </w:t>
            </w:r>
          </w:p>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без малых предприятий)</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2012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191,8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188,7</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186,4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246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198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193,3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128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2017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260</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223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191</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282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220</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239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193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rPr>
            </w:pPr>
            <w:r w:rsidRPr="00C0673C">
              <w:rPr>
                <w:rFonts w:ascii="Times New Roman" w:eastAsia="Times New Roman" w:hAnsi="Times New Roman"/>
                <w:sz w:val="20"/>
                <w:szCs w:val="20"/>
              </w:rPr>
              <w:t>67,1</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2018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lang w:eastAsia="ru-RU"/>
              </w:rPr>
            </w:pPr>
            <w:r w:rsidRPr="00C0673C">
              <w:rPr>
                <w:rFonts w:ascii="Times New Roman" w:eastAsia="Times New Roman" w:hAnsi="Times New Roman"/>
                <w:sz w:val="20"/>
                <w:szCs w:val="20"/>
                <w:lang w:eastAsia="ru-RU"/>
              </w:rPr>
              <w:t>119,6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lang w:eastAsia="ru-RU"/>
              </w:rPr>
            </w:pPr>
            <w:r w:rsidRPr="00C0673C">
              <w:rPr>
                <w:rFonts w:ascii="Times New Roman" w:eastAsia="Times New Roman" w:hAnsi="Times New Roman"/>
                <w:sz w:val="20"/>
                <w:szCs w:val="20"/>
                <w:lang w:eastAsia="ru-RU"/>
              </w:rPr>
              <w:t>131,1</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lang w:eastAsia="ru-RU"/>
              </w:rPr>
            </w:pPr>
            <w:r w:rsidRPr="00C0673C">
              <w:rPr>
                <w:rFonts w:ascii="Times New Roman" w:eastAsia="Times New Roman" w:hAnsi="Times New Roman"/>
                <w:sz w:val="20"/>
                <w:szCs w:val="20"/>
                <w:lang w:eastAsia="ru-RU"/>
              </w:rPr>
              <w:t>115,4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lang w:eastAsia="ru-RU"/>
              </w:rPr>
            </w:pPr>
            <w:r w:rsidRPr="00C0673C">
              <w:rPr>
                <w:rFonts w:ascii="Times New Roman" w:eastAsia="Times New Roman" w:hAnsi="Times New Roman"/>
                <w:sz w:val="20"/>
                <w:szCs w:val="20"/>
                <w:lang w:eastAsia="ru-RU"/>
              </w:rPr>
              <w:t>118,6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lang w:eastAsia="ru-RU"/>
              </w:rPr>
            </w:pPr>
            <w:r w:rsidRPr="00C0673C">
              <w:rPr>
                <w:rFonts w:ascii="Times New Roman" w:eastAsia="Times New Roman" w:hAnsi="Times New Roman"/>
                <w:sz w:val="20"/>
                <w:szCs w:val="20"/>
                <w:lang w:eastAsia="ru-RU"/>
              </w:rPr>
              <w:t>134,9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lang w:eastAsia="ru-RU"/>
              </w:rPr>
            </w:pPr>
            <w:r w:rsidRPr="00C0673C">
              <w:rPr>
                <w:rFonts w:ascii="Times New Roman" w:eastAsia="Times New Roman" w:hAnsi="Times New Roman"/>
                <w:sz w:val="20"/>
                <w:szCs w:val="20"/>
                <w:lang w:eastAsia="ru-RU"/>
              </w:rPr>
              <w:t>105,6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lang w:eastAsia="ru-RU"/>
              </w:rPr>
            </w:pPr>
            <w:r w:rsidRPr="00C0673C">
              <w:rPr>
                <w:rFonts w:ascii="Times New Roman" w:eastAsia="Times New Roman" w:hAnsi="Times New Roman"/>
                <w:sz w:val="20"/>
                <w:szCs w:val="20"/>
                <w:lang w:eastAsia="ru-RU"/>
              </w:rPr>
              <w:t>108,8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rPr>
            </w:pPr>
            <w:r w:rsidRPr="00C0673C">
              <w:rPr>
                <w:rFonts w:ascii="Times New Roman" w:eastAsia="Times New Roman" w:hAnsi="Times New Roman"/>
                <w:sz w:val="20"/>
                <w:szCs w:val="20"/>
              </w:rPr>
              <w:t>69,9</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2019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lang w:eastAsia="ru-RU"/>
              </w:rPr>
            </w:pPr>
            <w:r w:rsidRPr="00C0673C">
              <w:rPr>
                <w:rFonts w:ascii="Times New Roman" w:eastAsia="Times New Roman" w:hAnsi="Times New Roman"/>
                <w:sz w:val="20"/>
                <w:szCs w:val="20"/>
                <w:lang w:eastAsia="ru-RU"/>
              </w:rPr>
              <w:t>124,1</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lang w:eastAsia="ru-RU"/>
              </w:rPr>
            </w:pPr>
            <w:r w:rsidRPr="00C0673C">
              <w:rPr>
                <w:rFonts w:ascii="Times New Roman" w:eastAsia="Times New Roman" w:hAnsi="Times New Roman"/>
                <w:sz w:val="20"/>
                <w:szCs w:val="20"/>
                <w:lang w:eastAsia="ru-RU"/>
              </w:rPr>
              <w:t>135,5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lang w:eastAsia="ru-RU"/>
              </w:rPr>
            </w:pPr>
            <w:r w:rsidRPr="00C0673C">
              <w:rPr>
                <w:rFonts w:ascii="Times New Roman" w:eastAsia="Times New Roman" w:hAnsi="Times New Roman"/>
                <w:sz w:val="20"/>
                <w:szCs w:val="20"/>
                <w:lang w:eastAsia="ru-RU"/>
              </w:rPr>
              <w:t>128,3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lang w:eastAsia="ru-RU"/>
              </w:rPr>
            </w:pPr>
            <w:r w:rsidRPr="00C0673C">
              <w:rPr>
                <w:rFonts w:ascii="Times New Roman" w:eastAsia="Times New Roman" w:hAnsi="Times New Roman"/>
                <w:sz w:val="20"/>
                <w:szCs w:val="20"/>
                <w:lang w:eastAsia="ru-RU"/>
              </w:rPr>
              <w:t>130,0</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lang w:eastAsia="ru-RU"/>
              </w:rPr>
            </w:pPr>
            <w:r w:rsidRPr="00C0673C">
              <w:rPr>
                <w:rFonts w:ascii="Times New Roman" w:eastAsia="Times New Roman" w:hAnsi="Times New Roman"/>
                <w:sz w:val="20"/>
                <w:szCs w:val="20"/>
                <w:lang w:eastAsia="ru-RU"/>
              </w:rPr>
              <w:t>140,0</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lang w:eastAsia="ru-RU"/>
              </w:rPr>
            </w:pPr>
            <w:r w:rsidRPr="00C0673C">
              <w:rPr>
                <w:rFonts w:ascii="Times New Roman" w:eastAsia="Times New Roman" w:hAnsi="Times New Roman"/>
                <w:sz w:val="20"/>
                <w:szCs w:val="20"/>
                <w:lang w:eastAsia="ru-RU"/>
              </w:rPr>
              <w:t>113,4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lang w:eastAsia="ru-RU"/>
              </w:rPr>
            </w:pPr>
            <w:r w:rsidRPr="00C0673C">
              <w:rPr>
                <w:rFonts w:ascii="Times New Roman" w:eastAsia="Times New Roman" w:hAnsi="Times New Roman"/>
                <w:sz w:val="20"/>
                <w:szCs w:val="20"/>
                <w:lang w:eastAsia="ru-RU"/>
              </w:rPr>
              <w:t>114,6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rPr>
            </w:pPr>
            <w:r w:rsidRPr="00C0673C">
              <w:rPr>
                <w:rFonts w:ascii="Times New Roman" w:eastAsia="Times New Roman" w:hAnsi="Times New Roman"/>
                <w:sz w:val="20"/>
                <w:szCs w:val="20"/>
              </w:rPr>
              <w:t>78,9</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2020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lang w:eastAsia="ru-RU"/>
              </w:rPr>
            </w:pPr>
            <w:r w:rsidRPr="00C0673C">
              <w:rPr>
                <w:rFonts w:ascii="Times New Roman" w:eastAsia="Times New Roman" w:hAnsi="Times New Roman"/>
                <w:sz w:val="20"/>
                <w:szCs w:val="20"/>
                <w:lang w:eastAsia="ru-RU"/>
              </w:rPr>
              <w:t>136,4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lang w:eastAsia="ru-RU"/>
              </w:rPr>
            </w:pPr>
            <w:r w:rsidRPr="00C0673C">
              <w:rPr>
                <w:rFonts w:ascii="Times New Roman" w:eastAsia="Times New Roman" w:hAnsi="Times New Roman"/>
                <w:sz w:val="20"/>
                <w:szCs w:val="20"/>
                <w:lang w:eastAsia="ru-RU"/>
              </w:rPr>
              <w:t>147,6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lang w:eastAsia="ru-RU"/>
              </w:rPr>
            </w:pPr>
            <w:r w:rsidRPr="00C0673C">
              <w:rPr>
                <w:rFonts w:ascii="Times New Roman" w:eastAsia="Times New Roman" w:hAnsi="Times New Roman"/>
                <w:sz w:val="20"/>
                <w:szCs w:val="20"/>
                <w:lang w:eastAsia="ru-RU"/>
              </w:rPr>
              <w:t>148,7</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lang w:eastAsia="ru-RU"/>
              </w:rPr>
            </w:pPr>
            <w:r w:rsidRPr="00C0673C">
              <w:rPr>
                <w:rFonts w:ascii="Times New Roman" w:eastAsia="Times New Roman" w:hAnsi="Times New Roman"/>
                <w:sz w:val="20"/>
                <w:szCs w:val="20"/>
                <w:lang w:eastAsia="ru-RU"/>
              </w:rPr>
              <w:t>135,7</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lang w:eastAsia="ru-RU"/>
              </w:rPr>
            </w:pPr>
            <w:r w:rsidRPr="00C0673C">
              <w:rPr>
                <w:rFonts w:ascii="Times New Roman" w:eastAsia="Times New Roman" w:hAnsi="Times New Roman"/>
                <w:sz w:val="20"/>
                <w:szCs w:val="20"/>
                <w:lang w:eastAsia="ru-RU"/>
              </w:rPr>
              <w:t>151,6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lang w:eastAsia="ru-RU"/>
              </w:rPr>
            </w:pPr>
            <w:r w:rsidRPr="00C0673C">
              <w:rPr>
                <w:rFonts w:ascii="Times New Roman" w:eastAsia="Times New Roman" w:hAnsi="Times New Roman"/>
                <w:sz w:val="20"/>
                <w:szCs w:val="20"/>
                <w:lang w:eastAsia="ru-RU"/>
              </w:rPr>
              <w:t>127,0</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lang w:eastAsia="ru-RU"/>
              </w:rPr>
            </w:pPr>
            <w:r w:rsidRPr="00C0673C">
              <w:rPr>
                <w:rFonts w:ascii="Times New Roman" w:eastAsia="Times New Roman" w:hAnsi="Times New Roman"/>
                <w:sz w:val="20"/>
                <w:szCs w:val="20"/>
                <w:lang w:eastAsia="ru-RU"/>
              </w:rPr>
              <w:t>126,5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rPr>
            </w:pPr>
            <w:r w:rsidRPr="00C0673C">
              <w:rPr>
                <w:rFonts w:ascii="Times New Roman" w:eastAsia="Times New Roman" w:hAnsi="Times New Roman"/>
                <w:sz w:val="20"/>
                <w:szCs w:val="20"/>
              </w:rPr>
              <w:t>91,2</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2021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lang w:eastAsia="ru-RU"/>
              </w:rPr>
            </w:pPr>
            <w:r w:rsidRPr="00C0673C">
              <w:rPr>
                <w:rFonts w:ascii="Times New Roman" w:eastAsia="Times New Roman" w:hAnsi="Times New Roman"/>
                <w:sz w:val="20"/>
                <w:szCs w:val="20"/>
                <w:lang w:eastAsia="ru-RU"/>
              </w:rPr>
              <w:t>163,1</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lang w:eastAsia="ru-RU"/>
              </w:rPr>
            </w:pPr>
            <w:r w:rsidRPr="00C0673C">
              <w:rPr>
                <w:rFonts w:ascii="Times New Roman" w:eastAsia="Times New Roman" w:hAnsi="Times New Roman"/>
                <w:sz w:val="20"/>
                <w:szCs w:val="20"/>
                <w:lang w:eastAsia="ru-RU"/>
              </w:rPr>
              <w:t>178,9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lang w:eastAsia="ru-RU"/>
              </w:rPr>
            </w:pPr>
            <w:r w:rsidRPr="00C0673C">
              <w:rPr>
                <w:rFonts w:ascii="Times New Roman" w:eastAsia="Times New Roman" w:hAnsi="Times New Roman"/>
                <w:sz w:val="20"/>
                <w:szCs w:val="20"/>
                <w:lang w:eastAsia="ru-RU"/>
              </w:rPr>
              <w:t>185,5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lang w:eastAsia="ru-RU"/>
              </w:rPr>
            </w:pPr>
            <w:r w:rsidRPr="00C0673C">
              <w:rPr>
                <w:rFonts w:ascii="Times New Roman" w:eastAsia="Times New Roman" w:hAnsi="Times New Roman"/>
                <w:sz w:val="20"/>
                <w:szCs w:val="20"/>
                <w:lang w:eastAsia="ru-RU"/>
              </w:rPr>
              <w:t>158,8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lang w:eastAsia="ru-RU"/>
              </w:rPr>
            </w:pPr>
            <w:r w:rsidRPr="00C0673C">
              <w:rPr>
                <w:rFonts w:ascii="Times New Roman" w:eastAsia="Times New Roman" w:hAnsi="Times New Roman"/>
                <w:sz w:val="20"/>
                <w:szCs w:val="20"/>
                <w:lang w:eastAsia="ru-RU"/>
              </w:rPr>
              <w:t>193,2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lang w:eastAsia="ru-RU"/>
              </w:rPr>
            </w:pPr>
            <w:r w:rsidRPr="00C0673C">
              <w:rPr>
                <w:rFonts w:ascii="Times New Roman" w:eastAsia="Times New Roman" w:hAnsi="Times New Roman"/>
                <w:sz w:val="20"/>
                <w:szCs w:val="20"/>
                <w:lang w:eastAsia="ru-RU"/>
              </w:rPr>
              <w:t>148,4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lang w:eastAsia="ru-RU"/>
              </w:rPr>
            </w:pPr>
            <w:r w:rsidRPr="00C0673C">
              <w:rPr>
                <w:rFonts w:ascii="Times New Roman" w:eastAsia="Times New Roman" w:hAnsi="Times New Roman"/>
                <w:sz w:val="20"/>
                <w:szCs w:val="20"/>
                <w:lang w:eastAsia="ru-RU"/>
              </w:rPr>
              <w:t>140,4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rPr>
            </w:pPr>
            <w:r w:rsidRPr="00C0673C">
              <w:rPr>
                <w:rFonts w:ascii="Times New Roman" w:eastAsia="Times New Roman" w:hAnsi="Times New Roman"/>
                <w:sz w:val="20"/>
                <w:szCs w:val="20"/>
              </w:rPr>
              <w:t>108,7</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2022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lang w:eastAsia="ru-RU"/>
              </w:rPr>
            </w:pPr>
            <w:r w:rsidRPr="00C0673C">
              <w:rPr>
                <w:rFonts w:ascii="Times New Roman" w:eastAsia="Times New Roman" w:hAnsi="Times New Roman"/>
                <w:sz w:val="20"/>
                <w:szCs w:val="20"/>
                <w:lang w:eastAsia="ru-RU"/>
              </w:rPr>
              <w:t>186,7</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lang w:eastAsia="ru-RU"/>
              </w:rPr>
            </w:pPr>
            <w:r w:rsidRPr="00C0673C">
              <w:rPr>
                <w:rFonts w:ascii="Times New Roman" w:eastAsia="Times New Roman" w:hAnsi="Times New Roman"/>
                <w:sz w:val="20"/>
                <w:szCs w:val="20"/>
                <w:lang w:eastAsia="ru-RU"/>
              </w:rPr>
              <w:t>185,2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lang w:eastAsia="ru-RU"/>
              </w:rPr>
            </w:pPr>
            <w:r w:rsidRPr="00C0673C">
              <w:rPr>
                <w:rFonts w:ascii="Times New Roman" w:eastAsia="Times New Roman" w:hAnsi="Times New Roman"/>
                <w:sz w:val="20"/>
                <w:szCs w:val="20"/>
                <w:lang w:eastAsia="ru-RU"/>
              </w:rPr>
              <w:t>202,8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lang w:eastAsia="ru-RU"/>
              </w:rPr>
            </w:pPr>
            <w:r w:rsidRPr="00C0673C">
              <w:rPr>
                <w:rFonts w:ascii="Times New Roman" w:eastAsia="Times New Roman" w:hAnsi="Times New Roman"/>
                <w:sz w:val="20"/>
                <w:szCs w:val="20"/>
                <w:lang w:eastAsia="ru-RU"/>
              </w:rPr>
              <w:t>171,1</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lang w:eastAsia="ru-RU"/>
              </w:rPr>
            </w:pPr>
            <w:r w:rsidRPr="00C0673C">
              <w:rPr>
                <w:rFonts w:ascii="Times New Roman" w:eastAsia="Times New Roman" w:hAnsi="Times New Roman"/>
                <w:sz w:val="20"/>
                <w:szCs w:val="20"/>
                <w:lang w:eastAsia="ru-RU"/>
              </w:rPr>
              <w:t>201,3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lang w:eastAsia="ru-RU"/>
              </w:rPr>
            </w:pPr>
            <w:r w:rsidRPr="00C0673C">
              <w:rPr>
                <w:rFonts w:ascii="Times New Roman" w:eastAsia="Times New Roman" w:hAnsi="Times New Roman"/>
                <w:sz w:val="20"/>
                <w:szCs w:val="20"/>
                <w:lang w:eastAsia="ru-RU"/>
              </w:rPr>
              <w:t>162,0</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lang w:eastAsia="ru-RU"/>
              </w:rPr>
            </w:pPr>
            <w:r w:rsidRPr="00C0673C">
              <w:rPr>
                <w:rFonts w:ascii="Times New Roman" w:eastAsia="Times New Roman" w:hAnsi="Times New Roman"/>
                <w:sz w:val="20"/>
                <w:szCs w:val="20"/>
                <w:lang w:eastAsia="ru-RU"/>
              </w:rPr>
              <w:t>168,0</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rPr>
            </w:pPr>
            <w:r w:rsidRPr="00C0673C">
              <w:rPr>
                <w:rFonts w:ascii="Times New Roman" w:eastAsia="Times New Roman" w:hAnsi="Times New Roman"/>
                <w:sz w:val="20"/>
                <w:szCs w:val="20"/>
              </w:rPr>
              <w:t>126,4</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2023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lang w:eastAsia="ru-RU"/>
              </w:rPr>
            </w:pPr>
            <w:r w:rsidRPr="00C0673C">
              <w:rPr>
                <w:rFonts w:ascii="Times New Roman" w:eastAsia="Times New Roman" w:hAnsi="Times New Roman"/>
                <w:sz w:val="20"/>
                <w:szCs w:val="20"/>
                <w:lang w:eastAsia="ru-RU"/>
              </w:rPr>
              <w:t>208,5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lang w:eastAsia="ru-RU"/>
              </w:rPr>
            </w:pPr>
            <w:r w:rsidRPr="00C0673C">
              <w:rPr>
                <w:rFonts w:ascii="Times New Roman" w:eastAsia="Times New Roman" w:hAnsi="Times New Roman"/>
                <w:sz w:val="20"/>
                <w:szCs w:val="20"/>
                <w:lang w:eastAsia="ru-RU"/>
              </w:rPr>
              <w:t>220,0</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lang w:eastAsia="ru-RU"/>
              </w:rPr>
            </w:pPr>
            <w:r w:rsidRPr="00C0673C">
              <w:rPr>
                <w:rFonts w:ascii="Times New Roman" w:eastAsia="Times New Roman" w:hAnsi="Times New Roman"/>
                <w:sz w:val="20"/>
                <w:szCs w:val="20"/>
                <w:lang w:eastAsia="ru-RU"/>
              </w:rPr>
              <w:t>243,9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lang w:eastAsia="ru-RU"/>
              </w:rPr>
            </w:pPr>
            <w:r w:rsidRPr="00C0673C">
              <w:rPr>
                <w:rFonts w:ascii="Times New Roman" w:eastAsia="Times New Roman" w:hAnsi="Times New Roman"/>
                <w:sz w:val="20"/>
                <w:szCs w:val="20"/>
                <w:lang w:eastAsia="ru-RU"/>
              </w:rPr>
              <w:t>197,4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lang w:eastAsia="ru-RU"/>
              </w:rPr>
            </w:pPr>
            <w:r w:rsidRPr="00C0673C">
              <w:rPr>
                <w:rFonts w:ascii="Times New Roman" w:eastAsia="Times New Roman" w:hAnsi="Times New Roman"/>
                <w:sz w:val="20"/>
                <w:szCs w:val="20"/>
                <w:lang w:eastAsia="ru-RU"/>
              </w:rPr>
              <w:t>225,5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lang w:eastAsia="ru-RU"/>
              </w:rPr>
            </w:pPr>
            <w:r w:rsidRPr="00C0673C">
              <w:rPr>
                <w:rFonts w:ascii="Times New Roman" w:eastAsia="Times New Roman" w:hAnsi="Times New Roman"/>
                <w:sz w:val="20"/>
                <w:szCs w:val="20"/>
                <w:lang w:eastAsia="ru-RU"/>
              </w:rPr>
              <w:t>191,5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lang w:eastAsia="ru-RU"/>
              </w:rPr>
            </w:pPr>
            <w:r w:rsidRPr="00C0673C">
              <w:rPr>
                <w:rFonts w:ascii="Times New Roman" w:eastAsia="Times New Roman" w:hAnsi="Times New Roman"/>
                <w:sz w:val="20"/>
                <w:szCs w:val="20"/>
                <w:lang w:eastAsia="ru-RU"/>
              </w:rPr>
              <w:t>191,4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rPr>
            </w:pPr>
            <w:r w:rsidRPr="00C0673C">
              <w:rPr>
                <w:rFonts w:ascii="Times New Roman" w:eastAsia="Times New Roman" w:hAnsi="Times New Roman"/>
                <w:sz w:val="20"/>
                <w:szCs w:val="20"/>
              </w:rPr>
              <w:t>160,7</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2024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lang w:eastAsia="ru-RU"/>
              </w:rPr>
            </w:pPr>
            <w:r w:rsidRPr="00C0673C">
              <w:rPr>
                <w:rFonts w:ascii="Times New Roman" w:eastAsia="Times New Roman" w:hAnsi="Times New Roman"/>
                <w:sz w:val="20"/>
                <w:szCs w:val="20"/>
                <w:lang w:eastAsia="ru-RU"/>
              </w:rPr>
              <w:t>253,9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lang w:eastAsia="ru-RU"/>
              </w:rPr>
            </w:pPr>
            <w:r w:rsidRPr="00C0673C">
              <w:rPr>
                <w:rFonts w:ascii="Times New Roman" w:eastAsia="Times New Roman" w:hAnsi="Times New Roman"/>
                <w:sz w:val="20"/>
                <w:szCs w:val="20"/>
                <w:lang w:eastAsia="ru-RU"/>
              </w:rPr>
              <w:t>282,0</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lang w:eastAsia="ru-RU"/>
              </w:rPr>
            </w:pPr>
            <w:r w:rsidRPr="00C0673C">
              <w:rPr>
                <w:rFonts w:ascii="Times New Roman" w:eastAsia="Times New Roman" w:hAnsi="Times New Roman"/>
                <w:sz w:val="20"/>
                <w:szCs w:val="20"/>
                <w:lang w:eastAsia="ru-RU"/>
              </w:rPr>
              <w:t>299,4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lang w:eastAsia="ru-RU"/>
              </w:rPr>
            </w:pPr>
            <w:r w:rsidRPr="00C0673C">
              <w:rPr>
                <w:rFonts w:ascii="Times New Roman" w:eastAsia="Times New Roman" w:hAnsi="Times New Roman"/>
                <w:sz w:val="20"/>
                <w:szCs w:val="20"/>
                <w:lang w:eastAsia="ru-RU"/>
              </w:rPr>
              <w:t>235,8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lang w:eastAsia="ru-RU"/>
              </w:rPr>
            </w:pPr>
            <w:r w:rsidRPr="00C0673C">
              <w:rPr>
                <w:rFonts w:ascii="Times New Roman" w:eastAsia="Times New Roman" w:hAnsi="Times New Roman"/>
                <w:sz w:val="20"/>
                <w:szCs w:val="20"/>
                <w:lang w:eastAsia="ru-RU"/>
              </w:rPr>
              <w:t>276,6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lang w:eastAsia="ru-RU"/>
              </w:rPr>
            </w:pPr>
            <w:r w:rsidRPr="00C0673C">
              <w:rPr>
                <w:rFonts w:ascii="Times New Roman" w:eastAsia="Times New Roman" w:hAnsi="Times New Roman"/>
                <w:sz w:val="20"/>
                <w:szCs w:val="20"/>
                <w:lang w:eastAsia="ru-RU"/>
              </w:rPr>
              <w:t>219,7</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lang w:eastAsia="ru-RU"/>
              </w:rPr>
            </w:pPr>
            <w:r w:rsidRPr="00C0673C">
              <w:rPr>
                <w:rFonts w:ascii="Times New Roman" w:eastAsia="Times New Roman" w:hAnsi="Times New Roman"/>
                <w:sz w:val="20"/>
                <w:szCs w:val="20"/>
                <w:lang w:eastAsia="ru-RU"/>
              </w:rPr>
              <w:t>220,9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sz w:val="20"/>
                <w:szCs w:val="20"/>
              </w:rPr>
            </w:pPr>
            <w:r w:rsidRPr="00C0673C">
              <w:rPr>
                <w:rFonts w:ascii="Times New Roman" w:eastAsia="Times New Roman" w:hAnsi="Times New Roman"/>
                <w:sz w:val="20"/>
                <w:szCs w:val="20"/>
              </w:rPr>
              <w:t>189,3</w:t>
            </w:r>
          </w:p>
        </w:tc>
      </w:tr>
      <w:tr w:rsidR="008F3757" w:rsidRPr="00C0673C" w:rsidTr="008F3757">
        <w:trPr>
          <w:trHeight w:val="20"/>
        </w:trPr>
        <w:tc>
          <w:tcPr>
            <w:tcW w:w="9351" w:type="dxa"/>
            <w:gridSpan w:val="9"/>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Ввод в действие общей площади жилых помещений, тыс. кв. метров</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2012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355,2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496,4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270,5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703,6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1114,8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471,9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384,8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46,6</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2017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381,8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289,5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354,4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676,6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1037,5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323,2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194,3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64,4</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2018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520,3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334,0</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255,6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741,5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1050,6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384,8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221,4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23,6</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lastRenderedPageBreak/>
              <w:t xml:space="preserve">2019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482,2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284,7</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260,8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893,3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1061,3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307,5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198,9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34,4</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2020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547,2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361,4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184,4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737,5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1328,8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346,0</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151,2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26,5</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2021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685,7</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279,1</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238,4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740,8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1259,4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426,4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153,8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42,4</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2022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567,5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314,8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280,3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833,9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1298,2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424,9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121,4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25,3</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2023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520,8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365,5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289,7</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911,0</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1608,7</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442,0</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195,2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56,2</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2024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460,7</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374,9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312,3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706,6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1528,2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423,6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205,1</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56,6</w:t>
            </w:r>
          </w:p>
        </w:tc>
      </w:tr>
      <w:tr w:rsidR="008F3757" w:rsidRPr="00C0673C" w:rsidTr="008F3757">
        <w:trPr>
          <w:trHeight w:val="20"/>
        </w:trPr>
        <w:tc>
          <w:tcPr>
            <w:tcW w:w="9351" w:type="dxa"/>
            <w:gridSpan w:val="9"/>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Ввод в действие общей площади жилых помещений на душу населения, кв. метров</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2012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0,7</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0,7</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0,7</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0,21</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2017</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0,46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0,62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0,64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0,27</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0,33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0,30</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2018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0,75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0,54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0,46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0,68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0,65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0,33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0,37</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0,11</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2019</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0,69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0,46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0,47</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0,82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0,65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0,27</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0,33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0,16</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2020</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0,79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0,59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0,33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0,67</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0,82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0,30</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0,26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0,13</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2021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0,99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0,45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0,43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0,62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0,78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0,38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0,26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0,20</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2022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0,82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0,52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0,51</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0,70</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0,79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0,38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0,21</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0,12</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2023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0,76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0,60</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0,53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0,76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0,98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0,40</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0,35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0,30</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2024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0,67</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0,62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0,58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0,58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0,93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0,38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0,36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0,30</w:t>
            </w:r>
          </w:p>
        </w:tc>
      </w:tr>
      <w:tr w:rsidR="008F3757" w:rsidRPr="00C0673C" w:rsidTr="008F3757">
        <w:trPr>
          <w:trHeight w:val="20"/>
        </w:trPr>
        <w:tc>
          <w:tcPr>
            <w:tcW w:w="9351" w:type="dxa"/>
            <w:gridSpan w:val="9"/>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Обеспеченность жильем, кв. метров на человека</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2012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21,3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22,3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21,1</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22,0</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22,1</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22,5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21,4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21,8</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2017</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23,9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27,7</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23,2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24,1</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25,1</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24,1</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23,1</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20,7</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2018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24,5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28,0</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23,6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24,6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25,7</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24,5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23,4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20,9</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2019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25,2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28,4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24,5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25,3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26,2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25,0</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23,9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21,1</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2020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25,9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29,2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25,4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26,3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27,0</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25,6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24,7</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21,4</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2021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26,8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28,8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25,7</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24,8</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27,9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26,2</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24,9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21,7</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2022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27,4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29,5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26,5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25,3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28,4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26,9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25,9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22,0</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2023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27,9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30,4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27,4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25,9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29,5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27,5</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26,6</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24,0</w:t>
            </w:r>
          </w:p>
        </w:tc>
      </w:tr>
      <w:tr w:rsidR="008F3757" w:rsidRPr="00C0673C" w:rsidTr="008F3757">
        <w:trPr>
          <w:trHeight w:val="20"/>
        </w:trPr>
        <w:tc>
          <w:tcPr>
            <w:tcW w:w="704"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 xml:space="preserve">2024 </w:t>
            </w:r>
          </w:p>
        </w:tc>
        <w:tc>
          <w:tcPr>
            <w:tcW w:w="1080"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28,3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30,9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27,9</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26,4</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30,3</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28,0</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27,0</w:t>
            </w:r>
          </w:p>
        </w:tc>
        <w:tc>
          <w:tcPr>
            <w:tcW w:w="1081" w:type="dxa"/>
            <w:noWrap/>
            <w:tcMar>
              <w:left w:w="17" w:type="dxa"/>
              <w:right w:w="17" w:type="dxa"/>
            </w:tcMar>
            <w:vAlign w:val="center"/>
          </w:tcPr>
          <w:p w:rsidR="008F3757" w:rsidRPr="00C0673C" w:rsidRDefault="008F3757" w:rsidP="008F3757">
            <w:pPr>
              <w:spacing w:after="0" w:line="240" w:lineRule="auto"/>
              <w:jc w:val="center"/>
              <w:rPr>
                <w:rFonts w:ascii="Times New Roman" w:eastAsia="Times New Roman" w:hAnsi="Times New Roman"/>
                <w:color w:val="000000"/>
                <w:sz w:val="20"/>
                <w:szCs w:val="20"/>
                <w:lang w:eastAsia="ru-RU"/>
              </w:rPr>
            </w:pPr>
            <w:r w:rsidRPr="00C0673C">
              <w:rPr>
                <w:rFonts w:ascii="Times New Roman" w:eastAsia="Times New Roman" w:hAnsi="Times New Roman"/>
                <w:color w:val="000000"/>
                <w:sz w:val="20"/>
                <w:szCs w:val="20"/>
                <w:lang w:eastAsia="ru-RU"/>
              </w:rPr>
              <w:t>24,6</w:t>
            </w:r>
          </w:p>
        </w:tc>
      </w:tr>
    </w:tbl>
    <w:p w:rsidR="00FC41F4" w:rsidRPr="00577593" w:rsidRDefault="008925FA" w:rsidP="002000D4">
      <w:pPr>
        <w:pStyle w:val="aff9"/>
        <w:ind w:firstLine="709"/>
        <w:jc w:val="both"/>
        <w:rPr>
          <w:rFonts w:ascii="Times New Roman" w:hAnsi="Times New Roman"/>
          <w:i w:val="0"/>
          <w:color w:val="auto"/>
          <w:sz w:val="28"/>
          <w:szCs w:val="28"/>
        </w:rPr>
      </w:pPr>
      <w:r w:rsidRPr="00577593">
        <w:rPr>
          <w:rFonts w:ascii="Times New Roman" w:hAnsi="Times New Roman"/>
          <w:i w:val="0"/>
          <w:color w:val="auto"/>
          <w:sz w:val="28"/>
          <w:szCs w:val="28"/>
        </w:rPr>
        <w:t xml:space="preserve">Примечание </w:t>
      </w:r>
      <w:r w:rsidR="0099669C" w:rsidRPr="00577593">
        <w:rPr>
          <w:rFonts w:ascii="Times New Roman" w:hAnsi="Times New Roman"/>
          <w:i w:val="0"/>
          <w:color w:val="auto"/>
          <w:sz w:val="28"/>
          <w:szCs w:val="28"/>
        </w:rPr>
        <w:t>–</w:t>
      </w:r>
      <w:r w:rsidRPr="00577593">
        <w:rPr>
          <w:rFonts w:ascii="Times New Roman" w:hAnsi="Times New Roman"/>
          <w:i w:val="0"/>
          <w:color w:val="auto"/>
          <w:sz w:val="28"/>
          <w:szCs w:val="28"/>
        </w:rPr>
        <w:t xml:space="preserve"> Источник: данные Росстата, сайтов администраций муниципальных образований</w:t>
      </w:r>
    </w:p>
    <w:p w:rsidR="00443BBD"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Далее предлагается рассмотреть ряд альтернативных показателей, которые показывают важные аспекты уровня социально-экономического развития муниципального образования, сравнительный мониторинг </w:t>
      </w:r>
      <w:r w:rsidR="00B05DE5" w:rsidRPr="00577593">
        <w:rPr>
          <w:rFonts w:ascii="Times New Roman" w:hAnsi="Times New Roman"/>
          <w:sz w:val="28"/>
          <w:szCs w:val="28"/>
        </w:rPr>
        <w:br/>
      </w:r>
      <w:r w:rsidRPr="00577593">
        <w:rPr>
          <w:rFonts w:ascii="Times New Roman" w:hAnsi="Times New Roman"/>
          <w:sz w:val="28"/>
          <w:szCs w:val="28"/>
        </w:rPr>
        <w:t>по которым также представляется важным для оценки сильных и слабых сторон города. Среди таких показателей можно выделить оценку среднедушевых доходов населения и коэффициента доступности жилья, которые также помимо уровня средней заработной платы являются важными показателями, отражающими уровень жизни населения, но не рассчитываются официальной с</w:t>
      </w:r>
      <w:r w:rsidR="00E56794" w:rsidRPr="00577593">
        <w:rPr>
          <w:rFonts w:ascii="Times New Roman" w:hAnsi="Times New Roman"/>
          <w:sz w:val="28"/>
          <w:szCs w:val="28"/>
        </w:rPr>
        <w:t>татистикой. По оценке на 2024 год</w:t>
      </w:r>
      <w:r w:rsidRPr="00577593">
        <w:rPr>
          <w:rFonts w:ascii="Times New Roman" w:hAnsi="Times New Roman"/>
          <w:sz w:val="28"/>
          <w:szCs w:val="28"/>
        </w:rPr>
        <w:t xml:space="preserve"> в </w:t>
      </w:r>
      <w:r w:rsidR="00E959B6">
        <w:rPr>
          <w:rFonts w:ascii="Times New Roman" w:hAnsi="Times New Roman"/>
          <w:sz w:val="28"/>
          <w:szCs w:val="28"/>
        </w:rPr>
        <w:t xml:space="preserve">городе </w:t>
      </w:r>
      <w:r w:rsidRPr="00577593">
        <w:rPr>
          <w:rFonts w:ascii="Times New Roman" w:hAnsi="Times New Roman"/>
          <w:sz w:val="28"/>
          <w:szCs w:val="28"/>
        </w:rPr>
        <w:t>наблюдается один из самых высоких показателей коэффициента доступности жилья, а значит, доступность жилья ниже. Так, выше показатель только в Иркутске и Томске (</w:t>
      </w:r>
      <w:r w:rsidR="00D558A5">
        <w:fldChar w:fldCharType="begin"/>
      </w:r>
      <w:r w:rsidR="00D558A5">
        <w:instrText xml:space="preserve"> REF _Ref199472484 \h  \* MERGEFORMAT </w:instrText>
      </w:r>
      <w:r w:rsidR="00D558A5">
        <w:fldChar w:fldCharType="separate"/>
      </w:r>
      <w:r w:rsidR="00071499" w:rsidRPr="00577593">
        <w:rPr>
          <w:rFonts w:ascii="Times New Roman" w:hAnsi="Times New Roman"/>
          <w:sz w:val="28"/>
          <w:szCs w:val="28"/>
        </w:rPr>
        <w:t xml:space="preserve">Рисунок </w:t>
      </w:r>
      <w:r w:rsidR="00D558A5">
        <w:fldChar w:fldCharType="end"/>
      </w:r>
      <w:r w:rsidR="00C3038B">
        <w:rPr>
          <w:rFonts w:ascii="Times New Roman" w:hAnsi="Times New Roman"/>
          <w:sz w:val="28"/>
          <w:szCs w:val="28"/>
        </w:rPr>
        <w:t>66</w:t>
      </w:r>
      <w:r w:rsidRPr="00577593">
        <w:rPr>
          <w:rFonts w:ascii="Times New Roman" w:hAnsi="Times New Roman"/>
          <w:sz w:val="28"/>
          <w:szCs w:val="28"/>
        </w:rPr>
        <w:t xml:space="preserve">). Также по уровню доступности жилья </w:t>
      </w:r>
      <w:r w:rsidR="00E959B6">
        <w:rPr>
          <w:rFonts w:ascii="Times New Roman" w:hAnsi="Times New Roman"/>
          <w:sz w:val="28"/>
          <w:szCs w:val="28"/>
        </w:rPr>
        <w:t xml:space="preserve">города </w:t>
      </w:r>
      <w:r w:rsidR="00D50E93" w:rsidRPr="00577593">
        <w:rPr>
          <w:rFonts w:ascii="Times New Roman" w:hAnsi="Times New Roman"/>
          <w:sz w:val="28"/>
          <w:szCs w:val="28"/>
        </w:rPr>
        <w:t>Барнаул, Иркутск</w:t>
      </w:r>
      <w:r w:rsidR="00A56872">
        <w:rPr>
          <w:rFonts w:ascii="Times New Roman" w:hAnsi="Times New Roman"/>
          <w:sz w:val="28"/>
          <w:szCs w:val="28"/>
        </w:rPr>
        <w:t xml:space="preserve">, </w:t>
      </w:r>
      <w:r w:rsidRPr="00577593">
        <w:rPr>
          <w:rFonts w:ascii="Times New Roman" w:hAnsi="Times New Roman"/>
          <w:sz w:val="28"/>
          <w:szCs w:val="28"/>
        </w:rPr>
        <w:t xml:space="preserve">Томск </w:t>
      </w:r>
      <w:r w:rsidR="00A56872">
        <w:rPr>
          <w:rFonts w:ascii="Times New Roman" w:hAnsi="Times New Roman"/>
          <w:sz w:val="28"/>
          <w:szCs w:val="28"/>
        </w:rPr>
        <w:t xml:space="preserve">и Бийск </w:t>
      </w:r>
      <w:r w:rsidRPr="00577593">
        <w:rPr>
          <w:rFonts w:ascii="Times New Roman" w:hAnsi="Times New Roman"/>
          <w:sz w:val="28"/>
          <w:szCs w:val="28"/>
        </w:rPr>
        <w:t xml:space="preserve">относятся к группе «жилье не очень доступно» по международной классификации, а в Красноярске, Новосибирске и Омске к группе «жилье доступно». Соответственно, сибирские столичные города характеризуются достаточно благоприятной ситуацией по уровню доступности жилья в отличие, например, от городов Центрального федерального округа. При этом по </w:t>
      </w:r>
      <w:r w:rsidRPr="00577593">
        <w:rPr>
          <w:rFonts w:ascii="Times New Roman" w:hAnsi="Times New Roman"/>
          <w:sz w:val="28"/>
          <w:szCs w:val="28"/>
        </w:rPr>
        <w:lastRenderedPageBreak/>
        <w:t>уровню среднедуше</w:t>
      </w:r>
      <w:r w:rsidR="00E56794" w:rsidRPr="00577593">
        <w:rPr>
          <w:rFonts w:ascii="Times New Roman" w:hAnsi="Times New Roman"/>
          <w:sz w:val="28"/>
          <w:szCs w:val="28"/>
        </w:rPr>
        <w:t>вых доходов по оценке на 2024 год</w:t>
      </w:r>
      <w:r w:rsidRPr="00577593">
        <w:rPr>
          <w:rFonts w:ascii="Times New Roman" w:hAnsi="Times New Roman"/>
          <w:sz w:val="28"/>
          <w:szCs w:val="28"/>
        </w:rPr>
        <w:t xml:space="preserve"> отставание от других столиц меньше, чем по уровню средней заработной платы, так </w:t>
      </w:r>
      <w:r w:rsidR="00E959B6">
        <w:rPr>
          <w:rFonts w:ascii="Times New Roman" w:hAnsi="Times New Roman"/>
          <w:sz w:val="28"/>
          <w:szCs w:val="28"/>
        </w:rPr>
        <w:t xml:space="preserve">город </w:t>
      </w:r>
      <w:r w:rsidRPr="00577593">
        <w:rPr>
          <w:rFonts w:ascii="Times New Roman" w:hAnsi="Times New Roman"/>
          <w:sz w:val="28"/>
          <w:szCs w:val="28"/>
        </w:rPr>
        <w:t xml:space="preserve">Барнаул практически на одном уровне с Кемерово и Томском, а отстает от Иркутска, Красноярска, Новосибирска и Омска. </w:t>
      </w:r>
      <w:r w:rsidR="0077447F">
        <w:rPr>
          <w:rFonts w:ascii="Times New Roman" w:hAnsi="Times New Roman"/>
          <w:sz w:val="28"/>
          <w:szCs w:val="28"/>
        </w:rPr>
        <w:t xml:space="preserve"> </w:t>
      </w:r>
      <w:r w:rsidR="00E959B6">
        <w:rPr>
          <w:rFonts w:ascii="Times New Roman" w:hAnsi="Times New Roman"/>
          <w:sz w:val="28"/>
          <w:szCs w:val="28"/>
        </w:rPr>
        <w:t xml:space="preserve">Город </w:t>
      </w:r>
      <w:r w:rsidR="0077447F" w:rsidRPr="00BF409B">
        <w:rPr>
          <w:rFonts w:ascii="Times New Roman" w:hAnsi="Times New Roman"/>
          <w:sz w:val="28"/>
          <w:szCs w:val="28"/>
        </w:rPr>
        <w:t>Барнаул опережает Бийск по оценке среднедушевого дохода.</w:t>
      </w:r>
    </w:p>
    <w:p w:rsidR="003E2BE9" w:rsidRPr="00577593" w:rsidRDefault="000D3F7A" w:rsidP="002000D4">
      <w:pPr>
        <w:spacing w:after="0" w:line="240" w:lineRule="auto"/>
        <w:ind w:firstLine="709"/>
        <w:jc w:val="both"/>
        <w:rPr>
          <w:rFonts w:ascii="Times New Roman" w:hAnsi="Times New Roman"/>
          <w:sz w:val="28"/>
          <w:szCs w:val="28"/>
        </w:rPr>
      </w:pPr>
      <w:r w:rsidRPr="00FC5EFE">
        <w:rPr>
          <w:noProof/>
          <w:lang w:eastAsia="ru-RU"/>
        </w:rPr>
        <w:drawing>
          <wp:inline distT="0" distB="0" distL="0" distR="0">
            <wp:extent cx="5225415" cy="2625725"/>
            <wp:effectExtent l="0" t="0" r="0" b="0"/>
            <wp:docPr id="66" name="Объект 6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FC41F4" w:rsidRPr="00577593" w:rsidRDefault="00FC41F4" w:rsidP="002000D4">
      <w:pPr>
        <w:spacing w:line="240" w:lineRule="auto"/>
        <w:jc w:val="center"/>
        <w:rPr>
          <w:rFonts w:ascii="Times New Roman" w:eastAsia="Times New Roman" w:hAnsi="Times New Roman"/>
          <w:sz w:val="2"/>
          <w:szCs w:val="2"/>
          <w:lang w:eastAsia="ru-RU"/>
        </w:rPr>
      </w:pPr>
    </w:p>
    <w:p w:rsidR="00FC41F4" w:rsidRDefault="008925FA" w:rsidP="009809F3">
      <w:pPr>
        <w:spacing w:after="0" w:line="240" w:lineRule="auto"/>
        <w:jc w:val="center"/>
        <w:rPr>
          <w:rFonts w:ascii="Times New Roman" w:hAnsi="Times New Roman"/>
          <w:sz w:val="28"/>
          <w:szCs w:val="28"/>
        </w:rPr>
      </w:pPr>
      <w:bookmarkStart w:id="203" w:name="_Ref199472484"/>
      <w:r w:rsidRPr="00577593">
        <w:rPr>
          <w:rFonts w:ascii="Times New Roman" w:hAnsi="Times New Roman"/>
          <w:sz w:val="28"/>
          <w:szCs w:val="28"/>
        </w:rPr>
        <w:t xml:space="preserve">Рисунок </w:t>
      </w:r>
      <w:bookmarkEnd w:id="203"/>
      <w:r w:rsidR="00C3038B">
        <w:rPr>
          <w:rFonts w:ascii="Times New Roman" w:hAnsi="Times New Roman"/>
          <w:sz w:val="28"/>
          <w:szCs w:val="28"/>
        </w:rPr>
        <w:t>66</w:t>
      </w:r>
      <w:r w:rsidRPr="00577593">
        <w:rPr>
          <w:rFonts w:ascii="Times New Roman" w:hAnsi="Times New Roman"/>
          <w:sz w:val="28"/>
          <w:szCs w:val="28"/>
        </w:rPr>
        <w:t xml:space="preserve"> </w:t>
      </w:r>
      <w:r w:rsidR="00D53DC9" w:rsidRPr="00577593">
        <w:rPr>
          <w:rFonts w:ascii="Times New Roman" w:hAnsi="Times New Roman"/>
          <w:sz w:val="28"/>
          <w:szCs w:val="28"/>
        </w:rPr>
        <w:t>–</w:t>
      </w:r>
      <w:r w:rsidRPr="00577593">
        <w:rPr>
          <w:rFonts w:ascii="Times New Roman" w:hAnsi="Times New Roman"/>
          <w:sz w:val="28"/>
          <w:szCs w:val="28"/>
        </w:rPr>
        <w:t xml:space="preserve"> Оценка среднедушевого дохода и коэффициента доступности жилья, рублей</w:t>
      </w:r>
    </w:p>
    <w:p w:rsidR="000E0959" w:rsidRPr="00577593" w:rsidRDefault="000E0959" w:rsidP="000E0959">
      <w:pPr>
        <w:pStyle w:val="aff9"/>
        <w:spacing w:after="0"/>
        <w:jc w:val="both"/>
        <w:rPr>
          <w:rFonts w:ascii="Times New Roman" w:hAnsi="Times New Roman"/>
          <w:i w:val="0"/>
          <w:color w:val="auto"/>
          <w:sz w:val="28"/>
          <w:szCs w:val="28"/>
        </w:rPr>
      </w:pPr>
      <w:r w:rsidRPr="00577593">
        <w:rPr>
          <w:rFonts w:ascii="Times New Roman" w:hAnsi="Times New Roman"/>
          <w:i w:val="0"/>
          <w:color w:val="auto"/>
          <w:sz w:val="28"/>
          <w:szCs w:val="28"/>
        </w:rPr>
        <w:t>Примечание – Источник: оценка по данным Росстата и открытых порталов по продаже жилья</w:t>
      </w:r>
    </w:p>
    <w:p w:rsidR="009809F3" w:rsidRPr="00577593" w:rsidRDefault="009809F3" w:rsidP="009809F3">
      <w:pPr>
        <w:spacing w:after="0" w:line="240" w:lineRule="auto"/>
        <w:jc w:val="center"/>
        <w:rPr>
          <w:rFonts w:ascii="Times New Roman" w:hAnsi="Times New Roman"/>
          <w:sz w:val="28"/>
          <w:szCs w:val="28"/>
        </w:rPr>
      </w:pPr>
    </w:p>
    <w:p w:rsidR="00FC41F4"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Важным направлением оценки уровня социально-экономического развития муниципальных образований является состояние бюджета. Поэтому было проведено сопоставление рассматриваемых городов по уровню бюджетных доходов и расходов все</w:t>
      </w:r>
      <w:r w:rsidR="00E56794" w:rsidRPr="00577593">
        <w:rPr>
          <w:rFonts w:ascii="Times New Roman" w:hAnsi="Times New Roman"/>
          <w:sz w:val="28"/>
          <w:szCs w:val="28"/>
        </w:rPr>
        <w:t>го и на душу населения в 2024 году</w:t>
      </w:r>
      <w:r w:rsidRPr="00577593">
        <w:rPr>
          <w:rFonts w:ascii="Times New Roman" w:hAnsi="Times New Roman"/>
          <w:sz w:val="28"/>
          <w:szCs w:val="28"/>
        </w:rPr>
        <w:t xml:space="preserve"> (</w:t>
      </w:r>
      <w:r w:rsidR="00D558A5">
        <w:fldChar w:fldCharType="begin"/>
      </w:r>
      <w:r w:rsidR="00D558A5">
        <w:instrText xml:space="preserve"> REF _Ref199472695 \h  \* MERGEFORMAT </w:instrText>
      </w:r>
      <w:r w:rsidR="00D558A5">
        <w:fldChar w:fldCharType="separate"/>
      </w:r>
      <w:r w:rsidR="00071499" w:rsidRPr="00577593">
        <w:rPr>
          <w:rFonts w:ascii="Times New Roman" w:hAnsi="Times New Roman"/>
          <w:sz w:val="28"/>
          <w:szCs w:val="28"/>
        </w:rPr>
        <w:t xml:space="preserve">Рисунок </w:t>
      </w:r>
      <w:r w:rsidR="00D558A5">
        <w:fldChar w:fldCharType="end"/>
      </w:r>
      <w:r w:rsidR="00C3038B">
        <w:rPr>
          <w:rFonts w:ascii="Times New Roman" w:hAnsi="Times New Roman"/>
          <w:sz w:val="28"/>
          <w:szCs w:val="28"/>
        </w:rPr>
        <w:t>67</w:t>
      </w:r>
      <w:r w:rsidRPr="00577593">
        <w:rPr>
          <w:rFonts w:ascii="Times New Roman" w:hAnsi="Times New Roman"/>
          <w:sz w:val="28"/>
          <w:szCs w:val="28"/>
        </w:rPr>
        <w:t xml:space="preserve">, </w:t>
      </w:r>
      <w:r w:rsidR="00D558A5">
        <w:fldChar w:fldCharType="begin"/>
      </w:r>
      <w:r w:rsidR="00D558A5">
        <w:instrText xml:space="preserve"> REF _Ref199472696 \h  \* MERGEFORMAT </w:instrText>
      </w:r>
      <w:r w:rsidR="00D558A5">
        <w:fldChar w:fldCharType="separate"/>
      </w:r>
      <w:r w:rsidR="00071499" w:rsidRPr="00577593">
        <w:rPr>
          <w:rFonts w:ascii="Times New Roman" w:hAnsi="Times New Roman"/>
          <w:sz w:val="28"/>
          <w:szCs w:val="28"/>
        </w:rPr>
        <w:t xml:space="preserve">Рисунок </w:t>
      </w:r>
      <w:r w:rsidR="00D558A5">
        <w:fldChar w:fldCharType="end"/>
      </w:r>
      <w:r w:rsidR="00C3038B">
        <w:rPr>
          <w:rFonts w:ascii="Times New Roman" w:hAnsi="Times New Roman"/>
          <w:sz w:val="28"/>
          <w:szCs w:val="28"/>
        </w:rPr>
        <w:t>6</w:t>
      </w:r>
      <w:r w:rsidR="00C3152E">
        <w:rPr>
          <w:rFonts w:ascii="Times New Roman" w:hAnsi="Times New Roman"/>
          <w:sz w:val="28"/>
          <w:szCs w:val="28"/>
        </w:rPr>
        <w:t>8</w:t>
      </w:r>
      <w:r w:rsidRPr="00577593">
        <w:rPr>
          <w:rFonts w:ascii="Times New Roman" w:hAnsi="Times New Roman"/>
          <w:sz w:val="28"/>
          <w:szCs w:val="28"/>
        </w:rPr>
        <w:t>).</w:t>
      </w:r>
    </w:p>
    <w:p w:rsidR="00F37DC9" w:rsidRPr="00577593" w:rsidRDefault="000D3F7A" w:rsidP="002000D4">
      <w:pPr>
        <w:spacing w:after="0" w:line="240" w:lineRule="auto"/>
        <w:ind w:firstLine="709"/>
        <w:jc w:val="both"/>
        <w:rPr>
          <w:rFonts w:ascii="Times New Roman" w:hAnsi="Times New Roman"/>
          <w:sz w:val="28"/>
          <w:szCs w:val="28"/>
        </w:rPr>
      </w:pPr>
      <w:r w:rsidRPr="00FC5EFE">
        <w:rPr>
          <w:noProof/>
          <w:lang w:eastAsia="ru-RU"/>
        </w:rPr>
        <w:drawing>
          <wp:inline distT="0" distB="0" distL="0" distR="0">
            <wp:extent cx="4768215" cy="2834640"/>
            <wp:effectExtent l="0" t="0" r="0" b="0"/>
            <wp:docPr id="67" name="Объект 6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FC41F4" w:rsidRPr="00577593" w:rsidRDefault="008925FA" w:rsidP="009809F3">
      <w:pPr>
        <w:spacing w:after="0" w:line="240" w:lineRule="auto"/>
        <w:jc w:val="center"/>
        <w:rPr>
          <w:rFonts w:ascii="Times New Roman" w:hAnsi="Times New Roman"/>
          <w:sz w:val="28"/>
          <w:szCs w:val="28"/>
        </w:rPr>
      </w:pPr>
      <w:bookmarkStart w:id="204" w:name="_Ref199472695"/>
      <w:r w:rsidRPr="00577593">
        <w:rPr>
          <w:rFonts w:ascii="Times New Roman" w:hAnsi="Times New Roman"/>
          <w:sz w:val="28"/>
          <w:szCs w:val="28"/>
        </w:rPr>
        <w:t xml:space="preserve">Рисунок </w:t>
      </w:r>
      <w:bookmarkEnd w:id="204"/>
      <w:r w:rsidR="00C3038B">
        <w:rPr>
          <w:rFonts w:ascii="Times New Roman" w:hAnsi="Times New Roman"/>
          <w:sz w:val="28"/>
          <w:szCs w:val="28"/>
        </w:rPr>
        <w:t>67</w:t>
      </w:r>
      <w:r w:rsidRPr="00577593">
        <w:rPr>
          <w:rFonts w:ascii="Times New Roman" w:hAnsi="Times New Roman"/>
          <w:sz w:val="28"/>
          <w:szCs w:val="28"/>
        </w:rPr>
        <w:t xml:space="preserve"> </w:t>
      </w:r>
      <w:r w:rsidR="00D53DC9" w:rsidRPr="00577593">
        <w:rPr>
          <w:rFonts w:ascii="Times New Roman" w:hAnsi="Times New Roman"/>
          <w:sz w:val="28"/>
          <w:szCs w:val="28"/>
        </w:rPr>
        <w:t>–</w:t>
      </w:r>
      <w:r w:rsidRPr="00577593">
        <w:rPr>
          <w:rFonts w:ascii="Times New Roman" w:hAnsi="Times New Roman"/>
          <w:sz w:val="28"/>
          <w:szCs w:val="28"/>
        </w:rPr>
        <w:t xml:space="preserve"> Доходы и расходы </w:t>
      </w:r>
      <w:r w:rsidR="00E34E37" w:rsidRPr="00577593">
        <w:rPr>
          <w:rFonts w:ascii="Times New Roman" w:hAnsi="Times New Roman"/>
          <w:sz w:val="28"/>
          <w:szCs w:val="28"/>
        </w:rPr>
        <w:t>муниципального бюджета в 2024 году</w:t>
      </w:r>
      <w:r w:rsidRPr="00577593">
        <w:rPr>
          <w:rFonts w:ascii="Times New Roman" w:hAnsi="Times New Roman"/>
          <w:sz w:val="28"/>
          <w:szCs w:val="28"/>
        </w:rPr>
        <w:t xml:space="preserve">, </w:t>
      </w:r>
      <w:r w:rsidR="009809F3" w:rsidRPr="00577593">
        <w:rPr>
          <w:rFonts w:ascii="Times New Roman" w:hAnsi="Times New Roman"/>
          <w:sz w:val="28"/>
          <w:szCs w:val="28"/>
        </w:rPr>
        <w:br/>
      </w:r>
      <w:r w:rsidRPr="00577593">
        <w:rPr>
          <w:rFonts w:ascii="Times New Roman" w:hAnsi="Times New Roman"/>
          <w:sz w:val="28"/>
          <w:szCs w:val="28"/>
        </w:rPr>
        <w:t>млн</w:t>
      </w:r>
      <w:r w:rsidR="00E34E37" w:rsidRPr="00577593">
        <w:rPr>
          <w:rFonts w:ascii="Times New Roman" w:hAnsi="Times New Roman"/>
          <w:sz w:val="28"/>
          <w:szCs w:val="28"/>
        </w:rPr>
        <w:t xml:space="preserve"> рублей</w:t>
      </w:r>
    </w:p>
    <w:p w:rsidR="000E0959" w:rsidRPr="00577593" w:rsidRDefault="000E0959" w:rsidP="000E0959">
      <w:pPr>
        <w:pStyle w:val="aff9"/>
        <w:spacing w:after="0"/>
        <w:jc w:val="both"/>
        <w:rPr>
          <w:rFonts w:ascii="Times New Roman" w:hAnsi="Times New Roman"/>
          <w:i w:val="0"/>
          <w:color w:val="auto"/>
          <w:sz w:val="28"/>
          <w:szCs w:val="28"/>
        </w:rPr>
      </w:pPr>
      <w:r w:rsidRPr="00577593">
        <w:rPr>
          <w:rFonts w:ascii="Times New Roman" w:hAnsi="Times New Roman"/>
          <w:i w:val="0"/>
          <w:color w:val="auto"/>
          <w:sz w:val="28"/>
          <w:szCs w:val="28"/>
        </w:rPr>
        <w:lastRenderedPageBreak/>
        <w:t>Примечание – Источник: по данным отчетов об исполнении бюджета муниципальных образований</w:t>
      </w:r>
    </w:p>
    <w:p w:rsidR="009809F3" w:rsidRPr="00577593" w:rsidRDefault="009809F3" w:rsidP="009809F3">
      <w:pPr>
        <w:spacing w:after="0" w:line="240" w:lineRule="auto"/>
        <w:jc w:val="center"/>
        <w:rPr>
          <w:rFonts w:ascii="Times New Roman" w:hAnsi="Times New Roman"/>
          <w:sz w:val="28"/>
          <w:szCs w:val="28"/>
        </w:rPr>
      </w:pPr>
    </w:p>
    <w:p w:rsidR="00FC41F4"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Лидером по абсолютным показателям по доходам и расходам бюджета является Новосибирск, </w:t>
      </w:r>
      <w:r w:rsidR="00E959B6">
        <w:rPr>
          <w:rFonts w:ascii="Times New Roman" w:hAnsi="Times New Roman"/>
          <w:sz w:val="28"/>
          <w:szCs w:val="28"/>
        </w:rPr>
        <w:t xml:space="preserve">город </w:t>
      </w:r>
      <w:r w:rsidRPr="00577593">
        <w:rPr>
          <w:rFonts w:ascii="Times New Roman" w:hAnsi="Times New Roman"/>
          <w:sz w:val="28"/>
          <w:szCs w:val="28"/>
        </w:rPr>
        <w:t xml:space="preserve">Барнаул среди столиц занимает предпоследнее место, опережая только Томск. </w:t>
      </w:r>
    </w:p>
    <w:p w:rsidR="00E45FD8" w:rsidRPr="00577593" w:rsidRDefault="000D3F7A" w:rsidP="00F37DC9">
      <w:pPr>
        <w:spacing w:after="0" w:line="240" w:lineRule="auto"/>
        <w:ind w:firstLine="709"/>
        <w:jc w:val="both"/>
        <w:rPr>
          <w:rFonts w:ascii="Times New Roman" w:hAnsi="Times New Roman"/>
          <w:sz w:val="28"/>
          <w:szCs w:val="28"/>
        </w:rPr>
      </w:pPr>
      <w:r w:rsidRPr="00FC5EFE">
        <w:rPr>
          <w:noProof/>
          <w:lang w:eastAsia="ru-RU"/>
        </w:rPr>
        <w:drawing>
          <wp:inline distT="0" distB="0" distL="0" distR="0">
            <wp:extent cx="4780915" cy="2651760"/>
            <wp:effectExtent l="0" t="0" r="0" b="0"/>
            <wp:docPr id="68" name="Объект 6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FC41F4" w:rsidRPr="00577593" w:rsidRDefault="00FC41F4" w:rsidP="002000D4">
      <w:pPr>
        <w:spacing w:after="0" w:line="240" w:lineRule="auto"/>
        <w:jc w:val="center"/>
        <w:rPr>
          <w:rFonts w:ascii="Times New Roman" w:hAnsi="Times New Roman"/>
          <w:sz w:val="2"/>
          <w:szCs w:val="2"/>
        </w:rPr>
      </w:pPr>
    </w:p>
    <w:p w:rsidR="00FC41F4" w:rsidRPr="00577593" w:rsidRDefault="008925FA" w:rsidP="009809F3">
      <w:pPr>
        <w:spacing w:after="0" w:line="240" w:lineRule="auto"/>
        <w:jc w:val="center"/>
        <w:rPr>
          <w:rFonts w:ascii="Times New Roman" w:hAnsi="Times New Roman"/>
          <w:sz w:val="28"/>
          <w:szCs w:val="28"/>
        </w:rPr>
      </w:pPr>
      <w:bookmarkStart w:id="205" w:name="_Ref199472696"/>
      <w:r w:rsidRPr="00577593">
        <w:rPr>
          <w:rFonts w:ascii="Times New Roman" w:hAnsi="Times New Roman"/>
          <w:sz w:val="28"/>
          <w:szCs w:val="28"/>
        </w:rPr>
        <w:t xml:space="preserve">Рисунок </w:t>
      </w:r>
      <w:bookmarkEnd w:id="205"/>
      <w:r w:rsidR="008D738C">
        <w:rPr>
          <w:rFonts w:ascii="Times New Roman" w:hAnsi="Times New Roman"/>
          <w:sz w:val="28"/>
          <w:szCs w:val="28"/>
        </w:rPr>
        <w:t>68</w:t>
      </w:r>
      <w:r w:rsidRPr="00577593">
        <w:rPr>
          <w:rFonts w:ascii="Times New Roman" w:hAnsi="Times New Roman"/>
          <w:sz w:val="28"/>
          <w:szCs w:val="28"/>
        </w:rPr>
        <w:t xml:space="preserve"> </w:t>
      </w:r>
      <w:r w:rsidR="00D53DC9" w:rsidRPr="00577593">
        <w:rPr>
          <w:rFonts w:ascii="Times New Roman" w:hAnsi="Times New Roman"/>
          <w:sz w:val="28"/>
          <w:szCs w:val="28"/>
        </w:rPr>
        <w:t>–</w:t>
      </w:r>
      <w:r w:rsidRPr="00577593">
        <w:rPr>
          <w:rFonts w:ascii="Times New Roman" w:hAnsi="Times New Roman"/>
          <w:sz w:val="28"/>
          <w:szCs w:val="28"/>
        </w:rPr>
        <w:t xml:space="preserve"> Доходы и расходы муниципального бюджета </w:t>
      </w:r>
      <w:r w:rsidRPr="00577593">
        <w:rPr>
          <w:rFonts w:ascii="Times New Roman" w:hAnsi="Times New Roman"/>
          <w:sz w:val="28"/>
          <w:szCs w:val="28"/>
        </w:rPr>
        <w:br/>
      </w:r>
      <w:r w:rsidR="00E34E37" w:rsidRPr="00577593">
        <w:rPr>
          <w:rFonts w:ascii="Times New Roman" w:hAnsi="Times New Roman"/>
          <w:sz w:val="28"/>
          <w:szCs w:val="28"/>
        </w:rPr>
        <w:t>на душу населения в 2024 году, рублей</w:t>
      </w:r>
    </w:p>
    <w:p w:rsidR="000E0959" w:rsidRPr="00577593" w:rsidRDefault="000E0959" w:rsidP="000E0959">
      <w:pPr>
        <w:pStyle w:val="aff9"/>
        <w:spacing w:after="0"/>
        <w:jc w:val="both"/>
        <w:rPr>
          <w:rFonts w:ascii="Times New Roman" w:hAnsi="Times New Roman"/>
          <w:i w:val="0"/>
          <w:color w:val="auto"/>
          <w:sz w:val="28"/>
          <w:szCs w:val="28"/>
        </w:rPr>
      </w:pPr>
      <w:r w:rsidRPr="00577593">
        <w:rPr>
          <w:rFonts w:ascii="Times New Roman" w:hAnsi="Times New Roman"/>
          <w:i w:val="0"/>
          <w:color w:val="auto"/>
          <w:sz w:val="28"/>
          <w:szCs w:val="28"/>
        </w:rPr>
        <w:t>Примечание – Источник: по данным отчетов об исполнении бюджета муниципальных образований</w:t>
      </w:r>
    </w:p>
    <w:p w:rsidR="009809F3" w:rsidRPr="00577593" w:rsidRDefault="009809F3" w:rsidP="009809F3">
      <w:pPr>
        <w:spacing w:after="0" w:line="240" w:lineRule="auto"/>
        <w:jc w:val="center"/>
        <w:rPr>
          <w:rFonts w:ascii="Times New Roman" w:hAnsi="Times New Roman"/>
          <w:sz w:val="28"/>
          <w:szCs w:val="28"/>
        </w:rPr>
      </w:pPr>
    </w:p>
    <w:p w:rsidR="00C10D34" w:rsidRDefault="008925FA" w:rsidP="00BF467B">
      <w:pPr>
        <w:spacing w:after="0" w:line="330" w:lineRule="exact"/>
        <w:ind w:firstLine="709"/>
        <w:jc w:val="both"/>
        <w:rPr>
          <w:rFonts w:ascii="Times New Roman" w:hAnsi="Times New Roman"/>
          <w:sz w:val="28"/>
          <w:szCs w:val="28"/>
        </w:rPr>
      </w:pPr>
      <w:r w:rsidRPr="00577593">
        <w:rPr>
          <w:rFonts w:ascii="Times New Roman" w:hAnsi="Times New Roman"/>
          <w:sz w:val="28"/>
          <w:szCs w:val="28"/>
        </w:rPr>
        <w:t xml:space="preserve">Лидером по удельным показателям по доходам и расходам бюджета является уже Кемерово, затем Иркутск. Барнаул среди столиц занимает также предпоследнее место, опережая только Омск. </w:t>
      </w:r>
    </w:p>
    <w:p w:rsidR="00FC41F4" w:rsidRPr="00577593" w:rsidRDefault="008925FA" w:rsidP="00BF467B">
      <w:pPr>
        <w:spacing w:after="0" w:line="330" w:lineRule="exact"/>
        <w:ind w:firstLine="709"/>
        <w:jc w:val="both"/>
        <w:rPr>
          <w:rFonts w:ascii="Times New Roman" w:hAnsi="Times New Roman"/>
          <w:sz w:val="28"/>
          <w:szCs w:val="28"/>
        </w:rPr>
      </w:pPr>
      <w:r w:rsidRPr="00577593">
        <w:rPr>
          <w:rFonts w:ascii="Times New Roman" w:hAnsi="Times New Roman"/>
          <w:sz w:val="28"/>
          <w:szCs w:val="28"/>
        </w:rPr>
        <w:t xml:space="preserve">Кроме этого, сборы по налогам непосредственно по данным ФНС также показывают уровень экономического развития и способность города зарабатывать, что отражает эффективность проводимой экономической и градостроительной политики, так как это отражается в поступлениях таких налогов на бизнес и доходы, как НДФЛ, налог на прибыль и УСН, а также налогах на имущество – земельный налог, налог на имущество физических лиц, налог на имущество организаций, несмотря на то, что частично или полностью налоги поступают в региональный и федеральный бюджеты. Поэтому предлагается сопоставлять не поступления по налогам по отчетам об исполнении бюджета, а исчисленные суммы налогов по формам ФНС, чтобы видеть более полноценную картину. Так, были сопоставлены данные форм ФНС </w:t>
      </w:r>
      <w:r w:rsidR="0006083A">
        <w:rPr>
          <w:rFonts w:ascii="Times New Roman" w:hAnsi="Times New Roman"/>
          <w:sz w:val="28"/>
          <w:szCs w:val="28"/>
        </w:rPr>
        <w:t xml:space="preserve"> </w:t>
      </w:r>
      <w:r w:rsidRPr="00577593">
        <w:rPr>
          <w:rFonts w:ascii="Times New Roman" w:hAnsi="Times New Roman"/>
          <w:sz w:val="28"/>
          <w:szCs w:val="28"/>
        </w:rPr>
        <w:t>по ключевым налогам по рассматриваемым городам за 2023 г</w:t>
      </w:r>
      <w:r w:rsidR="00E34E37" w:rsidRPr="00577593">
        <w:rPr>
          <w:rFonts w:ascii="Times New Roman" w:hAnsi="Times New Roman"/>
          <w:sz w:val="28"/>
          <w:szCs w:val="28"/>
        </w:rPr>
        <w:t>од</w:t>
      </w:r>
      <w:r w:rsidRPr="00577593">
        <w:rPr>
          <w:rFonts w:ascii="Times New Roman" w:hAnsi="Times New Roman"/>
          <w:sz w:val="28"/>
          <w:szCs w:val="28"/>
        </w:rPr>
        <w:t xml:space="preserve"> (последние доступные данные на момент подготовки Стратегии,</w:t>
      </w:r>
      <w:r w:rsidR="00C3152E">
        <w:rPr>
          <w:rFonts w:ascii="Times New Roman" w:hAnsi="Times New Roman"/>
          <w:sz w:val="28"/>
          <w:szCs w:val="28"/>
        </w:rPr>
        <w:t xml:space="preserve"> Таблица 23</w:t>
      </w:r>
      <w:r w:rsidRPr="00577593">
        <w:rPr>
          <w:rFonts w:ascii="Times New Roman" w:hAnsi="Times New Roman"/>
          <w:sz w:val="28"/>
          <w:szCs w:val="28"/>
        </w:rPr>
        <w:t xml:space="preserve">). Так, в </w:t>
      </w:r>
      <w:r w:rsidR="00C3152E">
        <w:rPr>
          <w:rFonts w:ascii="Times New Roman" w:hAnsi="Times New Roman"/>
          <w:sz w:val="28"/>
          <w:szCs w:val="28"/>
        </w:rPr>
        <w:t xml:space="preserve">городе </w:t>
      </w:r>
      <w:r w:rsidRPr="00577593">
        <w:rPr>
          <w:rFonts w:ascii="Times New Roman" w:hAnsi="Times New Roman"/>
          <w:sz w:val="28"/>
          <w:szCs w:val="28"/>
        </w:rPr>
        <w:t>Барнауле наблюдается достаточно значительное опережение по удельным сборам по налогу</w:t>
      </w:r>
      <w:r w:rsidR="00C10D34">
        <w:rPr>
          <w:rFonts w:ascii="Times New Roman" w:hAnsi="Times New Roman"/>
          <w:sz w:val="28"/>
          <w:szCs w:val="28"/>
        </w:rPr>
        <w:t xml:space="preserve"> </w:t>
      </w:r>
      <w:r w:rsidRPr="00577593">
        <w:rPr>
          <w:rFonts w:ascii="Times New Roman" w:hAnsi="Times New Roman"/>
          <w:sz w:val="28"/>
          <w:szCs w:val="28"/>
        </w:rPr>
        <w:t xml:space="preserve">на имущество физических лиц, что вызвано превышением ставок по налогам относительно других городов. По земельному налогу </w:t>
      </w:r>
      <w:r w:rsidR="00E959B6">
        <w:rPr>
          <w:rFonts w:ascii="Times New Roman" w:hAnsi="Times New Roman"/>
          <w:sz w:val="28"/>
          <w:szCs w:val="28"/>
        </w:rPr>
        <w:t>город</w:t>
      </w:r>
      <w:r w:rsidRPr="00577593">
        <w:rPr>
          <w:rFonts w:ascii="Times New Roman" w:hAnsi="Times New Roman"/>
          <w:sz w:val="28"/>
          <w:szCs w:val="28"/>
        </w:rPr>
        <w:t xml:space="preserve"> по удельному показателю опережает только </w:t>
      </w:r>
      <w:r w:rsidRPr="00577593">
        <w:rPr>
          <w:rFonts w:ascii="Times New Roman" w:hAnsi="Times New Roman"/>
          <w:sz w:val="28"/>
          <w:szCs w:val="28"/>
        </w:rPr>
        <w:lastRenderedPageBreak/>
        <w:t>Красноярск и значительно отстает от Иркутска, Новосибирска, Омска и Томска, что как раз может свидетельствовать о недостаточно оптимальном управлении земельными участками на территории</w:t>
      </w:r>
      <w:r w:rsidR="00E959B6">
        <w:rPr>
          <w:rFonts w:ascii="Times New Roman" w:hAnsi="Times New Roman"/>
          <w:sz w:val="28"/>
          <w:szCs w:val="28"/>
        </w:rPr>
        <w:t xml:space="preserve"> города </w:t>
      </w:r>
      <w:r w:rsidRPr="00577593">
        <w:rPr>
          <w:rFonts w:ascii="Times New Roman" w:hAnsi="Times New Roman"/>
          <w:sz w:val="28"/>
          <w:szCs w:val="28"/>
        </w:rPr>
        <w:t>Барнаула или о несоответствии кадастровой оценки. По уровню удельных сборов по налогу на имущество организаций безоговорочным лидером, опережающим все другие города в несколько раз</w:t>
      </w:r>
      <w:r w:rsidR="00C3152E">
        <w:rPr>
          <w:rFonts w:ascii="Times New Roman" w:hAnsi="Times New Roman"/>
          <w:sz w:val="28"/>
          <w:szCs w:val="28"/>
        </w:rPr>
        <w:t>,</w:t>
      </w:r>
      <w:r w:rsidRPr="00577593">
        <w:rPr>
          <w:rFonts w:ascii="Times New Roman" w:hAnsi="Times New Roman"/>
          <w:sz w:val="28"/>
          <w:szCs w:val="28"/>
        </w:rPr>
        <w:t xml:space="preserve"> </w:t>
      </w:r>
      <w:r w:rsidR="0053506D">
        <w:rPr>
          <w:rFonts w:ascii="Times New Roman" w:hAnsi="Times New Roman"/>
          <w:sz w:val="28"/>
          <w:szCs w:val="28"/>
        </w:rPr>
        <w:t xml:space="preserve">является </w:t>
      </w:r>
      <w:r w:rsidRPr="00577593">
        <w:rPr>
          <w:rFonts w:ascii="Times New Roman" w:hAnsi="Times New Roman"/>
          <w:sz w:val="28"/>
          <w:szCs w:val="28"/>
        </w:rPr>
        <w:t>Иркутск, затем идет с отставанием почти в 2 раза Кемерово, все остальные города находятся примерно на одном уровне по удельному показателю. По удельному значению УСН все города находятся примерно на одном уровне. По налогу на прибыль также значительно опережают другие города Кемерово и Иркутск. По удельным сборам по НДФЛ</w:t>
      </w:r>
      <w:r w:rsidR="00E959B6">
        <w:rPr>
          <w:rFonts w:ascii="Times New Roman" w:hAnsi="Times New Roman"/>
          <w:sz w:val="28"/>
          <w:szCs w:val="28"/>
        </w:rPr>
        <w:t xml:space="preserve"> город </w:t>
      </w:r>
      <w:r w:rsidRPr="00577593">
        <w:rPr>
          <w:rFonts w:ascii="Times New Roman" w:hAnsi="Times New Roman"/>
          <w:sz w:val="28"/>
          <w:szCs w:val="28"/>
        </w:rPr>
        <w:t>Барнаул ожидаемо отстает от всех остальных городов, так</w:t>
      </w:r>
      <w:r w:rsidR="00C3152E">
        <w:rPr>
          <w:rFonts w:ascii="Times New Roman" w:hAnsi="Times New Roman"/>
          <w:sz w:val="28"/>
          <w:szCs w:val="28"/>
        </w:rPr>
        <w:t xml:space="preserve"> </w:t>
      </w:r>
      <w:r w:rsidRPr="00577593">
        <w:rPr>
          <w:rFonts w:ascii="Times New Roman" w:hAnsi="Times New Roman"/>
          <w:sz w:val="28"/>
          <w:szCs w:val="28"/>
        </w:rPr>
        <w:t>как и по средней заработной плате город отстает от других столиц Сибирского федерального округа.</w:t>
      </w:r>
    </w:p>
    <w:p w:rsidR="009809F3" w:rsidRPr="00577593" w:rsidRDefault="009809F3" w:rsidP="002000D4">
      <w:pPr>
        <w:spacing w:after="0" w:line="240" w:lineRule="auto"/>
        <w:contextualSpacing/>
        <w:jc w:val="both"/>
        <w:rPr>
          <w:rFonts w:ascii="Times New Roman" w:hAnsi="Times New Roman"/>
          <w:sz w:val="28"/>
          <w:szCs w:val="28"/>
        </w:rPr>
      </w:pPr>
      <w:bookmarkStart w:id="206" w:name="_Ref199473094"/>
    </w:p>
    <w:p w:rsidR="00FC41F4" w:rsidRPr="00577593" w:rsidRDefault="008925FA" w:rsidP="002000D4">
      <w:pPr>
        <w:spacing w:after="0" w:line="240" w:lineRule="auto"/>
        <w:contextualSpacing/>
        <w:jc w:val="both"/>
        <w:rPr>
          <w:rFonts w:ascii="Times New Roman" w:hAnsi="Times New Roman"/>
          <w:sz w:val="28"/>
          <w:szCs w:val="28"/>
        </w:rPr>
      </w:pPr>
      <w:r w:rsidRPr="00577593">
        <w:rPr>
          <w:rFonts w:ascii="Times New Roman" w:hAnsi="Times New Roman"/>
          <w:sz w:val="28"/>
          <w:szCs w:val="28"/>
        </w:rPr>
        <w:t xml:space="preserve">Таблица </w:t>
      </w:r>
      <w:r w:rsidR="00074AE5" w:rsidRPr="00577593">
        <w:rPr>
          <w:rFonts w:ascii="Times New Roman" w:hAnsi="Times New Roman"/>
          <w:sz w:val="28"/>
          <w:szCs w:val="28"/>
        </w:rPr>
        <w:fldChar w:fldCharType="begin"/>
      </w:r>
      <w:r w:rsidRPr="00577593">
        <w:rPr>
          <w:rFonts w:ascii="Times New Roman" w:hAnsi="Times New Roman"/>
          <w:sz w:val="28"/>
          <w:szCs w:val="28"/>
        </w:rPr>
        <w:instrText xml:space="preserve"> SEQ Таблица \* ARABIC </w:instrText>
      </w:r>
      <w:r w:rsidR="00074AE5" w:rsidRPr="00577593">
        <w:rPr>
          <w:rFonts w:ascii="Times New Roman" w:hAnsi="Times New Roman"/>
          <w:sz w:val="28"/>
          <w:szCs w:val="28"/>
        </w:rPr>
        <w:fldChar w:fldCharType="separate"/>
      </w:r>
      <w:r w:rsidR="00071499">
        <w:rPr>
          <w:rFonts w:ascii="Times New Roman" w:hAnsi="Times New Roman"/>
          <w:noProof/>
          <w:sz w:val="28"/>
          <w:szCs w:val="28"/>
        </w:rPr>
        <w:t>23</w:t>
      </w:r>
      <w:r w:rsidR="00074AE5" w:rsidRPr="00577593">
        <w:rPr>
          <w:rFonts w:ascii="Times New Roman" w:hAnsi="Times New Roman"/>
          <w:sz w:val="28"/>
          <w:szCs w:val="28"/>
        </w:rPr>
        <w:fldChar w:fldCharType="end"/>
      </w:r>
      <w:bookmarkEnd w:id="206"/>
      <w:r w:rsidRPr="00577593">
        <w:rPr>
          <w:rFonts w:ascii="Times New Roman" w:hAnsi="Times New Roman"/>
          <w:sz w:val="28"/>
          <w:szCs w:val="28"/>
        </w:rPr>
        <w:t xml:space="preserve"> </w:t>
      </w:r>
      <w:r w:rsidR="00D53DC9" w:rsidRPr="00577593">
        <w:rPr>
          <w:rFonts w:ascii="Times New Roman" w:hAnsi="Times New Roman"/>
          <w:sz w:val="28"/>
          <w:szCs w:val="28"/>
        </w:rPr>
        <w:t>–</w:t>
      </w:r>
      <w:r w:rsidRPr="00577593">
        <w:rPr>
          <w:rFonts w:ascii="Times New Roman" w:hAnsi="Times New Roman"/>
          <w:sz w:val="28"/>
          <w:szCs w:val="28"/>
        </w:rPr>
        <w:t xml:space="preserve"> Данные об исчисленных суммах налогов по данным форм статистической отчетности ФНС всего и на душу населения, млн рублей и рублей на душу, 2023</w:t>
      </w:r>
      <w:r w:rsidR="00F232EA" w:rsidRPr="00577593">
        <w:rPr>
          <w:rFonts w:ascii="Times New Roman" w:hAnsi="Times New Roman"/>
          <w:sz w:val="28"/>
          <w:szCs w:val="28"/>
        </w:rPr>
        <w:t xml:space="preserve"> год</w:t>
      </w:r>
    </w:p>
    <w:tbl>
      <w:tblPr>
        <w:tblW w:w="9300" w:type="dxa"/>
        <w:tblLayout w:type="fixed"/>
        <w:tblCellMar>
          <w:top w:w="15" w:type="dxa"/>
          <w:bottom w:w="15" w:type="dxa"/>
        </w:tblCellMar>
        <w:tblLook w:val="04A0" w:firstRow="1" w:lastRow="0" w:firstColumn="1" w:lastColumn="0" w:noHBand="0" w:noVBand="1"/>
      </w:tblPr>
      <w:tblGrid>
        <w:gridCol w:w="1532"/>
        <w:gridCol w:w="873"/>
        <w:gridCol w:w="1032"/>
        <w:gridCol w:w="972"/>
        <w:gridCol w:w="1174"/>
        <w:gridCol w:w="813"/>
        <w:gridCol w:w="968"/>
        <w:gridCol w:w="968"/>
        <w:gridCol w:w="968"/>
      </w:tblGrid>
      <w:tr w:rsidR="00F37DC9" w:rsidRPr="00577593" w:rsidTr="0053506D">
        <w:trPr>
          <w:trHeight w:val="374"/>
          <w:tblHeader/>
        </w:trPr>
        <w:tc>
          <w:tcPr>
            <w:tcW w:w="153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bottom"/>
          </w:tcPr>
          <w:p w:rsidR="00F37DC9" w:rsidRPr="00577593" w:rsidRDefault="00F37DC9" w:rsidP="002000D4">
            <w:pPr>
              <w:spacing w:after="0" w:line="240" w:lineRule="auto"/>
              <w:rPr>
                <w:rFonts w:ascii="Times New Roman" w:eastAsia="Times New Roman" w:hAnsi="Times New Roman"/>
                <w:sz w:val="20"/>
                <w:szCs w:val="20"/>
                <w:lang w:eastAsia="ru-RU"/>
              </w:rPr>
            </w:pPr>
          </w:p>
        </w:tc>
        <w:tc>
          <w:tcPr>
            <w:tcW w:w="873"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bCs/>
                <w:sz w:val="20"/>
                <w:szCs w:val="20"/>
                <w:lang w:eastAsia="ru-RU"/>
              </w:rPr>
            </w:pPr>
            <w:r w:rsidRPr="00577593">
              <w:rPr>
                <w:rFonts w:ascii="Times New Roman" w:eastAsia="Times New Roman" w:hAnsi="Times New Roman"/>
                <w:bCs/>
                <w:sz w:val="20"/>
                <w:szCs w:val="20"/>
                <w:lang w:eastAsia="ru-RU"/>
              </w:rPr>
              <w:t>Барнаул</w:t>
            </w:r>
          </w:p>
        </w:tc>
        <w:tc>
          <w:tcPr>
            <w:tcW w:w="103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bCs/>
                <w:sz w:val="20"/>
                <w:szCs w:val="20"/>
                <w:lang w:eastAsia="ru-RU"/>
              </w:rPr>
            </w:pPr>
            <w:r w:rsidRPr="00577593">
              <w:rPr>
                <w:rFonts w:ascii="Times New Roman" w:eastAsia="Times New Roman" w:hAnsi="Times New Roman"/>
                <w:bCs/>
                <w:sz w:val="20"/>
                <w:szCs w:val="20"/>
                <w:lang w:eastAsia="ru-RU"/>
              </w:rPr>
              <w:t>Иркутск</w:t>
            </w:r>
          </w:p>
        </w:tc>
        <w:tc>
          <w:tcPr>
            <w:tcW w:w="97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bCs/>
                <w:sz w:val="20"/>
                <w:szCs w:val="20"/>
                <w:lang w:eastAsia="ru-RU"/>
              </w:rPr>
            </w:pPr>
            <w:r w:rsidRPr="00577593">
              <w:rPr>
                <w:rFonts w:ascii="Times New Roman" w:eastAsia="Times New Roman" w:hAnsi="Times New Roman"/>
                <w:bCs/>
                <w:sz w:val="20"/>
                <w:szCs w:val="20"/>
                <w:lang w:eastAsia="ru-RU"/>
              </w:rPr>
              <w:t>Кемерово</w:t>
            </w:r>
          </w:p>
        </w:tc>
        <w:tc>
          <w:tcPr>
            <w:tcW w:w="1174"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Красноярск</w:t>
            </w:r>
          </w:p>
        </w:tc>
        <w:tc>
          <w:tcPr>
            <w:tcW w:w="813"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Ново-сибирск</w:t>
            </w:r>
          </w:p>
        </w:tc>
        <w:tc>
          <w:tcPr>
            <w:tcW w:w="968"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bCs/>
                <w:sz w:val="20"/>
                <w:szCs w:val="20"/>
                <w:lang w:eastAsia="ru-RU"/>
              </w:rPr>
            </w:pPr>
            <w:r w:rsidRPr="00577593">
              <w:rPr>
                <w:rFonts w:ascii="Times New Roman" w:eastAsia="Times New Roman" w:hAnsi="Times New Roman"/>
                <w:bCs/>
                <w:sz w:val="20"/>
                <w:szCs w:val="20"/>
                <w:lang w:eastAsia="ru-RU"/>
              </w:rPr>
              <w:t>Омск</w:t>
            </w:r>
          </w:p>
        </w:tc>
        <w:tc>
          <w:tcPr>
            <w:tcW w:w="968"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bCs/>
                <w:sz w:val="20"/>
                <w:szCs w:val="20"/>
                <w:lang w:eastAsia="ru-RU"/>
              </w:rPr>
            </w:pPr>
            <w:r w:rsidRPr="00577593">
              <w:rPr>
                <w:rFonts w:ascii="Times New Roman" w:eastAsia="Times New Roman" w:hAnsi="Times New Roman"/>
                <w:bCs/>
                <w:sz w:val="20"/>
                <w:szCs w:val="20"/>
                <w:lang w:eastAsia="ru-RU"/>
              </w:rPr>
              <w:t>Томск</w:t>
            </w:r>
          </w:p>
        </w:tc>
        <w:tc>
          <w:tcPr>
            <w:tcW w:w="968" w:type="dxa"/>
            <w:tcBorders>
              <w:top w:val="single" w:sz="4" w:space="0" w:color="000000"/>
              <w:left w:val="single" w:sz="4" w:space="0" w:color="000000"/>
              <w:bottom w:val="single" w:sz="4" w:space="0" w:color="000000"/>
              <w:right w:val="single" w:sz="4" w:space="0" w:color="000000"/>
            </w:tcBorders>
            <w:vAlign w:val="center"/>
          </w:tcPr>
          <w:p w:rsidR="00F37DC9" w:rsidRPr="00577593" w:rsidRDefault="00F37DC9" w:rsidP="002000D4">
            <w:pPr>
              <w:spacing w:after="0" w:line="240" w:lineRule="auto"/>
              <w:jc w:val="center"/>
              <w:rPr>
                <w:rFonts w:ascii="Times New Roman" w:eastAsia="Times New Roman" w:hAnsi="Times New Roman"/>
                <w:bCs/>
                <w:sz w:val="20"/>
                <w:szCs w:val="20"/>
                <w:lang w:eastAsia="ru-RU"/>
              </w:rPr>
            </w:pPr>
            <w:r>
              <w:rPr>
                <w:rFonts w:ascii="Times New Roman" w:eastAsia="Times New Roman" w:hAnsi="Times New Roman"/>
                <w:bCs/>
                <w:sz w:val="20"/>
                <w:szCs w:val="20"/>
                <w:lang w:eastAsia="ru-RU"/>
              </w:rPr>
              <w:t>Бийск</w:t>
            </w:r>
          </w:p>
        </w:tc>
      </w:tr>
      <w:tr w:rsidR="00F37DC9" w:rsidRPr="00577593" w:rsidTr="0053506D">
        <w:trPr>
          <w:trHeight w:val="300"/>
        </w:trPr>
        <w:tc>
          <w:tcPr>
            <w:tcW w:w="153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bottom"/>
          </w:tcPr>
          <w:p w:rsidR="00F37DC9" w:rsidRPr="00577593" w:rsidRDefault="00F37DC9" w:rsidP="002000D4">
            <w:pPr>
              <w:spacing w:after="0" w:line="240" w:lineRule="auto"/>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Сборы по налогам, млн рублей:</w:t>
            </w:r>
          </w:p>
        </w:tc>
        <w:tc>
          <w:tcPr>
            <w:tcW w:w="873"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56 271</w:t>
            </w:r>
          </w:p>
        </w:tc>
        <w:tc>
          <w:tcPr>
            <w:tcW w:w="103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130 898</w:t>
            </w:r>
          </w:p>
        </w:tc>
        <w:tc>
          <w:tcPr>
            <w:tcW w:w="97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77 218</w:t>
            </w:r>
          </w:p>
        </w:tc>
        <w:tc>
          <w:tcPr>
            <w:tcW w:w="1174"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126 033</w:t>
            </w:r>
          </w:p>
        </w:tc>
        <w:tc>
          <w:tcPr>
            <w:tcW w:w="813"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188 603</w:t>
            </w:r>
          </w:p>
        </w:tc>
        <w:tc>
          <w:tcPr>
            <w:tcW w:w="968"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86 189</w:t>
            </w:r>
          </w:p>
        </w:tc>
        <w:tc>
          <w:tcPr>
            <w:tcW w:w="968"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51 351</w:t>
            </w:r>
          </w:p>
        </w:tc>
        <w:tc>
          <w:tcPr>
            <w:tcW w:w="968" w:type="dxa"/>
            <w:tcBorders>
              <w:top w:val="single" w:sz="4" w:space="0" w:color="000000"/>
              <w:left w:val="single" w:sz="4" w:space="0" w:color="000000"/>
              <w:bottom w:val="single" w:sz="4" w:space="0" w:color="000000"/>
              <w:right w:val="single" w:sz="4" w:space="0" w:color="000000"/>
            </w:tcBorders>
            <w:vAlign w:val="center"/>
          </w:tcPr>
          <w:p w:rsidR="00F37DC9" w:rsidRPr="00577593" w:rsidRDefault="00DA38DD" w:rsidP="002000D4">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10 049</w:t>
            </w:r>
          </w:p>
        </w:tc>
      </w:tr>
      <w:tr w:rsidR="00F37DC9" w:rsidRPr="00577593" w:rsidTr="0053506D">
        <w:trPr>
          <w:trHeight w:val="300"/>
        </w:trPr>
        <w:tc>
          <w:tcPr>
            <w:tcW w:w="153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bottom"/>
          </w:tcPr>
          <w:p w:rsidR="00F37DC9" w:rsidRPr="00577593" w:rsidRDefault="00F37DC9" w:rsidP="002000D4">
            <w:pPr>
              <w:spacing w:after="0" w:line="240" w:lineRule="auto"/>
              <w:ind w:firstLine="200"/>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бизнес и доходы:</w:t>
            </w:r>
          </w:p>
        </w:tc>
        <w:tc>
          <w:tcPr>
            <w:tcW w:w="873"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ind w:firstLine="200"/>
              <w:jc w:val="center"/>
              <w:rPr>
                <w:rFonts w:ascii="Times New Roman" w:eastAsia="Times New Roman" w:hAnsi="Times New Roman"/>
                <w:sz w:val="20"/>
                <w:szCs w:val="20"/>
                <w:lang w:eastAsia="ru-RU"/>
              </w:rPr>
            </w:pPr>
          </w:p>
        </w:tc>
        <w:tc>
          <w:tcPr>
            <w:tcW w:w="103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p>
        </w:tc>
        <w:tc>
          <w:tcPr>
            <w:tcW w:w="97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p>
        </w:tc>
        <w:tc>
          <w:tcPr>
            <w:tcW w:w="1174"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p>
        </w:tc>
        <w:tc>
          <w:tcPr>
            <w:tcW w:w="813"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p>
        </w:tc>
        <w:tc>
          <w:tcPr>
            <w:tcW w:w="968"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p>
        </w:tc>
        <w:tc>
          <w:tcPr>
            <w:tcW w:w="968"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p>
        </w:tc>
        <w:tc>
          <w:tcPr>
            <w:tcW w:w="968" w:type="dxa"/>
            <w:tcBorders>
              <w:top w:val="single" w:sz="4" w:space="0" w:color="000000"/>
              <w:left w:val="single" w:sz="4" w:space="0" w:color="000000"/>
              <w:bottom w:val="single" w:sz="4" w:space="0" w:color="000000"/>
              <w:right w:val="single" w:sz="4" w:space="0" w:color="000000"/>
            </w:tcBorders>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p>
        </w:tc>
      </w:tr>
      <w:tr w:rsidR="00F37DC9" w:rsidRPr="00577593" w:rsidTr="0053506D">
        <w:trPr>
          <w:trHeight w:val="300"/>
        </w:trPr>
        <w:tc>
          <w:tcPr>
            <w:tcW w:w="153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bottom"/>
          </w:tcPr>
          <w:p w:rsidR="00F37DC9" w:rsidRPr="00577593" w:rsidRDefault="00F37DC9" w:rsidP="002000D4">
            <w:pPr>
              <w:spacing w:after="0" w:line="240" w:lineRule="auto"/>
              <w:ind w:firstLine="400"/>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НДФЛ</w:t>
            </w:r>
          </w:p>
        </w:tc>
        <w:tc>
          <w:tcPr>
            <w:tcW w:w="873"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22 589</w:t>
            </w:r>
          </w:p>
        </w:tc>
        <w:tc>
          <w:tcPr>
            <w:tcW w:w="103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36 377</w:t>
            </w:r>
          </w:p>
        </w:tc>
        <w:tc>
          <w:tcPr>
            <w:tcW w:w="97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25 490</w:t>
            </w:r>
          </w:p>
        </w:tc>
        <w:tc>
          <w:tcPr>
            <w:tcW w:w="1174"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52 602</w:t>
            </w:r>
          </w:p>
        </w:tc>
        <w:tc>
          <w:tcPr>
            <w:tcW w:w="813"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82 414</w:t>
            </w:r>
          </w:p>
        </w:tc>
        <w:tc>
          <w:tcPr>
            <w:tcW w:w="968"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38 613</w:t>
            </w:r>
          </w:p>
        </w:tc>
        <w:tc>
          <w:tcPr>
            <w:tcW w:w="968"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25 042</w:t>
            </w:r>
          </w:p>
        </w:tc>
        <w:tc>
          <w:tcPr>
            <w:tcW w:w="968" w:type="dxa"/>
            <w:tcBorders>
              <w:top w:val="single" w:sz="4" w:space="0" w:color="000000"/>
              <w:left w:val="single" w:sz="4" w:space="0" w:color="000000"/>
              <w:bottom w:val="single" w:sz="4" w:space="0" w:color="000000"/>
              <w:right w:val="single" w:sz="4" w:space="0" w:color="000000"/>
            </w:tcBorders>
            <w:vAlign w:val="center"/>
          </w:tcPr>
          <w:p w:rsidR="00F37DC9" w:rsidRPr="00F37DC9" w:rsidRDefault="00F37DC9" w:rsidP="00F37DC9">
            <w:pPr>
              <w:spacing w:after="0" w:line="240" w:lineRule="auto"/>
              <w:jc w:val="center"/>
              <w:rPr>
                <w:rFonts w:ascii="Times New Roman" w:eastAsia="Times New Roman" w:hAnsi="Times New Roman"/>
                <w:color w:val="000000"/>
                <w:sz w:val="20"/>
                <w:szCs w:val="20"/>
                <w:lang w:eastAsia="ru-RU"/>
              </w:rPr>
            </w:pPr>
            <w:r w:rsidRPr="00F37DC9">
              <w:rPr>
                <w:rFonts w:ascii="Times New Roman" w:eastAsia="Times New Roman" w:hAnsi="Times New Roman"/>
                <w:color w:val="000000"/>
                <w:sz w:val="20"/>
                <w:szCs w:val="20"/>
                <w:lang w:eastAsia="ru-RU"/>
              </w:rPr>
              <w:t>4 840</w:t>
            </w:r>
          </w:p>
        </w:tc>
      </w:tr>
      <w:tr w:rsidR="00F37DC9" w:rsidRPr="00577593" w:rsidTr="0053506D">
        <w:trPr>
          <w:trHeight w:val="300"/>
        </w:trPr>
        <w:tc>
          <w:tcPr>
            <w:tcW w:w="153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bottom"/>
          </w:tcPr>
          <w:p w:rsidR="00F37DC9" w:rsidRPr="00577593" w:rsidRDefault="00F37DC9" w:rsidP="002000D4">
            <w:pPr>
              <w:spacing w:after="0" w:line="240" w:lineRule="auto"/>
              <w:ind w:firstLine="400"/>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Налог на прибыль</w:t>
            </w:r>
          </w:p>
        </w:tc>
        <w:tc>
          <w:tcPr>
            <w:tcW w:w="873"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20 300</w:t>
            </w:r>
          </w:p>
        </w:tc>
        <w:tc>
          <w:tcPr>
            <w:tcW w:w="103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74 793</w:t>
            </w:r>
          </w:p>
        </w:tc>
        <w:tc>
          <w:tcPr>
            <w:tcW w:w="97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40 070</w:t>
            </w:r>
          </w:p>
        </w:tc>
        <w:tc>
          <w:tcPr>
            <w:tcW w:w="1174"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51 451</w:t>
            </w:r>
          </w:p>
        </w:tc>
        <w:tc>
          <w:tcPr>
            <w:tcW w:w="813"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67 308</w:t>
            </w:r>
          </w:p>
        </w:tc>
        <w:tc>
          <w:tcPr>
            <w:tcW w:w="968"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29 101</w:t>
            </w:r>
          </w:p>
        </w:tc>
        <w:tc>
          <w:tcPr>
            <w:tcW w:w="968"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15 751</w:t>
            </w:r>
          </w:p>
        </w:tc>
        <w:tc>
          <w:tcPr>
            <w:tcW w:w="968" w:type="dxa"/>
            <w:tcBorders>
              <w:top w:val="single" w:sz="4" w:space="0" w:color="000000"/>
              <w:left w:val="single" w:sz="4" w:space="0" w:color="000000"/>
              <w:bottom w:val="single" w:sz="4" w:space="0" w:color="000000"/>
              <w:right w:val="single" w:sz="4" w:space="0" w:color="000000"/>
            </w:tcBorders>
            <w:vAlign w:val="center"/>
          </w:tcPr>
          <w:p w:rsidR="00F37DC9" w:rsidRPr="00F37DC9" w:rsidRDefault="00F37DC9" w:rsidP="00F37DC9">
            <w:pPr>
              <w:spacing w:after="0" w:line="240" w:lineRule="auto"/>
              <w:jc w:val="center"/>
              <w:rPr>
                <w:rFonts w:ascii="Times New Roman" w:eastAsia="Times New Roman" w:hAnsi="Times New Roman"/>
                <w:color w:val="000000"/>
                <w:sz w:val="20"/>
                <w:szCs w:val="20"/>
                <w:lang w:eastAsia="ru-RU"/>
              </w:rPr>
            </w:pPr>
            <w:r w:rsidRPr="00F37DC9">
              <w:rPr>
                <w:rFonts w:ascii="Times New Roman" w:eastAsia="Times New Roman" w:hAnsi="Times New Roman"/>
                <w:color w:val="000000"/>
                <w:sz w:val="20"/>
                <w:szCs w:val="20"/>
                <w:lang w:eastAsia="ru-RU"/>
              </w:rPr>
              <w:t>3 178</w:t>
            </w:r>
          </w:p>
        </w:tc>
      </w:tr>
      <w:tr w:rsidR="00F37DC9" w:rsidRPr="00577593" w:rsidTr="0053506D">
        <w:trPr>
          <w:trHeight w:val="300"/>
        </w:trPr>
        <w:tc>
          <w:tcPr>
            <w:tcW w:w="153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bottom"/>
          </w:tcPr>
          <w:p w:rsidR="00F37DC9" w:rsidRPr="00577593" w:rsidRDefault="00F37DC9" w:rsidP="002000D4">
            <w:pPr>
              <w:spacing w:after="0" w:line="240" w:lineRule="auto"/>
              <w:ind w:firstLine="400"/>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УСН</w:t>
            </w:r>
          </w:p>
        </w:tc>
        <w:tc>
          <w:tcPr>
            <w:tcW w:w="873"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9 022</w:t>
            </w:r>
          </w:p>
        </w:tc>
        <w:tc>
          <w:tcPr>
            <w:tcW w:w="103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8 816</w:t>
            </w:r>
          </w:p>
        </w:tc>
        <w:tc>
          <w:tcPr>
            <w:tcW w:w="97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6 164</w:t>
            </w:r>
          </w:p>
        </w:tc>
        <w:tc>
          <w:tcPr>
            <w:tcW w:w="1174"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14 658</w:t>
            </w:r>
          </w:p>
        </w:tc>
        <w:tc>
          <w:tcPr>
            <w:tcW w:w="813"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27 232</w:t>
            </w:r>
          </w:p>
        </w:tc>
        <w:tc>
          <w:tcPr>
            <w:tcW w:w="968"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10 070</w:t>
            </w:r>
          </w:p>
        </w:tc>
        <w:tc>
          <w:tcPr>
            <w:tcW w:w="968"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5 664</w:t>
            </w:r>
          </w:p>
        </w:tc>
        <w:tc>
          <w:tcPr>
            <w:tcW w:w="968" w:type="dxa"/>
            <w:tcBorders>
              <w:top w:val="single" w:sz="4" w:space="0" w:color="000000"/>
              <w:left w:val="single" w:sz="4" w:space="0" w:color="000000"/>
              <w:bottom w:val="single" w:sz="4" w:space="0" w:color="000000"/>
              <w:right w:val="single" w:sz="4" w:space="0" w:color="000000"/>
            </w:tcBorders>
            <w:vAlign w:val="center"/>
          </w:tcPr>
          <w:p w:rsidR="00F37DC9" w:rsidRPr="00F37DC9" w:rsidRDefault="00F37DC9" w:rsidP="00F37DC9">
            <w:pPr>
              <w:spacing w:after="0" w:line="240" w:lineRule="auto"/>
              <w:jc w:val="center"/>
              <w:rPr>
                <w:rFonts w:ascii="Times New Roman" w:eastAsia="Times New Roman" w:hAnsi="Times New Roman"/>
                <w:color w:val="000000"/>
                <w:sz w:val="20"/>
                <w:szCs w:val="20"/>
                <w:lang w:eastAsia="ru-RU"/>
              </w:rPr>
            </w:pPr>
            <w:r w:rsidRPr="00F37DC9">
              <w:rPr>
                <w:rFonts w:ascii="Times New Roman" w:eastAsia="Times New Roman" w:hAnsi="Times New Roman"/>
                <w:color w:val="000000"/>
                <w:sz w:val="20"/>
                <w:szCs w:val="20"/>
                <w:lang w:eastAsia="ru-RU"/>
              </w:rPr>
              <w:t>1 377</w:t>
            </w:r>
          </w:p>
        </w:tc>
      </w:tr>
      <w:tr w:rsidR="00F37DC9" w:rsidRPr="00577593" w:rsidTr="0053506D">
        <w:trPr>
          <w:trHeight w:val="300"/>
        </w:trPr>
        <w:tc>
          <w:tcPr>
            <w:tcW w:w="153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bottom"/>
          </w:tcPr>
          <w:p w:rsidR="00F37DC9" w:rsidRPr="00577593" w:rsidRDefault="00F37DC9" w:rsidP="002000D4">
            <w:pPr>
              <w:spacing w:after="0" w:line="240" w:lineRule="auto"/>
              <w:ind w:firstLine="200"/>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имущество:</w:t>
            </w:r>
          </w:p>
        </w:tc>
        <w:tc>
          <w:tcPr>
            <w:tcW w:w="873"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ind w:firstLine="200"/>
              <w:jc w:val="center"/>
              <w:rPr>
                <w:rFonts w:ascii="Times New Roman" w:eastAsia="Times New Roman" w:hAnsi="Times New Roman"/>
                <w:sz w:val="20"/>
                <w:szCs w:val="20"/>
                <w:lang w:eastAsia="ru-RU"/>
              </w:rPr>
            </w:pPr>
          </w:p>
        </w:tc>
        <w:tc>
          <w:tcPr>
            <w:tcW w:w="103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p>
        </w:tc>
        <w:tc>
          <w:tcPr>
            <w:tcW w:w="97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p>
        </w:tc>
        <w:tc>
          <w:tcPr>
            <w:tcW w:w="1174"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p>
        </w:tc>
        <w:tc>
          <w:tcPr>
            <w:tcW w:w="813"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p>
        </w:tc>
        <w:tc>
          <w:tcPr>
            <w:tcW w:w="968"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p>
        </w:tc>
        <w:tc>
          <w:tcPr>
            <w:tcW w:w="968"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p>
        </w:tc>
        <w:tc>
          <w:tcPr>
            <w:tcW w:w="968" w:type="dxa"/>
            <w:tcBorders>
              <w:top w:val="single" w:sz="4" w:space="0" w:color="000000"/>
              <w:left w:val="single" w:sz="4" w:space="0" w:color="000000"/>
              <w:bottom w:val="single" w:sz="4" w:space="0" w:color="000000"/>
              <w:right w:val="single" w:sz="4" w:space="0" w:color="000000"/>
            </w:tcBorders>
            <w:vAlign w:val="center"/>
          </w:tcPr>
          <w:p w:rsidR="00F37DC9" w:rsidRPr="00F37DC9" w:rsidRDefault="00F37DC9" w:rsidP="00F37DC9">
            <w:pPr>
              <w:spacing w:after="0" w:line="240" w:lineRule="auto"/>
              <w:jc w:val="center"/>
              <w:rPr>
                <w:rFonts w:ascii="Times New Roman" w:eastAsia="Times New Roman" w:hAnsi="Times New Roman"/>
                <w:sz w:val="20"/>
                <w:szCs w:val="20"/>
                <w:lang w:eastAsia="ru-RU"/>
              </w:rPr>
            </w:pPr>
          </w:p>
        </w:tc>
      </w:tr>
      <w:tr w:rsidR="00F37DC9" w:rsidRPr="00577593" w:rsidTr="0053506D">
        <w:trPr>
          <w:trHeight w:val="300"/>
        </w:trPr>
        <w:tc>
          <w:tcPr>
            <w:tcW w:w="153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bottom"/>
          </w:tcPr>
          <w:p w:rsidR="00F37DC9" w:rsidRPr="00577593" w:rsidRDefault="00F37DC9" w:rsidP="002000D4">
            <w:pPr>
              <w:spacing w:after="0" w:line="240" w:lineRule="auto"/>
              <w:ind w:firstLine="400"/>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Земельный налог</w:t>
            </w:r>
          </w:p>
        </w:tc>
        <w:tc>
          <w:tcPr>
            <w:tcW w:w="873"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574</w:t>
            </w:r>
          </w:p>
        </w:tc>
        <w:tc>
          <w:tcPr>
            <w:tcW w:w="103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975</w:t>
            </w:r>
          </w:p>
        </w:tc>
        <w:tc>
          <w:tcPr>
            <w:tcW w:w="97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540</w:t>
            </w:r>
          </w:p>
        </w:tc>
        <w:tc>
          <w:tcPr>
            <w:tcW w:w="1174"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770</w:t>
            </w:r>
          </w:p>
        </w:tc>
        <w:tc>
          <w:tcPr>
            <w:tcW w:w="813"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1 760</w:t>
            </w:r>
          </w:p>
        </w:tc>
        <w:tc>
          <w:tcPr>
            <w:tcW w:w="968"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1 179</w:t>
            </w:r>
          </w:p>
        </w:tc>
        <w:tc>
          <w:tcPr>
            <w:tcW w:w="968"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1 051</w:t>
            </w:r>
          </w:p>
        </w:tc>
        <w:tc>
          <w:tcPr>
            <w:tcW w:w="968" w:type="dxa"/>
            <w:tcBorders>
              <w:top w:val="single" w:sz="4" w:space="0" w:color="000000"/>
              <w:left w:val="single" w:sz="4" w:space="0" w:color="000000"/>
              <w:bottom w:val="single" w:sz="4" w:space="0" w:color="000000"/>
              <w:right w:val="single" w:sz="4" w:space="0" w:color="000000"/>
            </w:tcBorders>
            <w:vAlign w:val="center"/>
          </w:tcPr>
          <w:p w:rsidR="00F37DC9" w:rsidRPr="00F37DC9" w:rsidRDefault="00F37DC9" w:rsidP="00F37DC9">
            <w:pPr>
              <w:spacing w:after="0" w:line="240" w:lineRule="auto"/>
              <w:jc w:val="center"/>
              <w:rPr>
                <w:rFonts w:ascii="Times New Roman" w:eastAsia="Times New Roman" w:hAnsi="Times New Roman"/>
                <w:color w:val="000000"/>
                <w:sz w:val="20"/>
                <w:szCs w:val="20"/>
                <w:lang w:eastAsia="ru-RU"/>
              </w:rPr>
            </w:pPr>
            <w:r w:rsidRPr="00F37DC9">
              <w:rPr>
                <w:rFonts w:ascii="Times New Roman" w:eastAsia="Times New Roman" w:hAnsi="Times New Roman"/>
                <w:color w:val="000000"/>
                <w:sz w:val="20"/>
                <w:szCs w:val="20"/>
                <w:lang w:eastAsia="ru-RU"/>
              </w:rPr>
              <w:t>101</w:t>
            </w:r>
          </w:p>
        </w:tc>
      </w:tr>
      <w:tr w:rsidR="00F37DC9" w:rsidRPr="00577593" w:rsidTr="0053506D">
        <w:trPr>
          <w:trHeight w:val="300"/>
        </w:trPr>
        <w:tc>
          <w:tcPr>
            <w:tcW w:w="153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bottom"/>
          </w:tcPr>
          <w:p w:rsidR="00F37DC9" w:rsidRPr="00577593" w:rsidRDefault="00F37DC9" w:rsidP="002000D4">
            <w:pPr>
              <w:spacing w:after="0" w:line="240" w:lineRule="auto"/>
              <w:ind w:firstLine="400"/>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НИФЛ</w:t>
            </w:r>
          </w:p>
        </w:tc>
        <w:tc>
          <w:tcPr>
            <w:tcW w:w="873"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916</w:t>
            </w:r>
          </w:p>
        </w:tc>
        <w:tc>
          <w:tcPr>
            <w:tcW w:w="103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255</w:t>
            </w:r>
          </w:p>
        </w:tc>
        <w:tc>
          <w:tcPr>
            <w:tcW w:w="97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334</w:t>
            </w:r>
          </w:p>
        </w:tc>
        <w:tc>
          <w:tcPr>
            <w:tcW w:w="1174"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553</w:t>
            </w:r>
          </w:p>
        </w:tc>
        <w:tc>
          <w:tcPr>
            <w:tcW w:w="813"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1 309</w:t>
            </w:r>
          </w:p>
        </w:tc>
        <w:tc>
          <w:tcPr>
            <w:tcW w:w="968"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637</w:t>
            </w:r>
          </w:p>
        </w:tc>
        <w:tc>
          <w:tcPr>
            <w:tcW w:w="968"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590</w:t>
            </w:r>
          </w:p>
        </w:tc>
        <w:tc>
          <w:tcPr>
            <w:tcW w:w="968" w:type="dxa"/>
            <w:tcBorders>
              <w:top w:val="single" w:sz="4" w:space="0" w:color="000000"/>
              <w:left w:val="single" w:sz="4" w:space="0" w:color="000000"/>
              <w:bottom w:val="single" w:sz="4" w:space="0" w:color="000000"/>
              <w:right w:val="single" w:sz="4" w:space="0" w:color="000000"/>
            </w:tcBorders>
            <w:vAlign w:val="center"/>
          </w:tcPr>
          <w:p w:rsidR="00F37DC9" w:rsidRPr="00F37DC9" w:rsidRDefault="00F37DC9" w:rsidP="00F37DC9">
            <w:pPr>
              <w:spacing w:after="0" w:line="240" w:lineRule="auto"/>
              <w:jc w:val="center"/>
              <w:rPr>
                <w:rFonts w:ascii="Times New Roman" w:eastAsia="Times New Roman" w:hAnsi="Times New Roman"/>
                <w:color w:val="000000"/>
                <w:sz w:val="20"/>
                <w:szCs w:val="20"/>
                <w:lang w:eastAsia="ru-RU"/>
              </w:rPr>
            </w:pPr>
            <w:r w:rsidRPr="00F37DC9">
              <w:rPr>
                <w:rFonts w:ascii="Times New Roman" w:eastAsia="Times New Roman" w:hAnsi="Times New Roman"/>
                <w:color w:val="000000"/>
                <w:sz w:val="20"/>
                <w:szCs w:val="20"/>
                <w:lang w:eastAsia="ru-RU"/>
              </w:rPr>
              <w:t>175</w:t>
            </w:r>
          </w:p>
        </w:tc>
      </w:tr>
      <w:tr w:rsidR="00F37DC9" w:rsidRPr="00577593" w:rsidTr="0053506D">
        <w:trPr>
          <w:trHeight w:val="300"/>
        </w:trPr>
        <w:tc>
          <w:tcPr>
            <w:tcW w:w="153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bottom"/>
          </w:tcPr>
          <w:p w:rsidR="00F37DC9" w:rsidRPr="00577593" w:rsidRDefault="00F37DC9" w:rsidP="002000D4">
            <w:pPr>
              <w:spacing w:after="0" w:line="240" w:lineRule="auto"/>
              <w:ind w:firstLine="400"/>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НИО</w:t>
            </w:r>
          </w:p>
        </w:tc>
        <w:tc>
          <w:tcPr>
            <w:tcW w:w="873"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2 870</w:t>
            </w:r>
          </w:p>
        </w:tc>
        <w:tc>
          <w:tcPr>
            <w:tcW w:w="103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9 683</w:t>
            </w:r>
          </w:p>
        </w:tc>
        <w:tc>
          <w:tcPr>
            <w:tcW w:w="97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4 620</w:t>
            </w:r>
          </w:p>
        </w:tc>
        <w:tc>
          <w:tcPr>
            <w:tcW w:w="1174"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5 998</w:t>
            </w:r>
          </w:p>
        </w:tc>
        <w:tc>
          <w:tcPr>
            <w:tcW w:w="813"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8 580</w:t>
            </w:r>
          </w:p>
        </w:tc>
        <w:tc>
          <w:tcPr>
            <w:tcW w:w="968"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6 590</w:t>
            </w:r>
          </w:p>
        </w:tc>
        <w:tc>
          <w:tcPr>
            <w:tcW w:w="968"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3 253</w:t>
            </w:r>
          </w:p>
        </w:tc>
        <w:tc>
          <w:tcPr>
            <w:tcW w:w="968" w:type="dxa"/>
            <w:tcBorders>
              <w:top w:val="single" w:sz="4" w:space="0" w:color="000000"/>
              <w:left w:val="single" w:sz="4" w:space="0" w:color="000000"/>
              <w:bottom w:val="single" w:sz="4" w:space="0" w:color="000000"/>
              <w:right w:val="single" w:sz="4" w:space="0" w:color="000000"/>
            </w:tcBorders>
            <w:vAlign w:val="center"/>
          </w:tcPr>
          <w:p w:rsidR="00F37DC9" w:rsidRPr="00F37DC9" w:rsidRDefault="00F37DC9" w:rsidP="00F37DC9">
            <w:pPr>
              <w:spacing w:after="0" w:line="240" w:lineRule="auto"/>
              <w:jc w:val="center"/>
              <w:rPr>
                <w:rFonts w:ascii="Times New Roman" w:eastAsia="Times New Roman" w:hAnsi="Times New Roman"/>
                <w:color w:val="000000"/>
                <w:sz w:val="20"/>
                <w:szCs w:val="20"/>
                <w:lang w:eastAsia="ru-RU"/>
              </w:rPr>
            </w:pPr>
            <w:r w:rsidRPr="00F37DC9">
              <w:rPr>
                <w:rFonts w:ascii="Times New Roman" w:eastAsia="Times New Roman" w:hAnsi="Times New Roman"/>
                <w:color w:val="000000"/>
                <w:sz w:val="20"/>
                <w:szCs w:val="20"/>
                <w:lang w:eastAsia="ru-RU"/>
              </w:rPr>
              <w:t>376</w:t>
            </w:r>
          </w:p>
        </w:tc>
      </w:tr>
      <w:tr w:rsidR="00F37DC9" w:rsidRPr="00577593" w:rsidTr="0053506D">
        <w:trPr>
          <w:trHeight w:val="300"/>
        </w:trPr>
        <w:tc>
          <w:tcPr>
            <w:tcW w:w="153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bottom"/>
          </w:tcPr>
          <w:p w:rsidR="00F37DC9" w:rsidRPr="00577593" w:rsidRDefault="00F37DC9" w:rsidP="002000D4">
            <w:pPr>
              <w:spacing w:after="0" w:line="240" w:lineRule="auto"/>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Сборы по налогам на душу, рублей:</w:t>
            </w:r>
          </w:p>
        </w:tc>
        <w:tc>
          <w:tcPr>
            <w:tcW w:w="873"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81 837</w:t>
            </w:r>
          </w:p>
        </w:tc>
        <w:tc>
          <w:tcPr>
            <w:tcW w:w="103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215 872</w:t>
            </w:r>
          </w:p>
        </w:tc>
        <w:tc>
          <w:tcPr>
            <w:tcW w:w="97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141 788</w:t>
            </w:r>
          </w:p>
        </w:tc>
        <w:tc>
          <w:tcPr>
            <w:tcW w:w="1174"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104 484</w:t>
            </w:r>
          </w:p>
        </w:tc>
        <w:tc>
          <w:tcPr>
            <w:tcW w:w="813"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115 434</w:t>
            </w:r>
          </w:p>
        </w:tc>
        <w:tc>
          <w:tcPr>
            <w:tcW w:w="968"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78 035</w:t>
            </w:r>
          </w:p>
        </w:tc>
        <w:tc>
          <w:tcPr>
            <w:tcW w:w="968"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90 765</w:t>
            </w:r>
          </w:p>
        </w:tc>
        <w:tc>
          <w:tcPr>
            <w:tcW w:w="968" w:type="dxa"/>
            <w:tcBorders>
              <w:top w:val="single" w:sz="4" w:space="0" w:color="000000"/>
              <w:left w:val="single" w:sz="4" w:space="0" w:color="000000"/>
              <w:bottom w:val="single" w:sz="4" w:space="0" w:color="000000"/>
              <w:right w:val="single" w:sz="4" w:space="0" w:color="000000"/>
            </w:tcBorders>
            <w:vAlign w:val="center"/>
          </w:tcPr>
          <w:p w:rsidR="00F37DC9" w:rsidRPr="00F37DC9" w:rsidRDefault="00F37DC9" w:rsidP="00F37DC9">
            <w:pPr>
              <w:spacing w:after="0" w:line="240" w:lineRule="auto"/>
              <w:jc w:val="center"/>
              <w:rPr>
                <w:rFonts w:ascii="Times New Roman" w:eastAsia="Times New Roman" w:hAnsi="Times New Roman"/>
                <w:color w:val="000000"/>
                <w:sz w:val="20"/>
                <w:szCs w:val="20"/>
                <w:lang w:eastAsia="ru-RU"/>
              </w:rPr>
            </w:pPr>
            <w:r w:rsidRPr="00F37DC9">
              <w:rPr>
                <w:rFonts w:ascii="Times New Roman" w:eastAsia="Times New Roman" w:hAnsi="Times New Roman"/>
                <w:color w:val="000000"/>
                <w:sz w:val="20"/>
                <w:szCs w:val="20"/>
                <w:lang w:eastAsia="ru-RU"/>
              </w:rPr>
              <w:t>52 989</w:t>
            </w:r>
          </w:p>
        </w:tc>
      </w:tr>
      <w:tr w:rsidR="00F37DC9" w:rsidRPr="00577593" w:rsidTr="0053506D">
        <w:trPr>
          <w:trHeight w:val="300"/>
        </w:trPr>
        <w:tc>
          <w:tcPr>
            <w:tcW w:w="153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bottom"/>
          </w:tcPr>
          <w:p w:rsidR="00F37DC9" w:rsidRPr="00577593" w:rsidRDefault="00F37DC9" w:rsidP="002000D4">
            <w:pPr>
              <w:spacing w:after="0" w:line="240" w:lineRule="auto"/>
              <w:ind w:firstLine="200"/>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бизнес и доходы:</w:t>
            </w:r>
          </w:p>
        </w:tc>
        <w:tc>
          <w:tcPr>
            <w:tcW w:w="873"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ind w:firstLine="200"/>
              <w:jc w:val="center"/>
              <w:rPr>
                <w:rFonts w:ascii="Times New Roman" w:eastAsia="Times New Roman" w:hAnsi="Times New Roman"/>
                <w:sz w:val="20"/>
                <w:szCs w:val="20"/>
                <w:lang w:eastAsia="ru-RU"/>
              </w:rPr>
            </w:pPr>
          </w:p>
        </w:tc>
        <w:tc>
          <w:tcPr>
            <w:tcW w:w="103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p>
        </w:tc>
        <w:tc>
          <w:tcPr>
            <w:tcW w:w="97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p>
        </w:tc>
        <w:tc>
          <w:tcPr>
            <w:tcW w:w="1174"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p>
        </w:tc>
        <w:tc>
          <w:tcPr>
            <w:tcW w:w="813"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p>
        </w:tc>
        <w:tc>
          <w:tcPr>
            <w:tcW w:w="968"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p>
        </w:tc>
        <w:tc>
          <w:tcPr>
            <w:tcW w:w="968"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p>
        </w:tc>
        <w:tc>
          <w:tcPr>
            <w:tcW w:w="968" w:type="dxa"/>
            <w:tcBorders>
              <w:top w:val="single" w:sz="4" w:space="0" w:color="000000"/>
              <w:left w:val="single" w:sz="4" w:space="0" w:color="000000"/>
              <w:bottom w:val="single" w:sz="4" w:space="0" w:color="000000"/>
              <w:right w:val="single" w:sz="4" w:space="0" w:color="000000"/>
            </w:tcBorders>
            <w:vAlign w:val="center"/>
          </w:tcPr>
          <w:p w:rsidR="00F37DC9" w:rsidRPr="00F37DC9" w:rsidRDefault="00F37DC9" w:rsidP="00F37DC9">
            <w:pPr>
              <w:spacing w:after="0" w:line="240" w:lineRule="auto"/>
              <w:jc w:val="center"/>
              <w:rPr>
                <w:rFonts w:ascii="Times New Roman" w:eastAsia="Times New Roman" w:hAnsi="Times New Roman"/>
                <w:sz w:val="20"/>
                <w:szCs w:val="20"/>
                <w:lang w:eastAsia="ru-RU"/>
              </w:rPr>
            </w:pPr>
          </w:p>
        </w:tc>
      </w:tr>
      <w:tr w:rsidR="00F37DC9" w:rsidRPr="00577593" w:rsidTr="0053506D">
        <w:trPr>
          <w:trHeight w:val="300"/>
        </w:trPr>
        <w:tc>
          <w:tcPr>
            <w:tcW w:w="153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bottom"/>
          </w:tcPr>
          <w:p w:rsidR="00F37DC9" w:rsidRPr="00577593" w:rsidRDefault="00F37DC9" w:rsidP="002000D4">
            <w:pPr>
              <w:spacing w:after="0" w:line="240" w:lineRule="auto"/>
              <w:ind w:firstLine="400"/>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НДФЛ</w:t>
            </w:r>
          </w:p>
        </w:tc>
        <w:tc>
          <w:tcPr>
            <w:tcW w:w="873"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32 852</w:t>
            </w:r>
          </w:p>
        </w:tc>
        <w:tc>
          <w:tcPr>
            <w:tcW w:w="103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59 992</w:t>
            </w:r>
          </w:p>
        </w:tc>
        <w:tc>
          <w:tcPr>
            <w:tcW w:w="97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46 805</w:t>
            </w:r>
          </w:p>
        </w:tc>
        <w:tc>
          <w:tcPr>
            <w:tcW w:w="1174"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43 608</w:t>
            </w:r>
          </w:p>
        </w:tc>
        <w:tc>
          <w:tcPr>
            <w:tcW w:w="813"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50 441</w:t>
            </w:r>
          </w:p>
        </w:tc>
        <w:tc>
          <w:tcPr>
            <w:tcW w:w="968"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34 960</w:t>
            </w:r>
          </w:p>
        </w:tc>
        <w:tc>
          <w:tcPr>
            <w:tcW w:w="968"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44 263</w:t>
            </w:r>
          </w:p>
        </w:tc>
        <w:tc>
          <w:tcPr>
            <w:tcW w:w="968" w:type="dxa"/>
            <w:tcBorders>
              <w:top w:val="single" w:sz="4" w:space="0" w:color="000000"/>
              <w:left w:val="single" w:sz="4" w:space="0" w:color="000000"/>
              <w:bottom w:val="single" w:sz="4" w:space="0" w:color="000000"/>
              <w:right w:val="single" w:sz="4" w:space="0" w:color="000000"/>
            </w:tcBorders>
            <w:vAlign w:val="center"/>
          </w:tcPr>
          <w:p w:rsidR="00F37DC9" w:rsidRPr="00F37DC9" w:rsidRDefault="00F37DC9" w:rsidP="00F37DC9">
            <w:pPr>
              <w:spacing w:after="0" w:line="240" w:lineRule="auto"/>
              <w:jc w:val="center"/>
              <w:rPr>
                <w:rFonts w:ascii="Times New Roman" w:eastAsia="Times New Roman" w:hAnsi="Times New Roman"/>
                <w:color w:val="000000"/>
                <w:sz w:val="20"/>
                <w:szCs w:val="20"/>
                <w:lang w:eastAsia="ru-RU"/>
              </w:rPr>
            </w:pPr>
            <w:r w:rsidRPr="00F37DC9">
              <w:rPr>
                <w:rFonts w:ascii="Times New Roman" w:eastAsia="Times New Roman" w:hAnsi="Times New Roman"/>
                <w:color w:val="000000"/>
                <w:sz w:val="20"/>
                <w:szCs w:val="20"/>
                <w:lang w:eastAsia="ru-RU"/>
              </w:rPr>
              <w:t>25 523</w:t>
            </w:r>
          </w:p>
        </w:tc>
      </w:tr>
      <w:tr w:rsidR="00F37DC9" w:rsidRPr="00577593" w:rsidTr="0053506D">
        <w:trPr>
          <w:trHeight w:val="300"/>
        </w:trPr>
        <w:tc>
          <w:tcPr>
            <w:tcW w:w="153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bottom"/>
          </w:tcPr>
          <w:p w:rsidR="00F37DC9" w:rsidRPr="00577593" w:rsidRDefault="00F37DC9" w:rsidP="002000D4">
            <w:pPr>
              <w:spacing w:after="0" w:line="240" w:lineRule="auto"/>
              <w:ind w:firstLine="400"/>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Налог на прибыль</w:t>
            </w:r>
          </w:p>
        </w:tc>
        <w:tc>
          <w:tcPr>
            <w:tcW w:w="873"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29 523</w:t>
            </w:r>
          </w:p>
        </w:tc>
        <w:tc>
          <w:tcPr>
            <w:tcW w:w="103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123 345</w:t>
            </w:r>
          </w:p>
        </w:tc>
        <w:tc>
          <w:tcPr>
            <w:tcW w:w="97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73 577</w:t>
            </w:r>
          </w:p>
        </w:tc>
        <w:tc>
          <w:tcPr>
            <w:tcW w:w="1174"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42 654</w:t>
            </w:r>
          </w:p>
        </w:tc>
        <w:tc>
          <w:tcPr>
            <w:tcW w:w="813"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41 196</w:t>
            </w:r>
          </w:p>
        </w:tc>
        <w:tc>
          <w:tcPr>
            <w:tcW w:w="968"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26 348</w:t>
            </w:r>
          </w:p>
        </w:tc>
        <w:tc>
          <w:tcPr>
            <w:tcW w:w="968"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27 841</w:t>
            </w:r>
          </w:p>
        </w:tc>
        <w:tc>
          <w:tcPr>
            <w:tcW w:w="968" w:type="dxa"/>
            <w:tcBorders>
              <w:top w:val="single" w:sz="4" w:space="0" w:color="000000"/>
              <w:left w:val="single" w:sz="4" w:space="0" w:color="000000"/>
              <w:bottom w:val="single" w:sz="4" w:space="0" w:color="000000"/>
              <w:right w:val="single" w:sz="4" w:space="0" w:color="000000"/>
            </w:tcBorders>
            <w:vAlign w:val="center"/>
          </w:tcPr>
          <w:p w:rsidR="00F37DC9" w:rsidRPr="00F37DC9" w:rsidRDefault="00F37DC9" w:rsidP="00F37DC9">
            <w:pPr>
              <w:spacing w:after="0" w:line="240" w:lineRule="auto"/>
              <w:jc w:val="center"/>
              <w:rPr>
                <w:rFonts w:ascii="Times New Roman" w:eastAsia="Times New Roman" w:hAnsi="Times New Roman"/>
                <w:color w:val="000000"/>
                <w:sz w:val="20"/>
                <w:szCs w:val="20"/>
                <w:lang w:eastAsia="ru-RU"/>
              </w:rPr>
            </w:pPr>
            <w:r w:rsidRPr="00F37DC9">
              <w:rPr>
                <w:rFonts w:ascii="Times New Roman" w:eastAsia="Times New Roman" w:hAnsi="Times New Roman"/>
                <w:color w:val="000000"/>
                <w:sz w:val="20"/>
                <w:szCs w:val="20"/>
                <w:lang w:eastAsia="ru-RU"/>
              </w:rPr>
              <w:t>16 760</w:t>
            </w:r>
          </w:p>
        </w:tc>
      </w:tr>
      <w:tr w:rsidR="00F37DC9" w:rsidRPr="00577593" w:rsidTr="0053506D">
        <w:trPr>
          <w:trHeight w:val="300"/>
        </w:trPr>
        <w:tc>
          <w:tcPr>
            <w:tcW w:w="153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bottom"/>
          </w:tcPr>
          <w:p w:rsidR="00F37DC9" w:rsidRPr="00577593" w:rsidRDefault="00F37DC9" w:rsidP="002000D4">
            <w:pPr>
              <w:spacing w:after="0" w:line="240" w:lineRule="auto"/>
              <w:ind w:firstLine="400"/>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УСН</w:t>
            </w:r>
          </w:p>
        </w:tc>
        <w:tc>
          <w:tcPr>
            <w:tcW w:w="873"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13 122</w:t>
            </w:r>
          </w:p>
        </w:tc>
        <w:tc>
          <w:tcPr>
            <w:tcW w:w="103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14 539</w:t>
            </w:r>
          </w:p>
        </w:tc>
        <w:tc>
          <w:tcPr>
            <w:tcW w:w="97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11 318</w:t>
            </w:r>
          </w:p>
        </w:tc>
        <w:tc>
          <w:tcPr>
            <w:tcW w:w="1174"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12 152</w:t>
            </w:r>
          </w:p>
        </w:tc>
        <w:tc>
          <w:tcPr>
            <w:tcW w:w="813"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16 667</w:t>
            </w:r>
          </w:p>
        </w:tc>
        <w:tc>
          <w:tcPr>
            <w:tcW w:w="968"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9 117</w:t>
            </w:r>
          </w:p>
        </w:tc>
        <w:tc>
          <w:tcPr>
            <w:tcW w:w="968"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10 011</w:t>
            </w:r>
          </w:p>
        </w:tc>
        <w:tc>
          <w:tcPr>
            <w:tcW w:w="968" w:type="dxa"/>
            <w:tcBorders>
              <w:top w:val="single" w:sz="4" w:space="0" w:color="000000"/>
              <w:left w:val="single" w:sz="4" w:space="0" w:color="000000"/>
              <w:bottom w:val="single" w:sz="4" w:space="0" w:color="000000"/>
              <w:right w:val="single" w:sz="4" w:space="0" w:color="000000"/>
            </w:tcBorders>
            <w:vAlign w:val="center"/>
          </w:tcPr>
          <w:p w:rsidR="00F37DC9" w:rsidRPr="00F37DC9" w:rsidRDefault="00F37DC9" w:rsidP="00F37DC9">
            <w:pPr>
              <w:spacing w:after="0" w:line="240" w:lineRule="auto"/>
              <w:jc w:val="center"/>
              <w:rPr>
                <w:rFonts w:ascii="Times New Roman" w:eastAsia="Times New Roman" w:hAnsi="Times New Roman"/>
                <w:color w:val="000000"/>
                <w:sz w:val="20"/>
                <w:szCs w:val="20"/>
                <w:lang w:eastAsia="ru-RU"/>
              </w:rPr>
            </w:pPr>
            <w:r w:rsidRPr="00F37DC9">
              <w:rPr>
                <w:rFonts w:ascii="Times New Roman" w:eastAsia="Times New Roman" w:hAnsi="Times New Roman"/>
                <w:color w:val="000000"/>
                <w:sz w:val="20"/>
                <w:szCs w:val="20"/>
                <w:lang w:eastAsia="ru-RU"/>
              </w:rPr>
              <w:t>7 262</w:t>
            </w:r>
          </w:p>
        </w:tc>
      </w:tr>
      <w:tr w:rsidR="00F37DC9" w:rsidRPr="00577593" w:rsidTr="0053506D">
        <w:trPr>
          <w:trHeight w:val="300"/>
        </w:trPr>
        <w:tc>
          <w:tcPr>
            <w:tcW w:w="153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bottom"/>
          </w:tcPr>
          <w:p w:rsidR="00F37DC9" w:rsidRPr="00577593" w:rsidRDefault="00F37DC9" w:rsidP="002000D4">
            <w:pPr>
              <w:spacing w:after="0" w:line="240" w:lineRule="auto"/>
              <w:ind w:firstLine="200"/>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имущество:</w:t>
            </w:r>
          </w:p>
        </w:tc>
        <w:tc>
          <w:tcPr>
            <w:tcW w:w="873"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ind w:firstLine="200"/>
              <w:jc w:val="center"/>
              <w:rPr>
                <w:rFonts w:ascii="Times New Roman" w:eastAsia="Times New Roman" w:hAnsi="Times New Roman"/>
                <w:sz w:val="20"/>
                <w:szCs w:val="20"/>
                <w:lang w:eastAsia="ru-RU"/>
              </w:rPr>
            </w:pPr>
          </w:p>
        </w:tc>
        <w:tc>
          <w:tcPr>
            <w:tcW w:w="103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p>
        </w:tc>
        <w:tc>
          <w:tcPr>
            <w:tcW w:w="97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p>
        </w:tc>
        <w:tc>
          <w:tcPr>
            <w:tcW w:w="1174"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p>
        </w:tc>
        <w:tc>
          <w:tcPr>
            <w:tcW w:w="813"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p>
        </w:tc>
        <w:tc>
          <w:tcPr>
            <w:tcW w:w="968"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p>
        </w:tc>
        <w:tc>
          <w:tcPr>
            <w:tcW w:w="968"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p>
        </w:tc>
        <w:tc>
          <w:tcPr>
            <w:tcW w:w="968" w:type="dxa"/>
            <w:tcBorders>
              <w:top w:val="single" w:sz="4" w:space="0" w:color="000000"/>
              <w:left w:val="single" w:sz="4" w:space="0" w:color="000000"/>
              <w:bottom w:val="single" w:sz="4" w:space="0" w:color="000000"/>
              <w:right w:val="single" w:sz="4" w:space="0" w:color="000000"/>
            </w:tcBorders>
            <w:vAlign w:val="center"/>
          </w:tcPr>
          <w:p w:rsidR="00F37DC9" w:rsidRPr="00F37DC9" w:rsidRDefault="00F37DC9" w:rsidP="00F37DC9">
            <w:pPr>
              <w:spacing w:after="0" w:line="240" w:lineRule="auto"/>
              <w:jc w:val="center"/>
              <w:rPr>
                <w:rFonts w:ascii="Times New Roman" w:eastAsia="Times New Roman" w:hAnsi="Times New Roman"/>
                <w:sz w:val="20"/>
                <w:szCs w:val="20"/>
                <w:lang w:eastAsia="ru-RU"/>
              </w:rPr>
            </w:pPr>
          </w:p>
        </w:tc>
      </w:tr>
      <w:tr w:rsidR="00F37DC9" w:rsidRPr="00577593" w:rsidTr="0053506D">
        <w:trPr>
          <w:trHeight w:val="300"/>
        </w:trPr>
        <w:tc>
          <w:tcPr>
            <w:tcW w:w="153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bottom"/>
          </w:tcPr>
          <w:p w:rsidR="00F37DC9" w:rsidRPr="00577593" w:rsidRDefault="00F37DC9" w:rsidP="002000D4">
            <w:pPr>
              <w:spacing w:after="0" w:line="240" w:lineRule="auto"/>
              <w:ind w:firstLine="400"/>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Земельный налог</w:t>
            </w:r>
          </w:p>
        </w:tc>
        <w:tc>
          <w:tcPr>
            <w:tcW w:w="873"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834</w:t>
            </w:r>
          </w:p>
        </w:tc>
        <w:tc>
          <w:tcPr>
            <w:tcW w:w="103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1 608</w:t>
            </w:r>
          </w:p>
        </w:tc>
        <w:tc>
          <w:tcPr>
            <w:tcW w:w="97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991</w:t>
            </w:r>
          </w:p>
        </w:tc>
        <w:tc>
          <w:tcPr>
            <w:tcW w:w="1174"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638</w:t>
            </w:r>
          </w:p>
        </w:tc>
        <w:tc>
          <w:tcPr>
            <w:tcW w:w="813"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1 077</w:t>
            </w:r>
          </w:p>
        </w:tc>
        <w:tc>
          <w:tcPr>
            <w:tcW w:w="968"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1 067</w:t>
            </w:r>
          </w:p>
        </w:tc>
        <w:tc>
          <w:tcPr>
            <w:tcW w:w="968"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1 857</w:t>
            </w:r>
          </w:p>
        </w:tc>
        <w:tc>
          <w:tcPr>
            <w:tcW w:w="968" w:type="dxa"/>
            <w:tcBorders>
              <w:top w:val="single" w:sz="4" w:space="0" w:color="000000"/>
              <w:left w:val="single" w:sz="4" w:space="0" w:color="000000"/>
              <w:bottom w:val="single" w:sz="4" w:space="0" w:color="000000"/>
              <w:right w:val="single" w:sz="4" w:space="0" w:color="000000"/>
            </w:tcBorders>
            <w:vAlign w:val="center"/>
          </w:tcPr>
          <w:p w:rsidR="00F37DC9" w:rsidRPr="00F37DC9" w:rsidRDefault="00F37DC9" w:rsidP="00F37DC9">
            <w:pPr>
              <w:spacing w:after="0" w:line="240" w:lineRule="auto"/>
              <w:jc w:val="center"/>
              <w:rPr>
                <w:rFonts w:ascii="Times New Roman" w:eastAsia="Times New Roman" w:hAnsi="Times New Roman"/>
                <w:color w:val="000000"/>
                <w:sz w:val="20"/>
                <w:szCs w:val="20"/>
                <w:lang w:eastAsia="ru-RU"/>
              </w:rPr>
            </w:pPr>
            <w:r w:rsidRPr="00F37DC9">
              <w:rPr>
                <w:rFonts w:ascii="Times New Roman" w:eastAsia="Times New Roman" w:hAnsi="Times New Roman"/>
                <w:color w:val="000000"/>
                <w:sz w:val="20"/>
                <w:szCs w:val="20"/>
                <w:lang w:eastAsia="ru-RU"/>
              </w:rPr>
              <w:t>535</w:t>
            </w:r>
          </w:p>
        </w:tc>
      </w:tr>
      <w:tr w:rsidR="00F37DC9" w:rsidRPr="00577593" w:rsidTr="0053506D">
        <w:trPr>
          <w:trHeight w:val="300"/>
        </w:trPr>
        <w:tc>
          <w:tcPr>
            <w:tcW w:w="153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bottom"/>
          </w:tcPr>
          <w:p w:rsidR="00F37DC9" w:rsidRPr="00577593" w:rsidRDefault="00F37DC9" w:rsidP="002000D4">
            <w:pPr>
              <w:spacing w:after="0" w:line="240" w:lineRule="auto"/>
              <w:ind w:firstLine="400"/>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НИФЛ</w:t>
            </w:r>
          </w:p>
        </w:tc>
        <w:tc>
          <w:tcPr>
            <w:tcW w:w="873"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1 332</w:t>
            </w:r>
          </w:p>
        </w:tc>
        <w:tc>
          <w:tcPr>
            <w:tcW w:w="103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420</w:t>
            </w:r>
          </w:p>
        </w:tc>
        <w:tc>
          <w:tcPr>
            <w:tcW w:w="97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614</w:t>
            </w:r>
          </w:p>
        </w:tc>
        <w:tc>
          <w:tcPr>
            <w:tcW w:w="1174"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459</w:t>
            </w:r>
          </w:p>
        </w:tc>
        <w:tc>
          <w:tcPr>
            <w:tcW w:w="813"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801</w:t>
            </w:r>
          </w:p>
        </w:tc>
        <w:tc>
          <w:tcPr>
            <w:tcW w:w="968"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577</w:t>
            </w:r>
          </w:p>
        </w:tc>
        <w:tc>
          <w:tcPr>
            <w:tcW w:w="968"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1 043</w:t>
            </w:r>
          </w:p>
        </w:tc>
        <w:tc>
          <w:tcPr>
            <w:tcW w:w="968" w:type="dxa"/>
            <w:tcBorders>
              <w:top w:val="single" w:sz="4" w:space="0" w:color="000000"/>
              <w:left w:val="single" w:sz="4" w:space="0" w:color="000000"/>
              <w:bottom w:val="single" w:sz="4" w:space="0" w:color="000000"/>
              <w:right w:val="single" w:sz="4" w:space="0" w:color="000000"/>
            </w:tcBorders>
            <w:vAlign w:val="center"/>
          </w:tcPr>
          <w:p w:rsidR="00F37DC9" w:rsidRPr="00F37DC9" w:rsidRDefault="00F37DC9" w:rsidP="00F37DC9">
            <w:pPr>
              <w:spacing w:after="0" w:line="240" w:lineRule="auto"/>
              <w:jc w:val="center"/>
              <w:rPr>
                <w:rFonts w:ascii="Times New Roman" w:eastAsia="Times New Roman" w:hAnsi="Times New Roman"/>
                <w:color w:val="000000"/>
                <w:sz w:val="20"/>
                <w:szCs w:val="20"/>
                <w:lang w:eastAsia="ru-RU"/>
              </w:rPr>
            </w:pPr>
            <w:r w:rsidRPr="00F37DC9">
              <w:rPr>
                <w:rFonts w:ascii="Times New Roman" w:eastAsia="Times New Roman" w:hAnsi="Times New Roman"/>
                <w:color w:val="000000"/>
                <w:sz w:val="20"/>
                <w:szCs w:val="20"/>
                <w:lang w:eastAsia="ru-RU"/>
              </w:rPr>
              <w:t>925</w:t>
            </w:r>
          </w:p>
        </w:tc>
      </w:tr>
      <w:tr w:rsidR="00F37DC9" w:rsidRPr="00577593" w:rsidTr="0053506D">
        <w:trPr>
          <w:trHeight w:val="300"/>
        </w:trPr>
        <w:tc>
          <w:tcPr>
            <w:tcW w:w="153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bottom"/>
          </w:tcPr>
          <w:p w:rsidR="00F37DC9" w:rsidRPr="00577593" w:rsidRDefault="00F37DC9" w:rsidP="002000D4">
            <w:pPr>
              <w:spacing w:after="0" w:line="240" w:lineRule="auto"/>
              <w:ind w:firstLine="400"/>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НИО</w:t>
            </w:r>
          </w:p>
        </w:tc>
        <w:tc>
          <w:tcPr>
            <w:tcW w:w="873"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4 174</w:t>
            </w:r>
          </w:p>
        </w:tc>
        <w:tc>
          <w:tcPr>
            <w:tcW w:w="103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15 968</w:t>
            </w:r>
          </w:p>
        </w:tc>
        <w:tc>
          <w:tcPr>
            <w:tcW w:w="972"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8 483</w:t>
            </w:r>
          </w:p>
        </w:tc>
        <w:tc>
          <w:tcPr>
            <w:tcW w:w="1174"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4 973</w:t>
            </w:r>
          </w:p>
        </w:tc>
        <w:tc>
          <w:tcPr>
            <w:tcW w:w="813"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5 251</w:t>
            </w:r>
          </w:p>
        </w:tc>
        <w:tc>
          <w:tcPr>
            <w:tcW w:w="968"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5 966</w:t>
            </w:r>
          </w:p>
        </w:tc>
        <w:tc>
          <w:tcPr>
            <w:tcW w:w="968" w:type="dxa"/>
            <w:tcBorders>
              <w:top w:val="single" w:sz="4" w:space="0" w:color="000000"/>
              <w:left w:val="single" w:sz="4" w:space="0" w:color="000000"/>
              <w:bottom w:val="single" w:sz="4" w:space="0" w:color="000000"/>
              <w:right w:val="single" w:sz="4" w:space="0" w:color="000000"/>
            </w:tcBorders>
            <w:noWrap/>
            <w:tcMar>
              <w:left w:w="17" w:type="dxa"/>
              <w:right w:w="17" w:type="dxa"/>
            </w:tcMar>
            <w:vAlign w:val="center"/>
          </w:tcPr>
          <w:p w:rsidR="00F37DC9" w:rsidRPr="00577593" w:rsidRDefault="00F37DC9" w:rsidP="002000D4">
            <w:pPr>
              <w:spacing w:after="0" w:line="240" w:lineRule="auto"/>
              <w:jc w:val="center"/>
              <w:rPr>
                <w:rFonts w:ascii="Times New Roman" w:eastAsia="Times New Roman" w:hAnsi="Times New Roman"/>
                <w:sz w:val="20"/>
                <w:szCs w:val="20"/>
                <w:lang w:eastAsia="ru-RU"/>
              </w:rPr>
            </w:pPr>
            <w:r w:rsidRPr="00577593">
              <w:rPr>
                <w:rFonts w:ascii="Times New Roman" w:eastAsia="Times New Roman" w:hAnsi="Times New Roman"/>
                <w:sz w:val="20"/>
                <w:szCs w:val="20"/>
                <w:lang w:eastAsia="ru-RU"/>
              </w:rPr>
              <w:t>5 750</w:t>
            </w:r>
          </w:p>
        </w:tc>
        <w:tc>
          <w:tcPr>
            <w:tcW w:w="968" w:type="dxa"/>
            <w:tcBorders>
              <w:top w:val="single" w:sz="4" w:space="0" w:color="000000"/>
              <w:left w:val="single" w:sz="4" w:space="0" w:color="000000"/>
              <w:bottom w:val="single" w:sz="4" w:space="0" w:color="000000"/>
              <w:right w:val="single" w:sz="4" w:space="0" w:color="000000"/>
            </w:tcBorders>
            <w:vAlign w:val="center"/>
          </w:tcPr>
          <w:p w:rsidR="00F37DC9" w:rsidRPr="00F37DC9" w:rsidRDefault="00F37DC9" w:rsidP="00F37DC9">
            <w:pPr>
              <w:spacing w:after="0" w:line="240" w:lineRule="auto"/>
              <w:jc w:val="center"/>
              <w:rPr>
                <w:rFonts w:ascii="Times New Roman" w:eastAsia="Times New Roman" w:hAnsi="Times New Roman"/>
                <w:color w:val="000000"/>
                <w:sz w:val="20"/>
                <w:szCs w:val="20"/>
                <w:lang w:eastAsia="ru-RU"/>
              </w:rPr>
            </w:pPr>
            <w:r w:rsidRPr="00F37DC9">
              <w:rPr>
                <w:rFonts w:ascii="Times New Roman" w:eastAsia="Times New Roman" w:hAnsi="Times New Roman"/>
                <w:color w:val="000000"/>
                <w:sz w:val="20"/>
                <w:szCs w:val="20"/>
                <w:lang w:eastAsia="ru-RU"/>
              </w:rPr>
              <w:t>1 984</w:t>
            </w:r>
          </w:p>
        </w:tc>
      </w:tr>
    </w:tbl>
    <w:p w:rsidR="00FC41F4" w:rsidRPr="00577593" w:rsidRDefault="008925FA" w:rsidP="002000D4">
      <w:pPr>
        <w:pStyle w:val="aff9"/>
        <w:ind w:firstLine="709"/>
        <w:jc w:val="both"/>
        <w:rPr>
          <w:rFonts w:ascii="Times New Roman" w:hAnsi="Times New Roman"/>
          <w:i w:val="0"/>
          <w:color w:val="auto"/>
          <w:sz w:val="28"/>
          <w:szCs w:val="28"/>
        </w:rPr>
      </w:pPr>
      <w:r w:rsidRPr="00577593">
        <w:rPr>
          <w:rFonts w:ascii="Times New Roman" w:hAnsi="Times New Roman"/>
          <w:i w:val="0"/>
          <w:color w:val="auto"/>
          <w:sz w:val="28"/>
          <w:szCs w:val="28"/>
        </w:rPr>
        <w:t xml:space="preserve">Примечание </w:t>
      </w:r>
      <w:r w:rsidR="00D53DC9" w:rsidRPr="00577593">
        <w:rPr>
          <w:rFonts w:ascii="Times New Roman" w:hAnsi="Times New Roman"/>
          <w:i w:val="0"/>
          <w:color w:val="auto"/>
          <w:sz w:val="28"/>
          <w:szCs w:val="28"/>
        </w:rPr>
        <w:t>–</w:t>
      </w:r>
      <w:r w:rsidRPr="00577593">
        <w:rPr>
          <w:rFonts w:ascii="Times New Roman" w:hAnsi="Times New Roman"/>
          <w:i w:val="0"/>
          <w:color w:val="auto"/>
          <w:sz w:val="28"/>
          <w:szCs w:val="28"/>
        </w:rPr>
        <w:t xml:space="preserve"> Источник: ФНС</w:t>
      </w:r>
    </w:p>
    <w:p w:rsidR="00FC41F4" w:rsidRPr="00577593" w:rsidRDefault="008925FA" w:rsidP="002000D4">
      <w:pPr>
        <w:pStyle w:val="2"/>
        <w:spacing w:line="240" w:lineRule="auto"/>
        <w:ind w:firstLine="709"/>
        <w:jc w:val="both"/>
        <w:rPr>
          <w:rFonts w:ascii="Times New Roman" w:eastAsia="Times New Roman" w:hAnsi="Times New Roman"/>
          <w:color w:val="auto"/>
          <w:sz w:val="28"/>
          <w:szCs w:val="28"/>
        </w:rPr>
      </w:pPr>
      <w:bookmarkStart w:id="207" w:name="_Toc1003740526"/>
      <w:bookmarkStart w:id="208" w:name="_Toc212804286"/>
      <w:r w:rsidRPr="00577593">
        <w:rPr>
          <w:rFonts w:ascii="Times New Roman" w:eastAsia="Times New Roman" w:hAnsi="Times New Roman"/>
          <w:color w:val="auto"/>
          <w:sz w:val="28"/>
          <w:szCs w:val="28"/>
        </w:rPr>
        <w:lastRenderedPageBreak/>
        <w:t>4</w:t>
      </w:r>
      <w:r w:rsidR="0053506D">
        <w:rPr>
          <w:rFonts w:ascii="Times New Roman" w:eastAsia="Times New Roman" w:hAnsi="Times New Roman"/>
          <w:color w:val="auto"/>
          <w:sz w:val="28"/>
          <w:szCs w:val="28"/>
        </w:rPr>
        <w:t>.</w:t>
      </w:r>
      <w:r w:rsidRPr="00577593">
        <w:rPr>
          <w:rFonts w:ascii="Times New Roman" w:eastAsia="Times New Roman" w:hAnsi="Times New Roman"/>
          <w:color w:val="auto"/>
          <w:sz w:val="28"/>
          <w:szCs w:val="28"/>
        </w:rPr>
        <w:t xml:space="preserve"> Место и роль города Барнаула в российской и региональной экономике</w:t>
      </w:r>
      <w:bookmarkEnd w:id="207"/>
      <w:bookmarkEnd w:id="208"/>
    </w:p>
    <w:p w:rsidR="00FC41F4" w:rsidRPr="00577593" w:rsidRDefault="0006083A" w:rsidP="002000D4">
      <w:pPr>
        <w:spacing w:after="0" w:line="240" w:lineRule="auto"/>
        <w:ind w:firstLine="709"/>
        <w:jc w:val="both"/>
        <w:rPr>
          <w:rFonts w:ascii="Times New Roman" w:hAnsi="Times New Roman"/>
          <w:sz w:val="28"/>
          <w:szCs w:val="28"/>
        </w:rPr>
      </w:pPr>
      <w:r>
        <w:rPr>
          <w:rFonts w:ascii="Times New Roman" w:hAnsi="Times New Roman"/>
          <w:sz w:val="28"/>
          <w:szCs w:val="28"/>
        </w:rPr>
        <w:t xml:space="preserve">Город </w:t>
      </w:r>
      <w:r w:rsidR="008925FA" w:rsidRPr="00577593">
        <w:rPr>
          <w:rFonts w:ascii="Times New Roman" w:hAnsi="Times New Roman"/>
          <w:sz w:val="28"/>
          <w:szCs w:val="28"/>
        </w:rPr>
        <w:t>Барнаул является административным центром Алтайского края, но город также является промышленным, культурным и научно-образовательным центром региона. Благодаря своему географическому положению Барнаул имеет возможност</w:t>
      </w:r>
      <w:r>
        <w:rPr>
          <w:rFonts w:ascii="Times New Roman" w:hAnsi="Times New Roman"/>
          <w:sz w:val="28"/>
          <w:szCs w:val="28"/>
        </w:rPr>
        <w:t>ь</w:t>
      </w:r>
      <w:r w:rsidR="008925FA" w:rsidRPr="00577593">
        <w:rPr>
          <w:rFonts w:ascii="Times New Roman" w:hAnsi="Times New Roman"/>
          <w:sz w:val="28"/>
          <w:szCs w:val="28"/>
        </w:rPr>
        <w:t xml:space="preserve"> выхода на международные рынки. Территориальная близость создает потенциал сотрудничества со странами СНГ (Киргизией, Таджикистаном, Туркменистаном, Казахстаном, Узбекистаном), Афганистаном, Пакистаном, Ираком, Ираном. Налаживается также и взаимодействие с Китаем.</w:t>
      </w:r>
    </w:p>
    <w:p w:rsidR="00FC41F4" w:rsidRPr="00577593" w:rsidRDefault="00E959B6" w:rsidP="002000D4">
      <w:pPr>
        <w:spacing w:after="0" w:line="240" w:lineRule="auto"/>
        <w:ind w:firstLine="709"/>
        <w:jc w:val="both"/>
        <w:rPr>
          <w:rFonts w:ascii="Times New Roman" w:hAnsi="Times New Roman"/>
          <w:sz w:val="28"/>
          <w:szCs w:val="28"/>
        </w:rPr>
      </w:pPr>
      <w:r>
        <w:rPr>
          <w:rFonts w:ascii="Times New Roman" w:hAnsi="Times New Roman"/>
          <w:sz w:val="28"/>
          <w:szCs w:val="28"/>
        </w:rPr>
        <w:t xml:space="preserve">Город </w:t>
      </w:r>
      <w:r w:rsidR="008925FA" w:rsidRPr="00577593">
        <w:rPr>
          <w:rFonts w:ascii="Times New Roman" w:hAnsi="Times New Roman"/>
          <w:sz w:val="28"/>
          <w:szCs w:val="28"/>
        </w:rPr>
        <w:t>Барнаул так</w:t>
      </w:r>
      <w:r w:rsidR="007D60A9" w:rsidRPr="00577593">
        <w:rPr>
          <w:rFonts w:ascii="Times New Roman" w:hAnsi="Times New Roman"/>
          <w:sz w:val="28"/>
          <w:szCs w:val="28"/>
        </w:rPr>
        <w:t>же является одной из точек входа</w:t>
      </w:r>
      <w:r w:rsidR="008925FA" w:rsidRPr="00577593">
        <w:rPr>
          <w:rFonts w:ascii="Times New Roman" w:hAnsi="Times New Roman"/>
          <w:sz w:val="28"/>
          <w:szCs w:val="28"/>
        </w:rPr>
        <w:t xml:space="preserve"> в Республику Алтай, одно из самых популярных туристических направлений на территории России. Многие туристы предпочитают сначала посетить </w:t>
      </w:r>
      <w:r>
        <w:rPr>
          <w:rFonts w:ascii="Times New Roman" w:hAnsi="Times New Roman"/>
          <w:sz w:val="28"/>
          <w:szCs w:val="28"/>
        </w:rPr>
        <w:t xml:space="preserve">город </w:t>
      </w:r>
      <w:r w:rsidR="008925FA" w:rsidRPr="00577593">
        <w:rPr>
          <w:rFonts w:ascii="Times New Roman" w:hAnsi="Times New Roman"/>
          <w:sz w:val="28"/>
          <w:szCs w:val="28"/>
        </w:rPr>
        <w:t xml:space="preserve">Барнаул и другие достопримечательности на территории Алтайского края перед посещением природных достопримечательностей на территории Республики Алтай, то есть выбирают более сложный маршрут, чем через Горно-Алтайск, столицу Республики Алтай. Важным стратегическим направлением развития </w:t>
      </w:r>
      <w:r>
        <w:rPr>
          <w:rFonts w:ascii="Times New Roman" w:hAnsi="Times New Roman"/>
          <w:sz w:val="28"/>
          <w:szCs w:val="28"/>
        </w:rPr>
        <w:t xml:space="preserve">города </w:t>
      </w:r>
      <w:r w:rsidR="008925FA" w:rsidRPr="00577593">
        <w:rPr>
          <w:rFonts w:ascii="Times New Roman" w:hAnsi="Times New Roman"/>
          <w:sz w:val="28"/>
          <w:szCs w:val="28"/>
        </w:rPr>
        <w:t>является сохранение своего статуса одной из точек входа на Алтай для туристов.</w:t>
      </w:r>
    </w:p>
    <w:p w:rsidR="00FC41F4" w:rsidRPr="00577593" w:rsidRDefault="00E959B6" w:rsidP="002000D4">
      <w:pPr>
        <w:spacing w:after="0" w:line="240" w:lineRule="auto"/>
        <w:ind w:firstLine="709"/>
        <w:jc w:val="both"/>
        <w:rPr>
          <w:rFonts w:ascii="Times New Roman" w:hAnsi="Times New Roman"/>
          <w:sz w:val="28"/>
          <w:szCs w:val="28"/>
        </w:rPr>
      </w:pPr>
      <w:r>
        <w:rPr>
          <w:rFonts w:ascii="Times New Roman" w:hAnsi="Times New Roman"/>
          <w:sz w:val="28"/>
          <w:szCs w:val="28"/>
        </w:rPr>
        <w:t xml:space="preserve">Город </w:t>
      </w:r>
      <w:r w:rsidR="008925FA" w:rsidRPr="00577593">
        <w:rPr>
          <w:rFonts w:ascii="Times New Roman" w:hAnsi="Times New Roman"/>
          <w:sz w:val="28"/>
          <w:szCs w:val="28"/>
        </w:rPr>
        <w:t xml:space="preserve">Барнаул является одним из важнейших экономических центров Западной Сибири, а в силу текущей специфики экономики города </w:t>
      </w:r>
      <w:r w:rsidR="00D53DC9" w:rsidRPr="00577593">
        <w:rPr>
          <w:rFonts w:ascii="Times New Roman" w:hAnsi="Times New Roman"/>
          <w:sz w:val="28"/>
          <w:szCs w:val="28"/>
        </w:rPr>
        <w:t>–</w:t>
      </w:r>
      <w:r w:rsidR="008925FA" w:rsidRPr="00577593">
        <w:rPr>
          <w:rFonts w:ascii="Times New Roman" w:hAnsi="Times New Roman"/>
          <w:sz w:val="28"/>
          <w:szCs w:val="28"/>
        </w:rPr>
        <w:t xml:space="preserve"> промышленным центром Алтайского края. По оценке доля валового городского продукта</w:t>
      </w:r>
      <w:r>
        <w:rPr>
          <w:rFonts w:ascii="Times New Roman" w:hAnsi="Times New Roman"/>
          <w:sz w:val="28"/>
          <w:szCs w:val="28"/>
        </w:rPr>
        <w:t xml:space="preserve"> города </w:t>
      </w:r>
      <w:r w:rsidR="008925FA" w:rsidRPr="00577593">
        <w:rPr>
          <w:rFonts w:ascii="Times New Roman" w:hAnsi="Times New Roman"/>
          <w:sz w:val="28"/>
          <w:szCs w:val="28"/>
        </w:rPr>
        <w:t xml:space="preserve">Барнаула в ВРП Алтайского края составляет порядка 50%. При этом валовая добавленная стоимость по обрабатывающим производствам </w:t>
      </w:r>
      <w:r>
        <w:rPr>
          <w:rFonts w:ascii="Times New Roman" w:hAnsi="Times New Roman"/>
          <w:sz w:val="28"/>
          <w:szCs w:val="28"/>
        </w:rPr>
        <w:t xml:space="preserve">города </w:t>
      </w:r>
      <w:r w:rsidR="008925FA" w:rsidRPr="00577593">
        <w:rPr>
          <w:rFonts w:ascii="Times New Roman" w:hAnsi="Times New Roman"/>
          <w:sz w:val="28"/>
          <w:szCs w:val="28"/>
        </w:rPr>
        <w:t xml:space="preserve">Барнаула составляет порядка 50% от валовой добавленной стоимости по обрабатывающим производствам Алтайского края и примерно 1% от уровня России в целом. Поскольку показатель ВГП для муниципальных образований пока не рассчитывается официальной статистикой и нет единой методики по проведению его оценки, для оценки вклада экономики города в экономику региона и страны в целом используются предоставляемые официальной статистикой показатели. Например, вклад </w:t>
      </w:r>
      <w:r>
        <w:rPr>
          <w:rFonts w:ascii="Times New Roman" w:hAnsi="Times New Roman"/>
          <w:sz w:val="28"/>
          <w:szCs w:val="28"/>
        </w:rPr>
        <w:t xml:space="preserve">города </w:t>
      </w:r>
      <w:r w:rsidR="008925FA" w:rsidRPr="00577593">
        <w:rPr>
          <w:rFonts w:ascii="Times New Roman" w:hAnsi="Times New Roman"/>
          <w:sz w:val="28"/>
          <w:szCs w:val="28"/>
        </w:rPr>
        <w:t>Барнаула в объем отгруженных товаров собственного производства, выполненных работ и услуг по крупным и средним промышленным предприятиям Алтайского края (виды деятельности</w:t>
      </w:r>
      <w:r w:rsidR="00E34E37" w:rsidRPr="00577593">
        <w:rPr>
          <w:rFonts w:ascii="Times New Roman" w:hAnsi="Times New Roman"/>
          <w:sz w:val="28"/>
          <w:szCs w:val="28"/>
        </w:rPr>
        <w:t xml:space="preserve"> B, C, D, E по ОКВЭД 2</w:t>
      </w:r>
      <w:r w:rsidR="0055060D" w:rsidRPr="00577593">
        <w:rPr>
          <w:rFonts w:ascii="Times New Roman" w:hAnsi="Times New Roman"/>
          <w:sz w:val="28"/>
          <w:szCs w:val="28"/>
        </w:rPr>
        <w:t>)</w:t>
      </w:r>
      <w:r w:rsidR="00E34E37" w:rsidRPr="00577593">
        <w:rPr>
          <w:rFonts w:ascii="Times New Roman" w:hAnsi="Times New Roman"/>
          <w:sz w:val="28"/>
          <w:szCs w:val="28"/>
        </w:rPr>
        <w:t xml:space="preserve"> в 2024 году</w:t>
      </w:r>
      <w:r w:rsidR="008925FA" w:rsidRPr="00577593">
        <w:rPr>
          <w:rFonts w:ascii="Times New Roman" w:hAnsi="Times New Roman"/>
          <w:sz w:val="28"/>
          <w:szCs w:val="28"/>
        </w:rPr>
        <w:t xml:space="preserve"> достиг максимального значения показателя в 3</w:t>
      </w:r>
      <w:r w:rsidR="00E34E37" w:rsidRPr="00577593">
        <w:rPr>
          <w:rFonts w:ascii="Times New Roman" w:hAnsi="Times New Roman"/>
          <w:sz w:val="28"/>
          <w:szCs w:val="28"/>
        </w:rPr>
        <w:t>3%, восстановлен уровень 2019 года</w:t>
      </w:r>
      <w:r w:rsidR="008925FA" w:rsidRPr="00577593">
        <w:rPr>
          <w:rFonts w:ascii="Times New Roman" w:hAnsi="Times New Roman"/>
          <w:sz w:val="28"/>
          <w:szCs w:val="28"/>
        </w:rPr>
        <w:t xml:space="preserve"> (</w:t>
      </w:r>
      <w:r w:rsidR="00D558A5">
        <w:fldChar w:fldCharType="begin"/>
      </w:r>
      <w:r w:rsidR="00D558A5">
        <w:instrText xml:space="preserve"> REF _Ref199474353 \h  \* MERGEFORMAT </w:instrText>
      </w:r>
      <w:r w:rsidR="00D558A5">
        <w:fldChar w:fldCharType="separate"/>
      </w:r>
      <w:r w:rsidR="00071499" w:rsidRPr="00577593">
        <w:rPr>
          <w:rFonts w:ascii="Times New Roman" w:hAnsi="Times New Roman"/>
          <w:sz w:val="28"/>
          <w:szCs w:val="28"/>
        </w:rPr>
        <w:t xml:space="preserve">Рисунок </w:t>
      </w:r>
      <w:r w:rsidR="00D558A5">
        <w:fldChar w:fldCharType="end"/>
      </w:r>
      <w:r w:rsidR="008D738C">
        <w:rPr>
          <w:rFonts w:ascii="Times New Roman" w:hAnsi="Times New Roman"/>
          <w:sz w:val="28"/>
          <w:szCs w:val="28"/>
        </w:rPr>
        <w:t>69</w:t>
      </w:r>
      <w:r w:rsidR="008925FA" w:rsidRPr="00577593">
        <w:rPr>
          <w:rFonts w:ascii="Times New Roman" w:hAnsi="Times New Roman"/>
          <w:sz w:val="28"/>
          <w:szCs w:val="28"/>
        </w:rPr>
        <w:t>).</w:t>
      </w:r>
    </w:p>
    <w:p w:rsidR="00FC41F4" w:rsidRPr="00577593" w:rsidRDefault="000D3F7A" w:rsidP="002000D4">
      <w:pPr>
        <w:spacing w:after="0" w:line="240" w:lineRule="auto"/>
        <w:jc w:val="center"/>
        <w:rPr>
          <w:rFonts w:ascii="Times New Roman" w:hAnsi="Times New Roman"/>
        </w:rPr>
      </w:pPr>
      <w:r w:rsidRPr="00577593">
        <w:rPr>
          <w:rFonts w:ascii="Times New Roman" w:hAnsi="Times New Roman"/>
          <w:noProof/>
          <w:lang w:eastAsia="ru-RU"/>
        </w:rPr>
        <w:lastRenderedPageBreak/>
        <w:drawing>
          <wp:inline distT="0" distB="0" distL="0" distR="0">
            <wp:extent cx="5133975" cy="2560320"/>
            <wp:effectExtent l="0" t="0" r="0" b="0"/>
            <wp:docPr id="69" name="Объект 6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r w:rsidR="008925FA" w:rsidRPr="00577593">
        <w:rPr>
          <w:rFonts w:ascii="Times New Roman" w:hAnsi="Times New Roman"/>
        </w:rPr>
        <w:t xml:space="preserve"> </w:t>
      </w:r>
    </w:p>
    <w:p w:rsidR="00FC41F4" w:rsidRDefault="008925FA" w:rsidP="009809F3">
      <w:pPr>
        <w:spacing w:after="0" w:line="240" w:lineRule="auto"/>
        <w:jc w:val="center"/>
        <w:rPr>
          <w:rFonts w:ascii="Times New Roman" w:hAnsi="Times New Roman"/>
          <w:sz w:val="28"/>
          <w:szCs w:val="28"/>
        </w:rPr>
      </w:pPr>
      <w:bookmarkStart w:id="209" w:name="_Ref199474353"/>
      <w:r w:rsidRPr="00577593">
        <w:rPr>
          <w:rFonts w:ascii="Times New Roman" w:hAnsi="Times New Roman"/>
          <w:sz w:val="28"/>
          <w:szCs w:val="28"/>
        </w:rPr>
        <w:t xml:space="preserve">Рисунок </w:t>
      </w:r>
      <w:bookmarkEnd w:id="209"/>
      <w:r w:rsidR="0077447F">
        <w:rPr>
          <w:rFonts w:ascii="Times New Roman" w:hAnsi="Times New Roman"/>
          <w:sz w:val="28"/>
          <w:szCs w:val="28"/>
        </w:rPr>
        <w:t>6</w:t>
      </w:r>
      <w:r w:rsidR="008D738C">
        <w:rPr>
          <w:rFonts w:ascii="Times New Roman" w:hAnsi="Times New Roman"/>
          <w:sz w:val="28"/>
          <w:szCs w:val="28"/>
        </w:rPr>
        <w:t>9</w:t>
      </w:r>
      <w:r w:rsidRPr="00577593">
        <w:rPr>
          <w:rFonts w:ascii="Times New Roman" w:hAnsi="Times New Roman"/>
          <w:sz w:val="28"/>
          <w:szCs w:val="28"/>
        </w:rPr>
        <w:t xml:space="preserve"> </w:t>
      </w:r>
      <w:r w:rsidR="00D53DC9" w:rsidRPr="00577593">
        <w:rPr>
          <w:rFonts w:ascii="Times New Roman" w:hAnsi="Times New Roman"/>
          <w:sz w:val="28"/>
          <w:szCs w:val="28"/>
        </w:rPr>
        <w:t>–</w:t>
      </w:r>
      <w:r w:rsidRPr="00577593">
        <w:rPr>
          <w:rFonts w:ascii="Times New Roman" w:hAnsi="Times New Roman"/>
          <w:sz w:val="28"/>
          <w:szCs w:val="28"/>
        </w:rPr>
        <w:t xml:space="preserve"> Отгружено товаров собственного производства, выполнено работ и услуг по промышленным предприятиям без малых предприятий</w:t>
      </w:r>
      <w:r w:rsidR="009809F3" w:rsidRPr="00577593">
        <w:rPr>
          <w:rFonts w:ascii="Times New Roman" w:hAnsi="Times New Roman"/>
          <w:sz w:val="28"/>
          <w:szCs w:val="28"/>
        </w:rPr>
        <w:t xml:space="preserve"> </w:t>
      </w:r>
      <w:r w:rsidR="009809F3" w:rsidRPr="00577593">
        <w:rPr>
          <w:rFonts w:ascii="Times New Roman" w:hAnsi="Times New Roman"/>
          <w:sz w:val="28"/>
          <w:szCs w:val="28"/>
        </w:rPr>
        <w:br/>
        <w:t xml:space="preserve">за январь-декабрь </w:t>
      </w:r>
      <w:r w:rsidR="00B0733C" w:rsidRPr="00577593">
        <w:rPr>
          <w:rFonts w:ascii="Times New Roman" w:hAnsi="Times New Roman"/>
          <w:sz w:val="28"/>
          <w:szCs w:val="28"/>
        </w:rPr>
        <w:t>2017-2024 годов</w:t>
      </w:r>
      <w:r w:rsidRPr="00577593">
        <w:rPr>
          <w:rFonts w:ascii="Times New Roman" w:hAnsi="Times New Roman"/>
          <w:sz w:val="28"/>
          <w:szCs w:val="28"/>
        </w:rPr>
        <w:t>, млн рублей</w:t>
      </w:r>
    </w:p>
    <w:p w:rsidR="000E0959" w:rsidRDefault="000E0959" w:rsidP="000E0959">
      <w:pPr>
        <w:pStyle w:val="aff9"/>
        <w:spacing w:after="120"/>
        <w:jc w:val="both"/>
        <w:rPr>
          <w:rFonts w:ascii="Times New Roman" w:hAnsi="Times New Roman"/>
          <w:sz w:val="28"/>
          <w:szCs w:val="28"/>
        </w:rPr>
      </w:pPr>
      <w:r w:rsidRPr="00577593">
        <w:rPr>
          <w:rFonts w:ascii="Times New Roman" w:hAnsi="Times New Roman"/>
          <w:i w:val="0"/>
          <w:color w:val="auto"/>
          <w:sz w:val="28"/>
          <w:szCs w:val="28"/>
        </w:rPr>
        <w:t>Примечание – Источник: по данным Росстата</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Важным показателем, по которому </w:t>
      </w:r>
      <w:r w:rsidR="00E959B6">
        <w:rPr>
          <w:rFonts w:ascii="Times New Roman" w:hAnsi="Times New Roman"/>
          <w:sz w:val="28"/>
          <w:szCs w:val="28"/>
        </w:rPr>
        <w:t xml:space="preserve">город </w:t>
      </w:r>
      <w:r w:rsidRPr="00577593">
        <w:rPr>
          <w:rFonts w:ascii="Times New Roman" w:hAnsi="Times New Roman"/>
          <w:sz w:val="28"/>
          <w:szCs w:val="28"/>
        </w:rPr>
        <w:t xml:space="preserve">Барнаул в отдельные годы опережает Алтайский край и Россию в целом, является индекс промышленного производства. На </w:t>
      </w:r>
      <w:r w:rsidR="00E959B6" w:rsidRPr="00E959B6">
        <w:rPr>
          <w:rFonts w:ascii="Times New Roman" w:hAnsi="Times New Roman"/>
          <w:sz w:val="28"/>
          <w:szCs w:val="28"/>
        </w:rPr>
        <w:t xml:space="preserve">Рисунке 70 </w:t>
      </w:r>
      <w:r w:rsidRPr="00577593">
        <w:rPr>
          <w:rFonts w:ascii="Times New Roman" w:hAnsi="Times New Roman"/>
          <w:sz w:val="28"/>
          <w:szCs w:val="28"/>
        </w:rPr>
        <w:t>показана динамика показателя за 2015</w:t>
      </w:r>
      <w:r w:rsidR="00E34E37" w:rsidRPr="00577593">
        <w:rPr>
          <w:rFonts w:ascii="Times New Roman" w:hAnsi="Times New Roman"/>
          <w:sz w:val="28"/>
          <w:szCs w:val="28"/>
        </w:rPr>
        <w:t>-2024 годы. В 2022 году</w:t>
      </w:r>
      <w:r w:rsidRPr="00577593">
        <w:rPr>
          <w:rFonts w:ascii="Times New Roman" w:hAnsi="Times New Roman"/>
          <w:sz w:val="28"/>
          <w:szCs w:val="28"/>
        </w:rPr>
        <w:t xml:space="preserve"> показатель по </w:t>
      </w:r>
      <w:r w:rsidR="00E959B6">
        <w:rPr>
          <w:rFonts w:ascii="Times New Roman" w:hAnsi="Times New Roman"/>
          <w:sz w:val="28"/>
          <w:szCs w:val="28"/>
        </w:rPr>
        <w:t xml:space="preserve">городу </w:t>
      </w:r>
      <w:r w:rsidRPr="00577593">
        <w:rPr>
          <w:rFonts w:ascii="Times New Roman" w:hAnsi="Times New Roman"/>
          <w:sz w:val="28"/>
          <w:szCs w:val="28"/>
        </w:rPr>
        <w:t>опережал Алтайский кр</w:t>
      </w:r>
      <w:r w:rsidR="00E34E37" w:rsidRPr="00577593">
        <w:rPr>
          <w:rFonts w:ascii="Times New Roman" w:hAnsi="Times New Roman"/>
          <w:sz w:val="28"/>
          <w:szCs w:val="28"/>
        </w:rPr>
        <w:t>ай и Россию в целом, а в 2024 году</w:t>
      </w:r>
      <w:r w:rsidR="00E959B6">
        <w:rPr>
          <w:rFonts w:ascii="Times New Roman" w:hAnsi="Times New Roman"/>
          <w:sz w:val="28"/>
          <w:szCs w:val="28"/>
        </w:rPr>
        <w:t xml:space="preserve"> городской </w:t>
      </w:r>
      <w:r w:rsidRPr="00577593">
        <w:rPr>
          <w:rFonts w:ascii="Times New Roman" w:hAnsi="Times New Roman"/>
          <w:sz w:val="28"/>
          <w:szCs w:val="28"/>
        </w:rPr>
        <w:t>уровень по индексу промышленного производства снова опередил среднероссийский.</w:t>
      </w:r>
    </w:p>
    <w:p w:rsidR="00FF4513" w:rsidRPr="00577593" w:rsidRDefault="00FF4513" w:rsidP="00FF4513">
      <w:pPr>
        <w:spacing w:after="0" w:line="240" w:lineRule="auto"/>
        <w:ind w:firstLine="142"/>
        <w:jc w:val="both"/>
        <w:rPr>
          <w:rFonts w:ascii="Times New Roman" w:hAnsi="Times New Roman"/>
          <w:sz w:val="28"/>
          <w:szCs w:val="28"/>
        </w:rPr>
      </w:pPr>
    </w:p>
    <w:p w:rsidR="00FC41F4" w:rsidRPr="00577593" w:rsidRDefault="000D3F7A" w:rsidP="002000D4">
      <w:pPr>
        <w:spacing w:after="0" w:line="240" w:lineRule="auto"/>
        <w:jc w:val="both"/>
        <w:rPr>
          <w:rFonts w:ascii="Times New Roman" w:hAnsi="Times New Roman"/>
          <w:sz w:val="24"/>
          <w:szCs w:val="24"/>
        </w:rPr>
      </w:pPr>
      <w:r w:rsidRPr="00577593">
        <w:rPr>
          <w:rFonts w:ascii="Times New Roman" w:hAnsi="Times New Roman"/>
          <w:noProof/>
          <w:sz w:val="28"/>
          <w:szCs w:val="28"/>
          <w:lang w:eastAsia="ru-RU"/>
        </w:rPr>
        <w:drawing>
          <wp:inline distT="0" distB="0" distL="0" distR="0">
            <wp:extent cx="5852160" cy="2312035"/>
            <wp:effectExtent l="0" t="0" r="0" b="0"/>
            <wp:docPr id="70" name="Объект 7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FC41F4" w:rsidRDefault="008925FA" w:rsidP="000E0959">
      <w:pPr>
        <w:spacing w:after="0" w:line="240" w:lineRule="auto"/>
        <w:jc w:val="center"/>
        <w:rPr>
          <w:rFonts w:ascii="Times New Roman" w:hAnsi="Times New Roman"/>
          <w:sz w:val="28"/>
          <w:szCs w:val="28"/>
        </w:rPr>
      </w:pPr>
      <w:bookmarkStart w:id="210" w:name="_Ref199474819"/>
      <w:r w:rsidRPr="00577593">
        <w:rPr>
          <w:rFonts w:ascii="Times New Roman" w:hAnsi="Times New Roman"/>
          <w:sz w:val="28"/>
          <w:szCs w:val="28"/>
        </w:rPr>
        <w:t xml:space="preserve">Рисунок </w:t>
      </w:r>
      <w:bookmarkEnd w:id="210"/>
      <w:r w:rsidR="008D738C">
        <w:rPr>
          <w:rFonts w:ascii="Times New Roman" w:hAnsi="Times New Roman"/>
          <w:sz w:val="28"/>
          <w:szCs w:val="28"/>
        </w:rPr>
        <w:t>70</w:t>
      </w:r>
      <w:r w:rsidRPr="00577593">
        <w:rPr>
          <w:rFonts w:ascii="Times New Roman" w:hAnsi="Times New Roman"/>
          <w:sz w:val="28"/>
          <w:szCs w:val="28"/>
        </w:rPr>
        <w:t xml:space="preserve"> </w:t>
      </w:r>
      <w:r w:rsidR="00D53DC9" w:rsidRPr="00577593">
        <w:rPr>
          <w:rFonts w:ascii="Times New Roman" w:hAnsi="Times New Roman"/>
          <w:sz w:val="28"/>
          <w:szCs w:val="28"/>
        </w:rPr>
        <w:t>–</w:t>
      </w:r>
      <w:r w:rsidRPr="00577593">
        <w:rPr>
          <w:rFonts w:ascii="Times New Roman" w:hAnsi="Times New Roman"/>
          <w:sz w:val="28"/>
          <w:szCs w:val="28"/>
        </w:rPr>
        <w:t xml:space="preserve"> Индекс промышленн</w:t>
      </w:r>
      <w:r w:rsidR="00E34E37" w:rsidRPr="00577593">
        <w:rPr>
          <w:rFonts w:ascii="Times New Roman" w:hAnsi="Times New Roman"/>
          <w:sz w:val="28"/>
          <w:szCs w:val="28"/>
        </w:rPr>
        <w:t xml:space="preserve">ого производства </w:t>
      </w:r>
      <w:r w:rsidR="00B0733C" w:rsidRPr="00577593">
        <w:rPr>
          <w:rFonts w:ascii="Times New Roman" w:hAnsi="Times New Roman"/>
          <w:sz w:val="28"/>
          <w:szCs w:val="28"/>
        </w:rPr>
        <w:t>за январь-декабрь</w:t>
      </w:r>
      <w:r w:rsidR="00E34E37" w:rsidRPr="00577593">
        <w:rPr>
          <w:rFonts w:ascii="Times New Roman" w:hAnsi="Times New Roman"/>
          <w:sz w:val="28"/>
          <w:szCs w:val="28"/>
        </w:rPr>
        <w:t xml:space="preserve"> </w:t>
      </w:r>
      <w:r w:rsidR="009809F3" w:rsidRPr="00577593">
        <w:rPr>
          <w:rFonts w:ascii="Times New Roman" w:hAnsi="Times New Roman"/>
          <w:sz w:val="28"/>
          <w:szCs w:val="28"/>
        </w:rPr>
        <w:br/>
      </w:r>
      <w:r w:rsidR="00E34E37" w:rsidRPr="00577593">
        <w:rPr>
          <w:rFonts w:ascii="Times New Roman" w:hAnsi="Times New Roman"/>
          <w:sz w:val="28"/>
          <w:szCs w:val="28"/>
        </w:rPr>
        <w:t>2015-2024 год</w:t>
      </w:r>
      <w:r w:rsidR="00B0733C" w:rsidRPr="00577593">
        <w:rPr>
          <w:rFonts w:ascii="Times New Roman" w:hAnsi="Times New Roman"/>
          <w:sz w:val="28"/>
          <w:szCs w:val="28"/>
        </w:rPr>
        <w:t>ов</w:t>
      </w:r>
      <w:r w:rsidRPr="00577593">
        <w:rPr>
          <w:rFonts w:ascii="Times New Roman" w:hAnsi="Times New Roman"/>
          <w:sz w:val="28"/>
          <w:szCs w:val="28"/>
        </w:rPr>
        <w:t xml:space="preserve"> </w:t>
      </w:r>
      <w:r w:rsidR="00B0733C" w:rsidRPr="00577593">
        <w:rPr>
          <w:rFonts w:ascii="Times New Roman" w:hAnsi="Times New Roman"/>
          <w:sz w:val="28"/>
          <w:szCs w:val="28"/>
        </w:rPr>
        <w:t xml:space="preserve">в </w:t>
      </w:r>
      <w:r w:rsidR="0053506D">
        <w:rPr>
          <w:rFonts w:ascii="Times New Roman" w:hAnsi="Times New Roman"/>
          <w:sz w:val="28"/>
          <w:szCs w:val="28"/>
        </w:rPr>
        <w:t>Российской Федерации</w:t>
      </w:r>
      <w:r w:rsidR="00B0733C" w:rsidRPr="00577593">
        <w:rPr>
          <w:rFonts w:ascii="Times New Roman" w:hAnsi="Times New Roman"/>
          <w:sz w:val="28"/>
          <w:szCs w:val="28"/>
        </w:rPr>
        <w:t xml:space="preserve">, </w:t>
      </w:r>
      <w:r w:rsidRPr="00577593">
        <w:rPr>
          <w:rFonts w:ascii="Times New Roman" w:hAnsi="Times New Roman"/>
          <w:sz w:val="28"/>
          <w:szCs w:val="28"/>
        </w:rPr>
        <w:t xml:space="preserve">Алтайском крае и </w:t>
      </w:r>
      <w:r w:rsidR="00E959B6">
        <w:rPr>
          <w:rFonts w:ascii="Times New Roman" w:hAnsi="Times New Roman"/>
          <w:sz w:val="28"/>
          <w:szCs w:val="28"/>
        </w:rPr>
        <w:t xml:space="preserve">городе </w:t>
      </w:r>
      <w:r w:rsidRPr="00577593">
        <w:rPr>
          <w:rFonts w:ascii="Times New Roman" w:hAnsi="Times New Roman"/>
          <w:sz w:val="28"/>
          <w:szCs w:val="28"/>
        </w:rPr>
        <w:t>Барнауле, % к предыдущему году</w:t>
      </w:r>
    </w:p>
    <w:p w:rsidR="000E0959" w:rsidRPr="00577593" w:rsidRDefault="000E0959" w:rsidP="000E0959">
      <w:pPr>
        <w:pStyle w:val="aff9"/>
        <w:spacing w:after="0"/>
        <w:jc w:val="both"/>
        <w:rPr>
          <w:rFonts w:ascii="Times New Roman" w:hAnsi="Times New Roman"/>
          <w:i w:val="0"/>
          <w:color w:val="auto"/>
          <w:sz w:val="28"/>
          <w:szCs w:val="28"/>
        </w:rPr>
      </w:pPr>
      <w:r w:rsidRPr="00577593">
        <w:rPr>
          <w:rFonts w:ascii="Times New Roman" w:hAnsi="Times New Roman"/>
          <w:i w:val="0"/>
          <w:color w:val="auto"/>
          <w:sz w:val="28"/>
          <w:szCs w:val="28"/>
        </w:rPr>
        <w:t xml:space="preserve">Примечание – Источник: по данным Росстата </w:t>
      </w:r>
    </w:p>
    <w:p w:rsidR="000E0959" w:rsidRPr="00577593" w:rsidRDefault="000E0959" w:rsidP="000E0959">
      <w:pPr>
        <w:spacing w:after="0" w:line="240" w:lineRule="auto"/>
        <w:jc w:val="center"/>
        <w:rPr>
          <w:rFonts w:ascii="Times New Roman" w:hAnsi="Times New Roman"/>
          <w:sz w:val="28"/>
          <w:szCs w:val="28"/>
        </w:rPr>
      </w:pPr>
    </w:p>
    <w:p w:rsidR="00FC41F4" w:rsidRPr="00577593" w:rsidRDefault="008925FA" w:rsidP="000E0959">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В сфере высшего образования </w:t>
      </w:r>
      <w:r w:rsidR="00E959B6">
        <w:rPr>
          <w:rFonts w:ascii="Times New Roman" w:hAnsi="Times New Roman"/>
          <w:sz w:val="28"/>
          <w:szCs w:val="28"/>
        </w:rPr>
        <w:t>город</w:t>
      </w:r>
      <w:r w:rsidRPr="00577593">
        <w:rPr>
          <w:rFonts w:ascii="Times New Roman" w:hAnsi="Times New Roman"/>
          <w:sz w:val="28"/>
          <w:szCs w:val="28"/>
        </w:rPr>
        <w:t xml:space="preserve"> является безусловным лидером среди других муниципальных образований Алтайского края. В городе расположены в том числе Алтайский государственный университет, Алтайский государственный технический университет, Алтайский государственный педагогический университет, Алтайский государственный </w:t>
      </w:r>
      <w:r w:rsidRPr="00577593">
        <w:rPr>
          <w:rFonts w:ascii="Times New Roman" w:hAnsi="Times New Roman"/>
          <w:sz w:val="28"/>
          <w:szCs w:val="28"/>
        </w:rPr>
        <w:lastRenderedPageBreak/>
        <w:t>медицинский университет, Алтайский государственный аграрный университет.</w:t>
      </w:r>
    </w:p>
    <w:p w:rsidR="00FC41F4" w:rsidRPr="00577593" w:rsidRDefault="00E959B6" w:rsidP="002000D4">
      <w:pPr>
        <w:spacing w:after="0" w:line="240" w:lineRule="auto"/>
        <w:ind w:firstLine="709"/>
        <w:jc w:val="both"/>
        <w:rPr>
          <w:rFonts w:ascii="Times New Roman" w:eastAsia="Times New Roman" w:hAnsi="Times New Roman"/>
          <w:sz w:val="28"/>
          <w:szCs w:val="28"/>
          <w:lang w:eastAsia="ru-RU" w:bidi="ru-RU"/>
        </w:rPr>
      </w:pPr>
      <w:r>
        <w:rPr>
          <w:rFonts w:ascii="Times New Roman" w:hAnsi="Times New Roman"/>
          <w:sz w:val="28"/>
          <w:szCs w:val="28"/>
        </w:rPr>
        <w:t xml:space="preserve">Город </w:t>
      </w:r>
      <w:r w:rsidR="008925FA" w:rsidRPr="00577593">
        <w:rPr>
          <w:rFonts w:ascii="Times New Roman" w:hAnsi="Times New Roman"/>
          <w:sz w:val="28"/>
          <w:szCs w:val="28"/>
        </w:rPr>
        <w:t>Барнаул является культурным центром прежде всего благодаря наличию большого количества учреждений культуры, посетителями которых являются не только жители города, но и жители всего Алтайского края. В Барнауле расположены 4 государственных театра разных жанров: Алтайский краевой театр драмы им. В.М. Шукшина, Алтайский государственный театр музыкальной комедии, Алтайский государственный театр для детей и молодежи им. В.С. Золотухина, Алтайский государственный театр кукол «Сказка», а также Государственн</w:t>
      </w:r>
      <w:r w:rsidR="003B18C3" w:rsidRPr="00577593">
        <w:rPr>
          <w:rFonts w:ascii="Times New Roman" w:hAnsi="Times New Roman"/>
          <w:sz w:val="28"/>
          <w:szCs w:val="28"/>
        </w:rPr>
        <w:t xml:space="preserve">ая филармония Алтайского края, </w:t>
      </w:r>
      <w:r w:rsidR="008925FA" w:rsidRPr="00577593">
        <w:rPr>
          <w:rFonts w:ascii="Times New Roman" w:hAnsi="Times New Roman"/>
          <w:sz w:val="28"/>
          <w:szCs w:val="28"/>
        </w:rPr>
        <w:t>Алтайский государственный оркестр русских народных инструме</w:t>
      </w:r>
      <w:r w:rsidR="003B18C3" w:rsidRPr="00577593">
        <w:rPr>
          <w:rFonts w:ascii="Times New Roman" w:hAnsi="Times New Roman"/>
          <w:sz w:val="28"/>
          <w:szCs w:val="28"/>
        </w:rPr>
        <w:t xml:space="preserve">нтов «Сибирь» им. Е.И. Борисова, </w:t>
      </w:r>
      <w:r w:rsidR="008925FA" w:rsidRPr="00577593">
        <w:rPr>
          <w:rFonts w:ascii="Times New Roman" w:hAnsi="Times New Roman"/>
          <w:sz w:val="28"/>
          <w:szCs w:val="28"/>
        </w:rPr>
        <w:t xml:space="preserve"> </w:t>
      </w:r>
      <w:r w:rsidR="003B18C3" w:rsidRPr="00577593">
        <w:rPr>
          <w:rFonts w:ascii="Times New Roman" w:eastAsia="Times New Roman" w:hAnsi="Times New Roman"/>
          <w:sz w:val="28"/>
          <w:szCs w:val="28"/>
          <w:lang w:eastAsia="ru-RU" w:bidi="ru-RU"/>
        </w:rPr>
        <w:t xml:space="preserve">Государственный молодежный ансамбль песни и танца «Алтай» им. А.Ф. Березикова». </w:t>
      </w:r>
      <w:r w:rsidR="008925FA" w:rsidRPr="00577593">
        <w:rPr>
          <w:rFonts w:ascii="Times New Roman" w:hAnsi="Times New Roman"/>
          <w:sz w:val="28"/>
          <w:szCs w:val="28"/>
        </w:rPr>
        <w:t>В городе также работают музеи, библиотеки, парки культуры и зоопарк, пл</w:t>
      </w:r>
      <w:r w:rsidR="003B18C3" w:rsidRPr="00577593">
        <w:rPr>
          <w:rFonts w:ascii="Times New Roman" w:hAnsi="Times New Roman"/>
          <w:sz w:val="28"/>
          <w:szCs w:val="28"/>
        </w:rPr>
        <w:t>анетарий, организация высшего о</w:t>
      </w:r>
      <w:r w:rsidR="00B01CE3" w:rsidRPr="00577593">
        <w:rPr>
          <w:rFonts w:ascii="Times New Roman" w:hAnsi="Times New Roman"/>
          <w:sz w:val="28"/>
          <w:szCs w:val="28"/>
        </w:rPr>
        <w:t>бразования – Алтайский государст</w:t>
      </w:r>
      <w:r w:rsidR="003B18C3" w:rsidRPr="00577593">
        <w:rPr>
          <w:rFonts w:ascii="Times New Roman" w:hAnsi="Times New Roman"/>
          <w:sz w:val="28"/>
          <w:szCs w:val="28"/>
        </w:rPr>
        <w:t>венный институт культуры.</w:t>
      </w:r>
      <w:r w:rsidR="008925FA" w:rsidRPr="00577593">
        <w:rPr>
          <w:rFonts w:ascii="Times New Roman" w:hAnsi="Times New Roman"/>
          <w:sz w:val="28"/>
          <w:szCs w:val="28"/>
        </w:rPr>
        <w:t xml:space="preserve"> </w:t>
      </w:r>
      <w:r w:rsidR="00BA2F06" w:rsidRPr="00577593">
        <w:rPr>
          <w:rFonts w:ascii="Times New Roman" w:hAnsi="Times New Roman"/>
          <w:sz w:val="28"/>
          <w:szCs w:val="28"/>
        </w:rPr>
        <w:t>Город является одной из площадок проведения ежегодных крупных</w:t>
      </w:r>
      <w:r w:rsidR="00B01CE3" w:rsidRPr="00577593">
        <w:rPr>
          <w:rFonts w:ascii="Times New Roman" w:hAnsi="Times New Roman"/>
          <w:sz w:val="28"/>
          <w:szCs w:val="28"/>
        </w:rPr>
        <w:t xml:space="preserve"> </w:t>
      </w:r>
      <w:r w:rsidR="00BA2F06" w:rsidRPr="00577593">
        <w:rPr>
          <w:rFonts w:ascii="Times New Roman" w:hAnsi="Times New Roman"/>
          <w:sz w:val="28"/>
          <w:szCs w:val="28"/>
        </w:rPr>
        <w:t>культурно-досуговых массовых мероприятий таких, как</w:t>
      </w:r>
      <w:r w:rsidR="008925FA" w:rsidRPr="00577593">
        <w:rPr>
          <w:rFonts w:ascii="Times New Roman" w:hAnsi="Times New Roman"/>
          <w:sz w:val="28"/>
          <w:szCs w:val="28"/>
        </w:rPr>
        <w:t xml:space="preserve"> Шукшинские чтения, Шукшинский зрительский кинофестиваль. Проводится в окрестностях </w:t>
      </w:r>
      <w:r>
        <w:rPr>
          <w:rFonts w:ascii="Times New Roman" w:hAnsi="Times New Roman"/>
          <w:sz w:val="28"/>
          <w:szCs w:val="28"/>
        </w:rPr>
        <w:t xml:space="preserve">города </w:t>
      </w:r>
      <w:r w:rsidR="008925FA" w:rsidRPr="00577593">
        <w:rPr>
          <w:rFonts w:ascii="Times New Roman" w:hAnsi="Times New Roman"/>
          <w:sz w:val="28"/>
          <w:szCs w:val="28"/>
        </w:rPr>
        <w:t xml:space="preserve">Барнаула также важное ежегодное деловое мероприятие </w:t>
      </w:r>
      <w:r w:rsidR="00D53DC9" w:rsidRPr="00577593">
        <w:rPr>
          <w:rFonts w:ascii="Times New Roman" w:hAnsi="Times New Roman"/>
          <w:sz w:val="28"/>
          <w:szCs w:val="28"/>
        </w:rPr>
        <w:t>–</w:t>
      </w:r>
      <w:r w:rsidR="008925FA" w:rsidRPr="00577593">
        <w:rPr>
          <w:rFonts w:ascii="Times New Roman" w:hAnsi="Times New Roman"/>
          <w:sz w:val="28"/>
          <w:szCs w:val="28"/>
        </w:rPr>
        <w:t xml:space="preserve"> «День Сибирского поля», где в комфортных условиях можно посмотреть одновременно практически все виды и образцы техники, сопутствующие товары, услуги, позволяющие внедрять современные агротехнологии.</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Что касается других показателей, отражающих роль </w:t>
      </w:r>
      <w:r w:rsidR="00E959B6">
        <w:rPr>
          <w:rFonts w:ascii="Times New Roman" w:hAnsi="Times New Roman"/>
          <w:sz w:val="28"/>
          <w:szCs w:val="28"/>
        </w:rPr>
        <w:t xml:space="preserve">города </w:t>
      </w:r>
      <w:r w:rsidR="00E959B6">
        <w:rPr>
          <w:rFonts w:ascii="Times New Roman" w:hAnsi="Times New Roman"/>
          <w:sz w:val="28"/>
          <w:szCs w:val="28"/>
        </w:rPr>
        <w:br/>
      </w:r>
      <w:r w:rsidRPr="00577593">
        <w:rPr>
          <w:rFonts w:ascii="Times New Roman" w:hAnsi="Times New Roman"/>
          <w:sz w:val="28"/>
          <w:szCs w:val="28"/>
        </w:rPr>
        <w:t xml:space="preserve">в экономике региона и страны, то более половины ввода жилья в Алтайском крае приходится на </w:t>
      </w:r>
      <w:r w:rsidR="00E959B6">
        <w:rPr>
          <w:rFonts w:ascii="Times New Roman" w:hAnsi="Times New Roman"/>
          <w:sz w:val="28"/>
          <w:szCs w:val="28"/>
        </w:rPr>
        <w:t xml:space="preserve">город </w:t>
      </w:r>
      <w:r w:rsidRPr="00577593">
        <w:rPr>
          <w:rFonts w:ascii="Times New Roman" w:hAnsi="Times New Roman"/>
          <w:sz w:val="28"/>
          <w:szCs w:val="28"/>
        </w:rPr>
        <w:t>Барнаул (</w:t>
      </w:r>
      <w:r w:rsidR="00D558A5">
        <w:fldChar w:fldCharType="begin"/>
      </w:r>
      <w:r w:rsidR="00D558A5">
        <w:instrText xml:space="preserve"> REF _Ref199474854 \h  \* MERGEFORMAT </w:instrText>
      </w:r>
      <w:r w:rsidR="00D558A5">
        <w:fldChar w:fldCharType="separate"/>
      </w:r>
      <w:r w:rsidR="00071499" w:rsidRPr="00577593">
        <w:rPr>
          <w:rFonts w:ascii="Times New Roman" w:hAnsi="Times New Roman"/>
          <w:sz w:val="28"/>
          <w:szCs w:val="28"/>
        </w:rPr>
        <w:t xml:space="preserve">Рисунок </w:t>
      </w:r>
      <w:r w:rsidR="00D558A5">
        <w:fldChar w:fldCharType="end"/>
      </w:r>
      <w:r w:rsidR="008D738C">
        <w:rPr>
          <w:rFonts w:ascii="Times New Roman" w:hAnsi="Times New Roman"/>
          <w:sz w:val="28"/>
          <w:szCs w:val="28"/>
        </w:rPr>
        <w:t>71</w:t>
      </w:r>
      <w:r w:rsidRPr="00577593">
        <w:rPr>
          <w:rFonts w:ascii="Times New Roman" w:hAnsi="Times New Roman"/>
          <w:sz w:val="28"/>
          <w:szCs w:val="28"/>
        </w:rPr>
        <w:t xml:space="preserve">). Хотя в отдельные годы этот показатель достигал почти 70%. От уровня ввода жилья по России в целом ввод жилья в </w:t>
      </w:r>
      <w:r w:rsidR="00E959B6">
        <w:rPr>
          <w:rFonts w:ascii="Times New Roman" w:hAnsi="Times New Roman"/>
          <w:sz w:val="28"/>
          <w:szCs w:val="28"/>
        </w:rPr>
        <w:t xml:space="preserve">городе </w:t>
      </w:r>
      <w:r w:rsidRPr="00577593">
        <w:rPr>
          <w:rFonts w:ascii="Times New Roman" w:hAnsi="Times New Roman"/>
          <w:sz w:val="28"/>
          <w:szCs w:val="28"/>
        </w:rPr>
        <w:t>Барнауле составляет менее 1%.</w:t>
      </w:r>
    </w:p>
    <w:p w:rsidR="00FB68D6" w:rsidRPr="00577593" w:rsidRDefault="00FB68D6" w:rsidP="002000D4">
      <w:pPr>
        <w:spacing w:after="0" w:line="240" w:lineRule="auto"/>
        <w:ind w:firstLine="709"/>
        <w:jc w:val="both"/>
        <w:rPr>
          <w:rFonts w:ascii="Times New Roman" w:hAnsi="Times New Roman"/>
          <w:sz w:val="28"/>
          <w:szCs w:val="28"/>
        </w:rPr>
      </w:pPr>
    </w:p>
    <w:p w:rsidR="00FC41F4" w:rsidRPr="00577593" w:rsidRDefault="00FC41F4" w:rsidP="00FB68D6">
      <w:pPr>
        <w:spacing w:line="240" w:lineRule="auto"/>
        <w:rPr>
          <w:rFonts w:ascii="Times New Roman" w:hAnsi="Times New Roman"/>
          <w:sz w:val="2"/>
          <w:szCs w:val="2"/>
        </w:rPr>
      </w:pPr>
    </w:p>
    <w:p w:rsidR="00DE3184" w:rsidRPr="00577593" w:rsidRDefault="000D3F7A" w:rsidP="008638A0">
      <w:pPr>
        <w:pStyle w:val="aff9"/>
        <w:spacing w:after="0"/>
        <w:jc w:val="center"/>
        <w:rPr>
          <w:rFonts w:ascii="Times New Roman" w:hAnsi="Times New Roman"/>
          <w:i w:val="0"/>
          <w:color w:val="auto"/>
          <w:sz w:val="28"/>
          <w:szCs w:val="28"/>
        </w:rPr>
      </w:pPr>
      <w:r w:rsidRPr="00577593">
        <w:rPr>
          <w:rFonts w:ascii="Times New Roman" w:hAnsi="Times New Roman"/>
          <w:noProof/>
          <w:color w:val="auto"/>
          <w:lang w:eastAsia="ru-RU"/>
        </w:rPr>
        <w:lastRenderedPageBreak/>
        <w:drawing>
          <wp:inline distT="0" distB="0" distL="0" distR="0">
            <wp:extent cx="5342890" cy="3853815"/>
            <wp:effectExtent l="0" t="0" r="0" b="0"/>
            <wp:docPr id="71" name="Объект 7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FC41F4" w:rsidRDefault="008925FA" w:rsidP="000E0959">
      <w:pPr>
        <w:spacing w:after="0" w:line="240" w:lineRule="auto"/>
        <w:jc w:val="center"/>
        <w:rPr>
          <w:rFonts w:ascii="Times New Roman" w:hAnsi="Times New Roman"/>
          <w:sz w:val="28"/>
          <w:szCs w:val="28"/>
        </w:rPr>
      </w:pPr>
      <w:bookmarkStart w:id="211" w:name="_Ref199474854"/>
      <w:r w:rsidRPr="00577593">
        <w:rPr>
          <w:rFonts w:ascii="Times New Roman" w:hAnsi="Times New Roman"/>
          <w:sz w:val="28"/>
          <w:szCs w:val="28"/>
        </w:rPr>
        <w:t xml:space="preserve">Рисунок </w:t>
      </w:r>
      <w:bookmarkEnd w:id="211"/>
      <w:r w:rsidR="008D738C">
        <w:rPr>
          <w:rFonts w:ascii="Times New Roman" w:hAnsi="Times New Roman"/>
          <w:sz w:val="28"/>
          <w:szCs w:val="28"/>
        </w:rPr>
        <w:t>71</w:t>
      </w:r>
      <w:r w:rsidRPr="00577593">
        <w:rPr>
          <w:rFonts w:ascii="Times New Roman" w:hAnsi="Times New Roman"/>
          <w:sz w:val="28"/>
          <w:szCs w:val="28"/>
        </w:rPr>
        <w:t xml:space="preserve"> </w:t>
      </w:r>
      <w:r w:rsidR="00D53DC9" w:rsidRPr="00577593">
        <w:rPr>
          <w:rFonts w:ascii="Times New Roman" w:hAnsi="Times New Roman"/>
          <w:sz w:val="28"/>
          <w:szCs w:val="28"/>
        </w:rPr>
        <w:t>–</w:t>
      </w:r>
      <w:r w:rsidRPr="00577593">
        <w:rPr>
          <w:rFonts w:ascii="Times New Roman" w:hAnsi="Times New Roman"/>
          <w:sz w:val="28"/>
          <w:szCs w:val="28"/>
        </w:rPr>
        <w:t xml:space="preserve"> Ввод жилья в </w:t>
      </w:r>
      <w:r w:rsidR="00E959B6">
        <w:rPr>
          <w:rFonts w:ascii="Times New Roman" w:hAnsi="Times New Roman"/>
          <w:sz w:val="28"/>
          <w:szCs w:val="28"/>
        </w:rPr>
        <w:t xml:space="preserve">городе </w:t>
      </w:r>
      <w:r w:rsidRPr="00577593">
        <w:rPr>
          <w:rFonts w:ascii="Times New Roman" w:hAnsi="Times New Roman"/>
          <w:sz w:val="28"/>
          <w:szCs w:val="28"/>
        </w:rPr>
        <w:t xml:space="preserve">Барнауле и Алтайском крае, тыс. </w:t>
      </w:r>
      <w:r w:rsidR="000F76C4">
        <w:rPr>
          <w:rFonts w:ascii="Times New Roman" w:hAnsi="Times New Roman"/>
          <w:sz w:val="28"/>
          <w:szCs w:val="28"/>
        </w:rPr>
        <w:t>кв. м</w:t>
      </w:r>
      <w:r w:rsidR="0053506D">
        <w:rPr>
          <w:rFonts w:ascii="Times New Roman" w:hAnsi="Times New Roman"/>
          <w:sz w:val="28"/>
          <w:szCs w:val="28"/>
        </w:rPr>
        <w:t>/</w:t>
      </w:r>
      <w:r w:rsidRPr="00577593">
        <w:rPr>
          <w:rFonts w:ascii="Times New Roman" w:hAnsi="Times New Roman"/>
          <w:sz w:val="28"/>
          <w:szCs w:val="28"/>
        </w:rPr>
        <w:t>%</w:t>
      </w:r>
    </w:p>
    <w:p w:rsidR="000E0959" w:rsidRPr="00577593" w:rsidRDefault="000E0959" w:rsidP="000E0959">
      <w:pPr>
        <w:pStyle w:val="aff9"/>
        <w:spacing w:after="0"/>
        <w:jc w:val="both"/>
        <w:rPr>
          <w:rFonts w:ascii="Times New Roman" w:hAnsi="Times New Roman"/>
          <w:i w:val="0"/>
          <w:color w:val="auto"/>
          <w:sz w:val="28"/>
          <w:szCs w:val="28"/>
        </w:rPr>
      </w:pPr>
      <w:r w:rsidRPr="00577593">
        <w:rPr>
          <w:rFonts w:ascii="Times New Roman" w:hAnsi="Times New Roman"/>
          <w:i w:val="0"/>
          <w:color w:val="auto"/>
          <w:sz w:val="28"/>
          <w:szCs w:val="28"/>
        </w:rPr>
        <w:t>Примечание – Источник: по данным Росстата</w:t>
      </w:r>
    </w:p>
    <w:p w:rsidR="000E0959" w:rsidRPr="00577593" w:rsidRDefault="000E0959" w:rsidP="000E0959">
      <w:pPr>
        <w:spacing w:after="0" w:line="240" w:lineRule="auto"/>
        <w:jc w:val="center"/>
        <w:rPr>
          <w:rFonts w:ascii="Times New Roman" w:hAnsi="Times New Roman"/>
          <w:sz w:val="28"/>
          <w:szCs w:val="28"/>
        </w:rPr>
      </w:pPr>
    </w:p>
    <w:p w:rsidR="00FC41F4" w:rsidRPr="00577593" w:rsidRDefault="008925FA" w:rsidP="000E0959">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При этом по показателю ввода жилья на </w:t>
      </w:r>
      <w:r w:rsidR="00E34E37" w:rsidRPr="00577593">
        <w:rPr>
          <w:rFonts w:ascii="Times New Roman" w:hAnsi="Times New Roman"/>
          <w:sz w:val="28"/>
          <w:szCs w:val="28"/>
        </w:rPr>
        <w:t xml:space="preserve">душу населения </w:t>
      </w:r>
      <w:r w:rsidR="00E959B6">
        <w:rPr>
          <w:rFonts w:ascii="Times New Roman" w:hAnsi="Times New Roman"/>
          <w:sz w:val="28"/>
          <w:szCs w:val="28"/>
        </w:rPr>
        <w:t xml:space="preserve">города </w:t>
      </w:r>
      <w:r w:rsidR="00E34E37" w:rsidRPr="00577593">
        <w:rPr>
          <w:rFonts w:ascii="Times New Roman" w:hAnsi="Times New Roman"/>
          <w:sz w:val="28"/>
          <w:szCs w:val="28"/>
        </w:rPr>
        <w:t>Барнаул в 2024 году</w:t>
      </w:r>
      <w:r w:rsidRPr="00577593">
        <w:rPr>
          <w:rFonts w:ascii="Times New Roman" w:hAnsi="Times New Roman"/>
          <w:sz w:val="28"/>
          <w:szCs w:val="28"/>
        </w:rPr>
        <w:t xml:space="preserve"> с показателем 0,67 </w:t>
      </w:r>
      <w:r w:rsidR="000F76C4">
        <w:rPr>
          <w:rFonts w:ascii="Times New Roman" w:hAnsi="Times New Roman"/>
          <w:sz w:val="28"/>
          <w:szCs w:val="28"/>
        </w:rPr>
        <w:t>кв. м</w:t>
      </w:r>
      <w:r w:rsidRPr="00577593">
        <w:rPr>
          <w:rFonts w:ascii="Times New Roman" w:hAnsi="Times New Roman"/>
          <w:sz w:val="28"/>
          <w:szCs w:val="28"/>
        </w:rPr>
        <w:t xml:space="preserve"> опережал уровень Алтайского края (0,42 </w:t>
      </w:r>
      <w:r w:rsidR="000F76C4">
        <w:rPr>
          <w:rFonts w:ascii="Times New Roman" w:hAnsi="Times New Roman"/>
          <w:sz w:val="28"/>
          <w:szCs w:val="28"/>
        </w:rPr>
        <w:t>кв. м</w:t>
      </w:r>
      <w:r w:rsidRPr="00577593">
        <w:rPr>
          <w:rFonts w:ascii="Times New Roman" w:hAnsi="Times New Roman"/>
          <w:sz w:val="28"/>
          <w:szCs w:val="28"/>
        </w:rPr>
        <w:t xml:space="preserve">), но несколько отставал от уровня России в целом </w:t>
      </w:r>
      <w:r w:rsidR="00D53DC9" w:rsidRPr="00577593">
        <w:rPr>
          <w:rFonts w:ascii="Times New Roman" w:hAnsi="Times New Roman"/>
          <w:sz w:val="28"/>
          <w:szCs w:val="28"/>
        </w:rPr>
        <w:t>–</w:t>
      </w:r>
      <w:r w:rsidRPr="00577593">
        <w:rPr>
          <w:rFonts w:ascii="Times New Roman" w:hAnsi="Times New Roman"/>
          <w:sz w:val="28"/>
          <w:szCs w:val="28"/>
        </w:rPr>
        <w:t xml:space="preserve"> 0,74 </w:t>
      </w:r>
      <w:r w:rsidR="000F76C4">
        <w:rPr>
          <w:rFonts w:ascii="Times New Roman" w:hAnsi="Times New Roman"/>
          <w:sz w:val="28"/>
          <w:szCs w:val="28"/>
        </w:rPr>
        <w:t>кв. м</w:t>
      </w:r>
      <w:r w:rsidRPr="00577593">
        <w:rPr>
          <w:rFonts w:ascii="Times New Roman" w:hAnsi="Times New Roman"/>
          <w:sz w:val="28"/>
          <w:szCs w:val="28"/>
        </w:rPr>
        <w:t xml:space="preserve"> на душу населения. Сопоставление </w:t>
      </w:r>
      <w:r w:rsidR="00E959B6">
        <w:rPr>
          <w:rFonts w:ascii="Times New Roman" w:hAnsi="Times New Roman"/>
          <w:sz w:val="28"/>
          <w:szCs w:val="28"/>
        </w:rPr>
        <w:t xml:space="preserve">города </w:t>
      </w:r>
      <w:r w:rsidRPr="00577593">
        <w:rPr>
          <w:rFonts w:ascii="Times New Roman" w:hAnsi="Times New Roman"/>
          <w:sz w:val="28"/>
          <w:szCs w:val="28"/>
        </w:rPr>
        <w:t>Барнаула с Алтайским краем и Россией по показателям заработной платы, обеспеченности жильем и доступности жилья подробно были проанализированы в разделе 2.3.</w:t>
      </w:r>
    </w:p>
    <w:p w:rsidR="00FC41F4" w:rsidRPr="00577593" w:rsidRDefault="008925FA" w:rsidP="008D738C">
      <w:pPr>
        <w:spacing w:after="0" w:line="240" w:lineRule="auto"/>
        <w:ind w:firstLine="709"/>
        <w:jc w:val="both"/>
        <w:rPr>
          <w:rFonts w:ascii="Times New Roman" w:hAnsi="Times New Roman"/>
          <w:sz w:val="24"/>
          <w:szCs w:val="24"/>
        </w:rPr>
      </w:pPr>
      <w:r w:rsidRPr="00577593">
        <w:rPr>
          <w:rFonts w:ascii="Times New Roman" w:hAnsi="Times New Roman"/>
          <w:sz w:val="28"/>
          <w:szCs w:val="28"/>
        </w:rPr>
        <w:t xml:space="preserve">По вкладу в объем инвестиций в основной капитал на уровне муниципальных образований также оценивается только показатель </w:t>
      </w:r>
      <w:r w:rsidR="004325DD" w:rsidRPr="00577593">
        <w:rPr>
          <w:rFonts w:ascii="Times New Roman" w:hAnsi="Times New Roman"/>
          <w:sz w:val="28"/>
          <w:szCs w:val="28"/>
        </w:rPr>
        <w:br/>
      </w:r>
      <w:r w:rsidRPr="00577593">
        <w:rPr>
          <w:rFonts w:ascii="Times New Roman" w:hAnsi="Times New Roman"/>
          <w:sz w:val="28"/>
          <w:szCs w:val="28"/>
        </w:rPr>
        <w:t>по крупным и средним организациям. Таким образом, в 2024 году</w:t>
      </w:r>
      <w:r w:rsidR="00B0733C" w:rsidRPr="00577593">
        <w:rPr>
          <w:rFonts w:ascii="Times New Roman" w:hAnsi="Times New Roman"/>
          <w:sz w:val="28"/>
          <w:szCs w:val="28"/>
        </w:rPr>
        <w:t xml:space="preserve"> </w:t>
      </w:r>
      <w:r w:rsidR="00E959B6">
        <w:rPr>
          <w:rFonts w:ascii="Times New Roman" w:hAnsi="Times New Roman"/>
          <w:sz w:val="28"/>
          <w:szCs w:val="28"/>
        </w:rPr>
        <w:t xml:space="preserve">город </w:t>
      </w:r>
      <w:r w:rsidRPr="00577593">
        <w:rPr>
          <w:rFonts w:ascii="Times New Roman" w:hAnsi="Times New Roman"/>
          <w:sz w:val="28"/>
          <w:szCs w:val="28"/>
        </w:rPr>
        <w:t>Барнаул формировал 47,6% инвестиций в основной капитал Алтайского края, при этом в отдельные годы показатель достигал 49% (</w:t>
      </w:r>
      <w:r w:rsidR="00D558A5">
        <w:fldChar w:fldCharType="begin"/>
      </w:r>
      <w:r w:rsidR="00D558A5">
        <w:instrText xml:space="preserve"> REF _Ref204904197 \h  \* MERGEFORMAT </w:instrText>
      </w:r>
      <w:r w:rsidR="00D558A5">
        <w:fldChar w:fldCharType="separate"/>
      </w:r>
      <w:r w:rsidR="00071499" w:rsidRPr="00071499">
        <w:rPr>
          <w:rFonts w:ascii="Times New Roman" w:hAnsi="Times New Roman"/>
          <w:sz w:val="28"/>
          <w:szCs w:val="28"/>
        </w:rPr>
        <w:t xml:space="preserve">Рисунок </w:t>
      </w:r>
      <w:r w:rsidR="00D558A5">
        <w:fldChar w:fldCharType="end"/>
      </w:r>
      <w:r w:rsidR="008D738C">
        <w:rPr>
          <w:rFonts w:ascii="Times New Roman" w:hAnsi="Times New Roman"/>
          <w:sz w:val="28"/>
          <w:szCs w:val="28"/>
        </w:rPr>
        <w:t>72</w:t>
      </w:r>
      <w:r w:rsidRPr="00577593">
        <w:rPr>
          <w:rFonts w:ascii="Times New Roman" w:hAnsi="Times New Roman"/>
          <w:sz w:val="28"/>
          <w:szCs w:val="28"/>
        </w:rPr>
        <w:t xml:space="preserve">), что соотносится с оценкой вклада валового городского продукта </w:t>
      </w:r>
      <w:r w:rsidR="00E959B6">
        <w:rPr>
          <w:rFonts w:ascii="Times New Roman" w:hAnsi="Times New Roman"/>
          <w:sz w:val="28"/>
          <w:szCs w:val="28"/>
        </w:rPr>
        <w:t xml:space="preserve">города </w:t>
      </w:r>
      <w:r w:rsidRPr="00577593">
        <w:rPr>
          <w:rFonts w:ascii="Times New Roman" w:hAnsi="Times New Roman"/>
          <w:sz w:val="28"/>
          <w:szCs w:val="28"/>
        </w:rPr>
        <w:t>Барнаула в экономику региона.</w:t>
      </w:r>
    </w:p>
    <w:p w:rsidR="00FC41F4" w:rsidRPr="00577593" w:rsidRDefault="000D3F7A" w:rsidP="008638A0">
      <w:pPr>
        <w:spacing w:after="0" w:line="240" w:lineRule="auto"/>
        <w:ind w:firstLine="142"/>
        <w:jc w:val="center"/>
        <w:rPr>
          <w:rFonts w:ascii="Times New Roman" w:hAnsi="Times New Roman"/>
          <w:sz w:val="2"/>
          <w:szCs w:val="2"/>
        </w:rPr>
      </w:pPr>
      <w:r w:rsidRPr="00577593">
        <w:rPr>
          <w:rFonts w:ascii="Times New Roman" w:hAnsi="Times New Roman"/>
          <w:noProof/>
          <w:lang w:eastAsia="ru-RU"/>
        </w:rPr>
        <w:lastRenderedPageBreak/>
        <w:drawing>
          <wp:inline distT="0" distB="0" distL="0" distR="0">
            <wp:extent cx="5695315" cy="3435350"/>
            <wp:effectExtent l="0" t="0" r="0" b="0"/>
            <wp:docPr id="72" name="Объект 7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FC41F4" w:rsidRPr="00577593" w:rsidRDefault="008925FA" w:rsidP="002000D4">
      <w:pPr>
        <w:spacing w:after="0" w:line="240" w:lineRule="auto"/>
        <w:jc w:val="center"/>
        <w:rPr>
          <w:rFonts w:ascii="Times New Roman" w:hAnsi="Times New Roman"/>
          <w:sz w:val="2"/>
          <w:szCs w:val="2"/>
        </w:rPr>
      </w:pPr>
      <w:r w:rsidRPr="00577593">
        <w:rPr>
          <w:rFonts w:ascii="Times New Roman" w:hAnsi="Times New Roman"/>
        </w:rPr>
        <w:t xml:space="preserve"> </w:t>
      </w:r>
    </w:p>
    <w:p w:rsidR="00C004DC" w:rsidRPr="00C004DC" w:rsidRDefault="008925FA" w:rsidP="00C004DC">
      <w:pPr>
        <w:pStyle w:val="aff9"/>
        <w:spacing w:after="0"/>
        <w:jc w:val="center"/>
        <w:rPr>
          <w:rFonts w:ascii="Times New Roman" w:hAnsi="Times New Roman"/>
          <w:i w:val="0"/>
          <w:iCs w:val="0"/>
          <w:color w:val="auto"/>
          <w:sz w:val="28"/>
          <w:szCs w:val="28"/>
        </w:rPr>
      </w:pPr>
      <w:bookmarkStart w:id="212" w:name="_Ref204904197"/>
      <w:r w:rsidRPr="00C004DC">
        <w:rPr>
          <w:rFonts w:ascii="Times New Roman" w:hAnsi="Times New Roman"/>
          <w:i w:val="0"/>
          <w:iCs w:val="0"/>
          <w:color w:val="auto"/>
          <w:sz w:val="28"/>
          <w:szCs w:val="28"/>
        </w:rPr>
        <w:t xml:space="preserve">Рисунок </w:t>
      </w:r>
      <w:bookmarkEnd w:id="212"/>
      <w:r w:rsidR="008D738C" w:rsidRPr="00C004DC">
        <w:rPr>
          <w:rFonts w:ascii="Times New Roman" w:hAnsi="Times New Roman"/>
          <w:i w:val="0"/>
          <w:iCs w:val="0"/>
          <w:color w:val="auto"/>
          <w:sz w:val="28"/>
          <w:szCs w:val="28"/>
        </w:rPr>
        <w:t>72</w:t>
      </w:r>
      <w:r w:rsidRPr="00C004DC">
        <w:rPr>
          <w:rFonts w:ascii="Times New Roman" w:hAnsi="Times New Roman"/>
          <w:i w:val="0"/>
          <w:iCs w:val="0"/>
          <w:color w:val="auto"/>
          <w:sz w:val="28"/>
          <w:szCs w:val="28"/>
        </w:rPr>
        <w:t xml:space="preserve"> </w:t>
      </w:r>
      <w:r w:rsidR="00D53DC9" w:rsidRPr="00C004DC">
        <w:rPr>
          <w:rFonts w:ascii="Times New Roman" w:hAnsi="Times New Roman"/>
          <w:i w:val="0"/>
          <w:iCs w:val="0"/>
          <w:color w:val="auto"/>
          <w:sz w:val="28"/>
          <w:szCs w:val="28"/>
        </w:rPr>
        <w:t>–</w:t>
      </w:r>
      <w:r w:rsidRPr="00C004DC">
        <w:rPr>
          <w:rFonts w:ascii="Times New Roman" w:hAnsi="Times New Roman"/>
          <w:i w:val="0"/>
          <w:iCs w:val="0"/>
          <w:color w:val="auto"/>
          <w:sz w:val="28"/>
          <w:szCs w:val="28"/>
        </w:rPr>
        <w:t xml:space="preserve"> Инвестиции в основной капитал по крупным и средним предприятиям в </w:t>
      </w:r>
      <w:r w:rsidR="00E959B6">
        <w:rPr>
          <w:rFonts w:ascii="Times New Roman" w:hAnsi="Times New Roman"/>
          <w:i w:val="0"/>
          <w:iCs w:val="0"/>
          <w:color w:val="auto"/>
          <w:sz w:val="28"/>
          <w:szCs w:val="28"/>
        </w:rPr>
        <w:t xml:space="preserve">городе </w:t>
      </w:r>
      <w:r w:rsidRPr="00C004DC">
        <w:rPr>
          <w:rFonts w:ascii="Times New Roman" w:hAnsi="Times New Roman"/>
          <w:i w:val="0"/>
          <w:iCs w:val="0"/>
          <w:color w:val="auto"/>
          <w:sz w:val="28"/>
          <w:szCs w:val="28"/>
        </w:rPr>
        <w:t>Барнауле и Алтайском крае</w:t>
      </w:r>
      <w:r w:rsidR="00B0733C" w:rsidRPr="00C004DC">
        <w:rPr>
          <w:rFonts w:ascii="Times New Roman" w:hAnsi="Times New Roman"/>
          <w:i w:val="0"/>
          <w:iCs w:val="0"/>
          <w:color w:val="auto"/>
          <w:sz w:val="28"/>
          <w:szCs w:val="28"/>
        </w:rPr>
        <w:t xml:space="preserve"> за январь-декабрь 2017-2024 годов</w:t>
      </w:r>
      <w:r w:rsidRPr="00C004DC">
        <w:rPr>
          <w:rFonts w:ascii="Times New Roman" w:hAnsi="Times New Roman"/>
          <w:i w:val="0"/>
          <w:iCs w:val="0"/>
          <w:color w:val="auto"/>
          <w:sz w:val="28"/>
          <w:szCs w:val="28"/>
        </w:rPr>
        <w:t>,</w:t>
      </w:r>
      <w:r w:rsidR="008D738C" w:rsidRPr="00C004DC">
        <w:rPr>
          <w:rFonts w:ascii="Times New Roman" w:hAnsi="Times New Roman"/>
          <w:i w:val="0"/>
          <w:iCs w:val="0"/>
          <w:color w:val="auto"/>
          <w:sz w:val="28"/>
          <w:szCs w:val="28"/>
        </w:rPr>
        <w:t xml:space="preserve"> </w:t>
      </w:r>
      <w:r w:rsidR="0053506D" w:rsidRPr="00C004DC">
        <w:rPr>
          <w:rFonts w:ascii="Times New Roman" w:hAnsi="Times New Roman"/>
          <w:i w:val="0"/>
          <w:iCs w:val="0"/>
          <w:color w:val="auto"/>
          <w:sz w:val="28"/>
          <w:szCs w:val="28"/>
        </w:rPr>
        <w:t>млн рублей/</w:t>
      </w:r>
      <w:r w:rsidRPr="00C004DC">
        <w:rPr>
          <w:rFonts w:ascii="Times New Roman" w:hAnsi="Times New Roman"/>
          <w:i w:val="0"/>
          <w:iCs w:val="0"/>
          <w:color w:val="auto"/>
          <w:sz w:val="28"/>
          <w:szCs w:val="28"/>
        </w:rPr>
        <w:t>%</w:t>
      </w:r>
      <w:r w:rsidR="00C004DC" w:rsidRPr="00C004DC">
        <w:rPr>
          <w:rFonts w:ascii="Times New Roman" w:hAnsi="Times New Roman"/>
          <w:i w:val="0"/>
          <w:iCs w:val="0"/>
          <w:color w:val="auto"/>
          <w:sz w:val="28"/>
          <w:szCs w:val="28"/>
        </w:rPr>
        <w:t xml:space="preserve"> </w:t>
      </w:r>
    </w:p>
    <w:p w:rsidR="00C004DC" w:rsidRPr="00C004DC" w:rsidRDefault="00C004DC" w:rsidP="00C004DC">
      <w:pPr>
        <w:pStyle w:val="aff9"/>
        <w:spacing w:after="0"/>
        <w:jc w:val="both"/>
        <w:rPr>
          <w:rFonts w:ascii="Times New Roman" w:hAnsi="Times New Roman"/>
          <w:i w:val="0"/>
          <w:iCs w:val="0"/>
          <w:color w:val="auto"/>
          <w:sz w:val="28"/>
          <w:szCs w:val="28"/>
        </w:rPr>
      </w:pPr>
      <w:r>
        <w:rPr>
          <w:rFonts w:ascii="Times New Roman" w:hAnsi="Times New Roman"/>
          <w:i w:val="0"/>
          <w:iCs w:val="0"/>
          <w:color w:val="auto"/>
          <w:sz w:val="28"/>
          <w:szCs w:val="28"/>
        </w:rPr>
        <w:t>П</w:t>
      </w:r>
      <w:r w:rsidRPr="00C004DC">
        <w:rPr>
          <w:rFonts w:ascii="Times New Roman" w:hAnsi="Times New Roman"/>
          <w:i w:val="0"/>
          <w:iCs w:val="0"/>
          <w:color w:val="auto"/>
          <w:sz w:val="28"/>
          <w:szCs w:val="28"/>
        </w:rPr>
        <w:t>римечание – Источник: по данным Росстата</w:t>
      </w:r>
    </w:p>
    <w:p w:rsidR="00FC41F4" w:rsidRPr="00577593" w:rsidRDefault="00FC41F4" w:rsidP="002000D4">
      <w:pPr>
        <w:spacing w:line="240" w:lineRule="auto"/>
        <w:jc w:val="center"/>
        <w:rPr>
          <w:rFonts w:ascii="Times New Roman" w:hAnsi="Times New Roman"/>
          <w:sz w:val="28"/>
          <w:szCs w:val="28"/>
        </w:rPr>
      </w:pP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Таким образом, </w:t>
      </w:r>
      <w:r w:rsidR="00E959B6">
        <w:rPr>
          <w:rFonts w:ascii="Times New Roman" w:hAnsi="Times New Roman"/>
          <w:sz w:val="28"/>
          <w:szCs w:val="28"/>
        </w:rPr>
        <w:t xml:space="preserve">город </w:t>
      </w:r>
      <w:r w:rsidRPr="00577593">
        <w:rPr>
          <w:rFonts w:ascii="Times New Roman" w:hAnsi="Times New Roman"/>
          <w:sz w:val="28"/>
          <w:szCs w:val="28"/>
        </w:rPr>
        <w:t xml:space="preserve">Барнаул безусловно играет значительную роль в экономике Алтайского края, показывая вклад более 50% по различным показателям или опережая среднерегиональные значения показателей. </w:t>
      </w:r>
      <w:r w:rsidR="008638A0" w:rsidRPr="00577593">
        <w:rPr>
          <w:rFonts w:ascii="Times New Roman" w:hAnsi="Times New Roman"/>
          <w:sz w:val="28"/>
          <w:szCs w:val="28"/>
        </w:rPr>
        <w:br/>
      </w:r>
      <w:r w:rsidRPr="00577593">
        <w:rPr>
          <w:rFonts w:ascii="Times New Roman" w:hAnsi="Times New Roman"/>
          <w:sz w:val="28"/>
          <w:szCs w:val="28"/>
        </w:rPr>
        <w:t>По некоторым показателям наблюдается опережение уровня России в целом.</w:t>
      </w:r>
    </w:p>
    <w:p w:rsidR="00FC41F4" w:rsidRPr="00577593" w:rsidRDefault="008925FA" w:rsidP="002000D4">
      <w:pPr>
        <w:spacing w:line="240" w:lineRule="auto"/>
        <w:rPr>
          <w:rFonts w:ascii="Times New Roman" w:eastAsia="Times New Roman" w:hAnsi="Times New Roman"/>
          <w:b/>
          <w:sz w:val="28"/>
          <w:szCs w:val="28"/>
        </w:rPr>
      </w:pPr>
      <w:r w:rsidRPr="00577593">
        <w:rPr>
          <w:rFonts w:ascii="Times New Roman" w:eastAsia="Times New Roman" w:hAnsi="Times New Roman"/>
          <w:sz w:val="28"/>
          <w:szCs w:val="28"/>
        </w:rPr>
        <w:br w:type="page" w:clear="all"/>
      </w:r>
      <w:bookmarkStart w:id="213" w:name="_Toc713981756"/>
      <w:bookmarkStart w:id="214" w:name="_Toc212804287"/>
      <w:r w:rsidRPr="00577593">
        <w:rPr>
          <w:rFonts w:ascii="Times New Roman" w:eastAsia="Times New Roman" w:hAnsi="Times New Roman"/>
          <w:b/>
          <w:sz w:val="28"/>
          <w:szCs w:val="28"/>
        </w:rPr>
        <w:lastRenderedPageBreak/>
        <w:t>5</w:t>
      </w:r>
      <w:r w:rsidR="0053506D">
        <w:rPr>
          <w:rFonts w:ascii="Times New Roman" w:eastAsia="Times New Roman" w:hAnsi="Times New Roman"/>
          <w:b/>
          <w:sz w:val="28"/>
          <w:szCs w:val="28"/>
        </w:rPr>
        <w:t>.</w:t>
      </w:r>
      <w:r w:rsidRPr="00577593">
        <w:rPr>
          <w:rFonts w:ascii="Times New Roman" w:eastAsia="Times New Roman" w:hAnsi="Times New Roman"/>
          <w:b/>
          <w:sz w:val="28"/>
          <w:szCs w:val="28"/>
        </w:rPr>
        <w:t xml:space="preserve"> SWOT – анализ</w:t>
      </w:r>
      <w:bookmarkEnd w:id="213"/>
      <w:bookmarkEnd w:id="214"/>
    </w:p>
    <w:p w:rsidR="007205DC" w:rsidRPr="00577593" w:rsidRDefault="007205DC" w:rsidP="002000D4">
      <w:pPr>
        <w:spacing w:line="240" w:lineRule="auto"/>
        <w:jc w:val="both"/>
        <w:rPr>
          <w:rFonts w:ascii="Times New Roman" w:eastAsia="Times New Roman" w:hAnsi="Times New Roman"/>
          <w:b/>
          <w:sz w:val="28"/>
          <w:szCs w:val="28"/>
        </w:rPr>
      </w:pPr>
      <w:r w:rsidRPr="00577593">
        <w:rPr>
          <w:rFonts w:ascii="Times New Roman" w:eastAsia="Times New Roman" w:hAnsi="Times New Roman"/>
          <w:b/>
          <w:sz w:val="28"/>
          <w:szCs w:val="28"/>
          <w:lang w:val="en-US"/>
        </w:rPr>
        <w:t>S</w:t>
      </w:r>
      <w:r w:rsidRPr="00577593">
        <w:rPr>
          <w:rFonts w:ascii="Times New Roman" w:eastAsia="Times New Roman" w:hAnsi="Times New Roman"/>
          <w:b/>
          <w:sz w:val="28"/>
          <w:szCs w:val="28"/>
        </w:rPr>
        <w:t>-сильные стороны</w:t>
      </w:r>
    </w:p>
    <w:p w:rsidR="007205DC" w:rsidRPr="00577593" w:rsidRDefault="00EC400E" w:rsidP="0053506D">
      <w:pPr>
        <w:pStyle w:val="paragraph"/>
        <w:tabs>
          <w:tab w:val="left" w:pos="993"/>
        </w:tabs>
        <w:spacing w:before="0" w:beforeAutospacing="0" w:after="0" w:afterAutospacing="0"/>
        <w:ind w:left="37" w:firstLine="672"/>
        <w:jc w:val="both"/>
        <w:rPr>
          <w:sz w:val="28"/>
          <w:szCs w:val="28"/>
        </w:rPr>
      </w:pPr>
      <w:r>
        <w:rPr>
          <w:rStyle w:val="normaltextrun"/>
          <w:sz w:val="28"/>
          <w:szCs w:val="28"/>
        </w:rPr>
        <w:t>– </w:t>
      </w:r>
      <w:r w:rsidR="00433430">
        <w:rPr>
          <w:rStyle w:val="normaltextrun"/>
          <w:sz w:val="28"/>
          <w:szCs w:val="28"/>
        </w:rPr>
        <w:t> </w:t>
      </w:r>
      <w:r w:rsidR="007205DC" w:rsidRPr="00577593">
        <w:rPr>
          <w:rStyle w:val="normaltextrun"/>
          <w:sz w:val="28"/>
          <w:szCs w:val="28"/>
        </w:rPr>
        <w:t>Центральное положение в Алтайском крае</w:t>
      </w:r>
      <w:r w:rsidR="007205DC" w:rsidRPr="00577593">
        <w:rPr>
          <w:rStyle w:val="eop"/>
          <w:sz w:val="28"/>
          <w:szCs w:val="28"/>
        </w:rPr>
        <w:t> </w:t>
      </w:r>
    </w:p>
    <w:p w:rsidR="007205DC" w:rsidRPr="00577593" w:rsidRDefault="00EC400E" w:rsidP="00EC400E">
      <w:pPr>
        <w:pStyle w:val="paragraph"/>
        <w:tabs>
          <w:tab w:val="left" w:pos="993"/>
        </w:tabs>
        <w:spacing w:before="0" w:beforeAutospacing="0" w:after="0" w:afterAutospacing="0"/>
        <w:ind w:firstLine="709"/>
        <w:jc w:val="both"/>
        <w:rPr>
          <w:sz w:val="28"/>
          <w:szCs w:val="28"/>
        </w:rPr>
      </w:pPr>
      <w:r>
        <w:rPr>
          <w:rStyle w:val="normaltextrun"/>
          <w:sz w:val="28"/>
          <w:szCs w:val="28"/>
        </w:rPr>
        <w:t>– </w:t>
      </w:r>
      <w:r w:rsidR="007205DC" w:rsidRPr="00577593">
        <w:rPr>
          <w:rStyle w:val="normaltextrun"/>
          <w:sz w:val="28"/>
          <w:szCs w:val="28"/>
        </w:rPr>
        <w:t xml:space="preserve">Близость к федеральной трассе, связанность с Казахстаном </w:t>
      </w:r>
      <w:r w:rsidR="007205DC" w:rsidRPr="00577593">
        <w:rPr>
          <w:rStyle w:val="normaltextrun"/>
          <w:sz w:val="28"/>
          <w:szCs w:val="28"/>
        </w:rPr>
        <w:br/>
        <w:t>и Монголией, нахождение на берегу крупной судоходной реки, наличие железной дороги</w:t>
      </w:r>
      <w:r w:rsidR="007205DC" w:rsidRPr="00577593">
        <w:rPr>
          <w:rStyle w:val="eop"/>
          <w:sz w:val="28"/>
          <w:szCs w:val="28"/>
        </w:rPr>
        <w:t> </w:t>
      </w:r>
    </w:p>
    <w:p w:rsidR="007205DC" w:rsidRPr="00577593" w:rsidRDefault="00EC400E" w:rsidP="00EC400E">
      <w:pPr>
        <w:pStyle w:val="paragraph"/>
        <w:tabs>
          <w:tab w:val="left" w:pos="993"/>
        </w:tabs>
        <w:spacing w:before="0" w:beforeAutospacing="0" w:after="0" w:afterAutospacing="0"/>
        <w:ind w:firstLine="709"/>
        <w:jc w:val="both"/>
        <w:rPr>
          <w:sz w:val="28"/>
          <w:szCs w:val="28"/>
        </w:rPr>
      </w:pPr>
      <w:r>
        <w:rPr>
          <w:rStyle w:val="normaltextrun"/>
          <w:sz w:val="28"/>
          <w:szCs w:val="28"/>
        </w:rPr>
        <w:t>– </w:t>
      </w:r>
      <w:r w:rsidR="007205DC" w:rsidRPr="00577593">
        <w:rPr>
          <w:rStyle w:val="normaltextrun"/>
          <w:sz w:val="28"/>
          <w:szCs w:val="28"/>
        </w:rPr>
        <w:t>Наличие уникального природного-рекреационного ресурса – Ленточного бора, а также</w:t>
      </w:r>
      <w:r w:rsidR="007205DC" w:rsidRPr="00577593">
        <w:rPr>
          <w:rStyle w:val="eop"/>
          <w:sz w:val="28"/>
          <w:szCs w:val="28"/>
        </w:rPr>
        <w:t> ресурсов и природного ландшафта реки Оби</w:t>
      </w:r>
    </w:p>
    <w:p w:rsidR="007205DC" w:rsidRPr="00577593" w:rsidRDefault="007205DC" w:rsidP="0053506D">
      <w:pPr>
        <w:pStyle w:val="paragraph"/>
        <w:numPr>
          <w:ilvl w:val="0"/>
          <w:numId w:val="7"/>
        </w:numPr>
        <w:tabs>
          <w:tab w:val="left" w:pos="993"/>
        </w:tabs>
        <w:spacing w:before="0" w:beforeAutospacing="0" w:after="0" w:afterAutospacing="0"/>
        <w:ind w:left="0" w:firstLine="709"/>
        <w:jc w:val="both"/>
        <w:rPr>
          <w:rStyle w:val="eop"/>
          <w:sz w:val="28"/>
          <w:szCs w:val="28"/>
        </w:rPr>
      </w:pPr>
      <w:r w:rsidRPr="00577593">
        <w:rPr>
          <w:rStyle w:val="normaltextrun"/>
          <w:sz w:val="28"/>
          <w:szCs w:val="28"/>
        </w:rPr>
        <w:t>Близость к Республике Алтай</w:t>
      </w:r>
    </w:p>
    <w:p w:rsidR="007205DC" w:rsidRPr="00577593" w:rsidRDefault="007205DC" w:rsidP="0053506D">
      <w:pPr>
        <w:pStyle w:val="paragraph"/>
        <w:numPr>
          <w:ilvl w:val="0"/>
          <w:numId w:val="7"/>
        </w:numPr>
        <w:tabs>
          <w:tab w:val="left" w:pos="993"/>
        </w:tabs>
        <w:spacing w:before="0" w:beforeAutospacing="0" w:after="0" w:afterAutospacing="0"/>
        <w:ind w:left="0" w:firstLine="709"/>
        <w:jc w:val="both"/>
        <w:rPr>
          <w:sz w:val="28"/>
          <w:szCs w:val="28"/>
        </w:rPr>
      </w:pPr>
      <w:r w:rsidRPr="00577593">
        <w:rPr>
          <w:rStyle w:val="normaltextrun"/>
          <w:sz w:val="28"/>
          <w:szCs w:val="28"/>
        </w:rPr>
        <w:t>Высокое сальдо входящей миграции, в том числе среди молодежи</w:t>
      </w:r>
    </w:p>
    <w:p w:rsidR="007205DC" w:rsidRPr="00577593" w:rsidRDefault="007205DC" w:rsidP="0053506D">
      <w:pPr>
        <w:pStyle w:val="paragraph"/>
        <w:numPr>
          <w:ilvl w:val="0"/>
          <w:numId w:val="7"/>
        </w:numPr>
        <w:tabs>
          <w:tab w:val="left" w:pos="993"/>
        </w:tabs>
        <w:spacing w:before="0" w:beforeAutospacing="0" w:after="0" w:afterAutospacing="0"/>
        <w:ind w:left="0" w:firstLine="709"/>
        <w:jc w:val="both"/>
        <w:rPr>
          <w:sz w:val="28"/>
          <w:szCs w:val="28"/>
        </w:rPr>
      </w:pPr>
      <w:r w:rsidRPr="00577593">
        <w:rPr>
          <w:rStyle w:val="normaltextrun"/>
          <w:sz w:val="28"/>
          <w:szCs w:val="28"/>
        </w:rPr>
        <w:t>Развитая диверсифицированная экономика</w:t>
      </w:r>
      <w:r w:rsidRPr="00577593">
        <w:rPr>
          <w:rStyle w:val="eop"/>
          <w:sz w:val="28"/>
          <w:szCs w:val="28"/>
        </w:rPr>
        <w:t> </w:t>
      </w:r>
    </w:p>
    <w:p w:rsidR="007205DC" w:rsidRPr="00577593" w:rsidRDefault="007205DC" w:rsidP="0053506D">
      <w:pPr>
        <w:pStyle w:val="paragraph"/>
        <w:numPr>
          <w:ilvl w:val="0"/>
          <w:numId w:val="7"/>
        </w:numPr>
        <w:tabs>
          <w:tab w:val="left" w:pos="993"/>
        </w:tabs>
        <w:spacing w:before="0" w:beforeAutospacing="0" w:after="0" w:afterAutospacing="0"/>
        <w:ind w:left="0" w:firstLine="709"/>
        <w:jc w:val="both"/>
        <w:rPr>
          <w:sz w:val="28"/>
          <w:szCs w:val="28"/>
        </w:rPr>
      </w:pPr>
      <w:r w:rsidRPr="00577593">
        <w:rPr>
          <w:rStyle w:val="normaltextrun"/>
          <w:sz w:val="28"/>
          <w:szCs w:val="28"/>
        </w:rPr>
        <w:t>Высокая доля промышленности в структуре экономики</w:t>
      </w:r>
      <w:r w:rsidRPr="00577593">
        <w:rPr>
          <w:rStyle w:val="eop"/>
          <w:sz w:val="28"/>
          <w:szCs w:val="28"/>
        </w:rPr>
        <w:t> </w:t>
      </w:r>
    </w:p>
    <w:p w:rsidR="007205DC" w:rsidRPr="00577593" w:rsidRDefault="007205DC" w:rsidP="0053506D">
      <w:pPr>
        <w:pStyle w:val="paragraph"/>
        <w:numPr>
          <w:ilvl w:val="0"/>
          <w:numId w:val="7"/>
        </w:numPr>
        <w:tabs>
          <w:tab w:val="left" w:pos="993"/>
        </w:tabs>
        <w:spacing w:before="0" w:beforeAutospacing="0" w:after="0" w:afterAutospacing="0"/>
        <w:ind w:left="0" w:firstLine="709"/>
        <w:jc w:val="both"/>
        <w:rPr>
          <w:sz w:val="28"/>
          <w:szCs w:val="28"/>
        </w:rPr>
      </w:pPr>
      <w:r w:rsidRPr="00577593">
        <w:rPr>
          <w:rStyle w:val="normaltextrun"/>
          <w:sz w:val="28"/>
          <w:szCs w:val="28"/>
        </w:rPr>
        <w:t>Сформированные компетенции в сфере обрабатывающей промышленности, в частности, машиностроения</w:t>
      </w:r>
      <w:r w:rsidRPr="00577593">
        <w:rPr>
          <w:rStyle w:val="eop"/>
          <w:sz w:val="28"/>
          <w:szCs w:val="28"/>
        </w:rPr>
        <w:t> </w:t>
      </w:r>
    </w:p>
    <w:p w:rsidR="007205DC" w:rsidRPr="00577593" w:rsidRDefault="007205DC" w:rsidP="0053506D">
      <w:pPr>
        <w:pStyle w:val="paragraph"/>
        <w:numPr>
          <w:ilvl w:val="0"/>
          <w:numId w:val="7"/>
        </w:numPr>
        <w:tabs>
          <w:tab w:val="left" w:pos="993"/>
        </w:tabs>
        <w:spacing w:before="0" w:beforeAutospacing="0" w:after="0" w:afterAutospacing="0"/>
        <w:ind w:left="0" w:firstLine="709"/>
        <w:jc w:val="both"/>
        <w:rPr>
          <w:rStyle w:val="normaltextrun"/>
          <w:sz w:val="28"/>
          <w:szCs w:val="28"/>
        </w:rPr>
      </w:pPr>
      <w:r w:rsidRPr="00577593">
        <w:rPr>
          <w:rStyle w:val="normaltextrun"/>
          <w:sz w:val="28"/>
          <w:szCs w:val="28"/>
        </w:rPr>
        <w:t>Наличие в Алтайском крае комплексной системы государственной поддержки субъектов малого и среднего предпринимательства, включающей меры финансового и нефинансового содействия реализации бизнес-инициатив</w:t>
      </w:r>
    </w:p>
    <w:p w:rsidR="007205DC" w:rsidRPr="00577593" w:rsidRDefault="007205DC" w:rsidP="0053506D">
      <w:pPr>
        <w:pStyle w:val="paragraph"/>
        <w:numPr>
          <w:ilvl w:val="0"/>
          <w:numId w:val="7"/>
        </w:numPr>
        <w:tabs>
          <w:tab w:val="left" w:pos="993"/>
        </w:tabs>
        <w:spacing w:before="0" w:beforeAutospacing="0" w:after="0" w:afterAutospacing="0"/>
        <w:ind w:left="0" w:firstLine="709"/>
        <w:jc w:val="both"/>
        <w:rPr>
          <w:rStyle w:val="eop"/>
          <w:sz w:val="28"/>
          <w:szCs w:val="28"/>
        </w:rPr>
      </w:pPr>
      <w:r w:rsidRPr="00577593">
        <w:rPr>
          <w:rStyle w:val="normaltextrun"/>
          <w:sz w:val="28"/>
          <w:szCs w:val="28"/>
        </w:rPr>
        <w:t>Высокий показатель ввода жилой недвижимости на душу населения</w:t>
      </w:r>
      <w:r w:rsidRPr="00577593">
        <w:rPr>
          <w:rStyle w:val="eop"/>
          <w:sz w:val="28"/>
          <w:szCs w:val="28"/>
        </w:rPr>
        <w:t> </w:t>
      </w:r>
    </w:p>
    <w:p w:rsidR="007205DC" w:rsidRPr="00577593" w:rsidRDefault="007205DC" w:rsidP="0053506D">
      <w:pPr>
        <w:pStyle w:val="paragraph"/>
        <w:numPr>
          <w:ilvl w:val="0"/>
          <w:numId w:val="7"/>
        </w:numPr>
        <w:tabs>
          <w:tab w:val="left" w:pos="993"/>
        </w:tabs>
        <w:spacing w:before="0" w:beforeAutospacing="0" w:after="0" w:afterAutospacing="0"/>
        <w:ind w:left="0" w:firstLine="709"/>
        <w:jc w:val="both"/>
        <w:rPr>
          <w:sz w:val="28"/>
          <w:szCs w:val="28"/>
        </w:rPr>
      </w:pPr>
      <w:r w:rsidRPr="00577593">
        <w:rPr>
          <w:rStyle w:val="normaltextrun"/>
          <w:sz w:val="28"/>
          <w:szCs w:val="28"/>
        </w:rPr>
        <w:t>Высокая обеспеченность объектами общественного питания, розничной торговли и сферы услуг</w:t>
      </w:r>
      <w:r w:rsidRPr="00577593">
        <w:rPr>
          <w:rStyle w:val="eop"/>
          <w:sz w:val="28"/>
          <w:szCs w:val="28"/>
        </w:rPr>
        <w:t> </w:t>
      </w:r>
    </w:p>
    <w:p w:rsidR="007205DC" w:rsidRPr="00577593" w:rsidRDefault="007205DC" w:rsidP="0053506D">
      <w:pPr>
        <w:pStyle w:val="paragraph"/>
        <w:numPr>
          <w:ilvl w:val="0"/>
          <w:numId w:val="7"/>
        </w:numPr>
        <w:tabs>
          <w:tab w:val="left" w:pos="993"/>
        </w:tabs>
        <w:spacing w:before="0" w:beforeAutospacing="0" w:after="0" w:afterAutospacing="0"/>
        <w:ind w:left="0" w:firstLine="709"/>
        <w:jc w:val="both"/>
        <w:rPr>
          <w:sz w:val="28"/>
          <w:szCs w:val="28"/>
        </w:rPr>
      </w:pPr>
      <w:r w:rsidRPr="00577593">
        <w:rPr>
          <w:rStyle w:val="normaltextrun"/>
          <w:sz w:val="28"/>
          <w:szCs w:val="28"/>
        </w:rPr>
        <w:t>Высокая обеспеченность социальной инфраструктурой</w:t>
      </w:r>
      <w:r w:rsidRPr="00577593">
        <w:rPr>
          <w:rStyle w:val="eop"/>
          <w:sz w:val="28"/>
          <w:szCs w:val="28"/>
        </w:rPr>
        <w:t> </w:t>
      </w:r>
    </w:p>
    <w:p w:rsidR="007205DC" w:rsidRPr="00577593" w:rsidRDefault="007205DC" w:rsidP="0053506D">
      <w:pPr>
        <w:pStyle w:val="paragraph"/>
        <w:numPr>
          <w:ilvl w:val="0"/>
          <w:numId w:val="7"/>
        </w:numPr>
        <w:tabs>
          <w:tab w:val="left" w:pos="993"/>
        </w:tabs>
        <w:spacing w:before="0" w:beforeAutospacing="0" w:after="0" w:afterAutospacing="0"/>
        <w:ind w:left="0" w:firstLine="709"/>
        <w:jc w:val="both"/>
        <w:rPr>
          <w:sz w:val="28"/>
          <w:szCs w:val="28"/>
        </w:rPr>
      </w:pPr>
      <w:r w:rsidRPr="00577593">
        <w:rPr>
          <w:rStyle w:val="normaltextrun"/>
          <w:sz w:val="28"/>
          <w:szCs w:val="28"/>
        </w:rPr>
        <w:t>Наличие Алтайского медицинского кластера, формирующего направление медицинского туризма и привлекающего пациентов из других регионов и государств</w:t>
      </w:r>
      <w:r w:rsidRPr="00577593">
        <w:rPr>
          <w:rStyle w:val="eop"/>
          <w:sz w:val="28"/>
          <w:szCs w:val="28"/>
        </w:rPr>
        <w:t> </w:t>
      </w:r>
    </w:p>
    <w:p w:rsidR="007205DC" w:rsidRPr="00577593" w:rsidRDefault="007205DC" w:rsidP="0053506D">
      <w:pPr>
        <w:pStyle w:val="paragraph"/>
        <w:numPr>
          <w:ilvl w:val="0"/>
          <w:numId w:val="7"/>
        </w:numPr>
        <w:tabs>
          <w:tab w:val="left" w:pos="993"/>
        </w:tabs>
        <w:spacing w:before="0" w:beforeAutospacing="0" w:after="0" w:afterAutospacing="0"/>
        <w:ind w:left="0" w:firstLine="709"/>
        <w:jc w:val="both"/>
        <w:rPr>
          <w:rStyle w:val="eop"/>
          <w:sz w:val="28"/>
          <w:szCs w:val="28"/>
        </w:rPr>
      </w:pPr>
      <w:r w:rsidRPr="00577593">
        <w:rPr>
          <w:rStyle w:val="normaltextrun"/>
          <w:sz w:val="28"/>
          <w:szCs w:val="28"/>
        </w:rPr>
        <w:t>Развитая сфера культуры</w:t>
      </w:r>
      <w:r w:rsidRPr="00577593">
        <w:rPr>
          <w:rStyle w:val="eop"/>
          <w:sz w:val="28"/>
          <w:szCs w:val="28"/>
        </w:rPr>
        <w:t> </w:t>
      </w:r>
    </w:p>
    <w:p w:rsidR="00D665FF" w:rsidRPr="00577593" w:rsidRDefault="007205DC" w:rsidP="0053506D">
      <w:pPr>
        <w:pStyle w:val="paragraph"/>
        <w:numPr>
          <w:ilvl w:val="0"/>
          <w:numId w:val="7"/>
        </w:numPr>
        <w:pBdr>
          <w:top w:val="none" w:sz="4" w:space="0" w:color="000000"/>
          <w:left w:val="none" w:sz="4" w:space="0" w:color="000000"/>
          <w:bottom w:val="none" w:sz="4" w:space="0" w:color="000000"/>
          <w:right w:val="none" w:sz="4" w:space="0" w:color="000000"/>
        </w:pBdr>
        <w:tabs>
          <w:tab w:val="left" w:pos="993"/>
        </w:tabs>
        <w:spacing w:before="0" w:beforeAutospacing="0" w:after="0" w:afterAutospacing="0"/>
        <w:ind w:left="0" w:firstLine="709"/>
        <w:jc w:val="both"/>
        <w:rPr>
          <w:rStyle w:val="normaltextrun"/>
          <w:sz w:val="28"/>
          <w:szCs w:val="28"/>
        </w:rPr>
      </w:pPr>
      <w:r w:rsidRPr="00577593">
        <w:rPr>
          <w:rStyle w:val="normaltextrun"/>
          <w:sz w:val="28"/>
          <w:szCs w:val="28"/>
        </w:rPr>
        <w:t xml:space="preserve">Наличие объектов культурного наследия, относящихся </w:t>
      </w:r>
      <w:r w:rsidRPr="00577593">
        <w:rPr>
          <w:rStyle w:val="normaltextrun"/>
          <w:sz w:val="28"/>
          <w:szCs w:val="28"/>
        </w:rPr>
        <w:br/>
        <w:t>к становлению в России горнорудного производства XVIII-XIX вв.</w:t>
      </w:r>
    </w:p>
    <w:p w:rsidR="00D665FF" w:rsidRPr="00577593" w:rsidRDefault="007205DC" w:rsidP="0053506D">
      <w:pPr>
        <w:pStyle w:val="paragraph"/>
        <w:numPr>
          <w:ilvl w:val="0"/>
          <w:numId w:val="7"/>
        </w:numPr>
        <w:pBdr>
          <w:top w:val="none" w:sz="4" w:space="0" w:color="000000"/>
          <w:left w:val="none" w:sz="4" w:space="0" w:color="000000"/>
          <w:bottom w:val="none" w:sz="4" w:space="0" w:color="000000"/>
          <w:right w:val="none" w:sz="4" w:space="0" w:color="000000"/>
        </w:pBdr>
        <w:tabs>
          <w:tab w:val="left" w:pos="993"/>
        </w:tabs>
        <w:spacing w:before="0" w:beforeAutospacing="0" w:after="0" w:afterAutospacing="0"/>
        <w:ind w:left="0" w:firstLine="709"/>
        <w:jc w:val="both"/>
        <w:rPr>
          <w:rStyle w:val="normaltextrun"/>
          <w:b/>
          <w:sz w:val="28"/>
          <w:szCs w:val="28"/>
        </w:rPr>
      </w:pPr>
      <w:r w:rsidRPr="00577593">
        <w:rPr>
          <w:rStyle w:val="normaltextrun"/>
          <w:sz w:val="28"/>
          <w:szCs w:val="28"/>
        </w:rPr>
        <w:t>Рост событийной активности и событийного туризма</w:t>
      </w:r>
    </w:p>
    <w:p w:rsidR="009C0E8E" w:rsidRPr="00577593" w:rsidRDefault="009C0E8E" w:rsidP="0053506D">
      <w:pPr>
        <w:pStyle w:val="paragraph"/>
        <w:pBdr>
          <w:top w:val="none" w:sz="4" w:space="0" w:color="000000"/>
          <w:left w:val="none" w:sz="4" w:space="0" w:color="000000"/>
          <w:bottom w:val="none" w:sz="4" w:space="0" w:color="000000"/>
          <w:right w:val="none" w:sz="4" w:space="0" w:color="000000"/>
        </w:pBdr>
        <w:tabs>
          <w:tab w:val="left" w:pos="993"/>
        </w:tabs>
        <w:spacing w:before="0" w:beforeAutospacing="0" w:after="0" w:afterAutospacing="0"/>
        <w:ind w:firstLine="709"/>
        <w:jc w:val="both"/>
        <w:rPr>
          <w:rStyle w:val="normaltextrun"/>
          <w:b/>
          <w:sz w:val="28"/>
          <w:szCs w:val="28"/>
        </w:rPr>
      </w:pPr>
    </w:p>
    <w:p w:rsidR="009C0E8E" w:rsidRPr="00577593" w:rsidRDefault="009C0E8E" w:rsidP="002000D4">
      <w:pPr>
        <w:pStyle w:val="paragraph"/>
        <w:pBdr>
          <w:top w:val="none" w:sz="4" w:space="0" w:color="000000"/>
          <w:left w:val="none" w:sz="4" w:space="0" w:color="000000"/>
          <w:bottom w:val="none" w:sz="4" w:space="0" w:color="000000"/>
          <w:right w:val="none" w:sz="4" w:space="0" w:color="000000"/>
        </w:pBdr>
        <w:tabs>
          <w:tab w:val="left" w:pos="993"/>
        </w:tabs>
        <w:spacing w:before="0" w:beforeAutospacing="0" w:after="0" w:afterAutospacing="0"/>
        <w:ind w:left="37"/>
        <w:jc w:val="both"/>
        <w:rPr>
          <w:rStyle w:val="normaltextrun"/>
          <w:b/>
          <w:sz w:val="28"/>
          <w:szCs w:val="28"/>
        </w:rPr>
      </w:pPr>
    </w:p>
    <w:p w:rsidR="009C0E8E" w:rsidRPr="00577593" w:rsidRDefault="009C0E8E" w:rsidP="002000D4">
      <w:pPr>
        <w:pStyle w:val="paragraph"/>
        <w:pBdr>
          <w:top w:val="none" w:sz="4" w:space="0" w:color="000000"/>
          <w:left w:val="none" w:sz="4" w:space="0" w:color="000000"/>
          <w:bottom w:val="none" w:sz="4" w:space="0" w:color="000000"/>
          <w:right w:val="none" w:sz="4" w:space="0" w:color="000000"/>
        </w:pBdr>
        <w:tabs>
          <w:tab w:val="left" w:pos="993"/>
        </w:tabs>
        <w:spacing w:before="0" w:beforeAutospacing="0" w:after="0" w:afterAutospacing="0"/>
        <w:ind w:left="37"/>
        <w:jc w:val="both"/>
        <w:rPr>
          <w:rStyle w:val="normaltextrun"/>
          <w:b/>
          <w:sz w:val="28"/>
          <w:szCs w:val="28"/>
        </w:rPr>
      </w:pPr>
    </w:p>
    <w:p w:rsidR="009C0E8E" w:rsidRPr="00577593" w:rsidRDefault="009C0E8E" w:rsidP="002000D4">
      <w:pPr>
        <w:pStyle w:val="paragraph"/>
        <w:pBdr>
          <w:top w:val="none" w:sz="4" w:space="0" w:color="000000"/>
          <w:left w:val="none" w:sz="4" w:space="0" w:color="000000"/>
          <w:bottom w:val="none" w:sz="4" w:space="0" w:color="000000"/>
          <w:right w:val="none" w:sz="4" w:space="0" w:color="000000"/>
        </w:pBdr>
        <w:tabs>
          <w:tab w:val="left" w:pos="993"/>
        </w:tabs>
        <w:spacing w:before="0" w:beforeAutospacing="0" w:after="0" w:afterAutospacing="0"/>
        <w:ind w:left="37"/>
        <w:jc w:val="both"/>
        <w:rPr>
          <w:rStyle w:val="normaltextrun"/>
          <w:b/>
          <w:sz w:val="28"/>
          <w:szCs w:val="28"/>
        </w:rPr>
      </w:pPr>
    </w:p>
    <w:p w:rsidR="009C0E8E" w:rsidRPr="00577593" w:rsidRDefault="009C0E8E" w:rsidP="002000D4">
      <w:pPr>
        <w:pStyle w:val="paragraph"/>
        <w:pBdr>
          <w:top w:val="none" w:sz="4" w:space="0" w:color="000000"/>
          <w:left w:val="none" w:sz="4" w:space="0" w:color="000000"/>
          <w:bottom w:val="none" w:sz="4" w:space="0" w:color="000000"/>
          <w:right w:val="none" w:sz="4" w:space="0" w:color="000000"/>
        </w:pBdr>
        <w:tabs>
          <w:tab w:val="left" w:pos="993"/>
        </w:tabs>
        <w:spacing w:before="0" w:beforeAutospacing="0" w:after="0" w:afterAutospacing="0"/>
        <w:ind w:left="37"/>
        <w:jc w:val="both"/>
        <w:rPr>
          <w:rStyle w:val="normaltextrun"/>
          <w:b/>
          <w:sz w:val="28"/>
          <w:szCs w:val="28"/>
        </w:rPr>
      </w:pPr>
    </w:p>
    <w:p w:rsidR="009C0E8E" w:rsidRPr="00577593" w:rsidRDefault="009C0E8E" w:rsidP="002000D4">
      <w:pPr>
        <w:pStyle w:val="paragraph"/>
        <w:pBdr>
          <w:top w:val="none" w:sz="4" w:space="0" w:color="000000"/>
          <w:left w:val="none" w:sz="4" w:space="0" w:color="000000"/>
          <w:bottom w:val="none" w:sz="4" w:space="0" w:color="000000"/>
          <w:right w:val="none" w:sz="4" w:space="0" w:color="000000"/>
        </w:pBdr>
        <w:tabs>
          <w:tab w:val="left" w:pos="993"/>
        </w:tabs>
        <w:spacing w:before="0" w:beforeAutospacing="0" w:after="0" w:afterAutospacing="0"/>
        <w:ind w:left="37"/>
        <w:jc w:val="both"/>
        <w:rPr>
          <w:rStyle w:val="normaltextrun"/>
          <w:b/>
          <w:sz w:val="28"/>
          <w:szCs w:val="28"/>
        </w:rPr>
      </w:pPr>
    </w:p>
    <w:p w:rsidR="009C0E8E" w:rsidRPr="00577593" w:rsidRDefault="009C0E8E" w:rsidP="002000D4">
      <w:pPr>
        <w:pStyle w:val="paragraph"/>
        <w:pBdr>
          <w:top w:val="none" w:sz="4" w:space="0" w:color="000000"/>
          <w:left w:val="none" w:sz="4" w:space="0" w:color="000000"/>
          <w:bottom w:val="none" w:sz="4" w:space="0" w:color="000000"/>
          <w:right w:val="none" w:sz="4" w:space="0" w:color="000000"/>
        </w:pBdr>
        <w:tabs>
          <w:tab w:val="left" w:pos="993"/>
        </w:tabs>
        <w:spacing w:before="0" w:beforeAutospacing="0" w:after="0" w:afterAutospacing="0"/>
        <w:ind w:left="37"/>
        <w:jc w:val="both"/>
        <w:rPr>
          <w:rStyle w:val="normaltextrun"/>
          <w:b/>
          <w:sz w:val="28"/>
          <w:szCs w:val="28"/>
        </w:rPr>
      </w:pPr>
    </w:p>
    <w:p w:rsidR="009C0E8E" w:rsidRPr="00577593" w:rsidRDefault="009C0E8E" w:rsidP="002000D4">
      <w:pPr>
        <w:pStyle w:val="paragraph"/>
        <w:pBdr>
          <w:top w:val="none" w:sz="4" w:space="0" w:color="000000"/>
          <w:left w:val="none" w:sz="4" w:space="0" w:color="000000"/>
          <w:bottom w:val="none" w:sz="4" w:space="0" w:color="000000"/>
          <w:right w:val="none" w:sz="4" w:space="0" w:color="000000"/>
        </w:pBdr>
        <w:tabs>
          <w:tab w:val="left" w:pos="993"/>
        </w:tabs>
        <w:spacing w:before="0" w:beforeAutospacing="0" w:after="0" w:afterAutospacing="0"/>
        <w:ind w:left="37"/>
        <w:jc w:val="both"/>
        <w:rPr>
          <w:rStyle w:val="normaltextrun"/>
          <w:b/>
          <w:sz w:val="28"/>
          <w:szCs w:val="28"/>
        </w:rPr>
      </w:pPr>
    </w:p>
    <w:p w:rsidR="009C0E8E" w:rsidRPr="00577593" w:rsidRDefault="009C0E8E" w:rsidP="002000D4">
      <w:pPr>
        <w:pStyle w:val="paragraph"/>
        <w:pBdr>
          <w:top w:val="none" w:sz="4" w:space="0" w:color="000000"/>
          <w:left w:val="none" w:sz="4" w:space="0" w:color="000000"/>
          <w:bottom w:val="none" w:sz="4" w:space="0" w:color="000000"/>
          <w:right w:val="none" w:sz="4" w:space="0" w:color="000000"/>
        </w:pBdr>
        <w:tabs>
          <w:tab w:val="left" w:pos="993"/>
        </w:tabs>
        <w:spacing w:before="0" w:beforeAutospacing="0" w:after="0" w:afterAutospacing="0"/>
        <w:ind w:left="37"/>
        <w:jc w:val="both"/>
        <w:rPr>
          <w:rStyle w:val="normaltextrun"/>
          <w:b/>
          <w:sz w:val="28"/>
          <w:szCs w:val="28"/>
        </w:rPr>
      </w:pPr>
    </w:p>
    <w:p w:rsidR="009C0E8E" w:rsidRPr="00577593" w:rsidRDefault="009C0E8E" w:rsidP="002000D4">
      <w:pPr>
        <w:pStyle w:val="paragraph"/>
        <w:pBdr>
          <w:top w:val="none" w:sz="4" w:space="0" w:color="000000"/>
          <w:left w:val="none" w:sz="4" w:space="0" w:color="000000"/>
          <w:bottom w:val="none" w:sz="4" w:space="0" w:color="000000"/>
          <w:right w:val="none" w:sz="4" w:space="0" w:color="000000"/>
        </w:pBdr>
        <w:tabs>
          <w:tab w:val="left" w:pos="993"/>
        </w:tabs>
        <w:spacing w:before="0" w:beforeAutospacing="0" w:after="0" w:afterAutospacing="0"/>
        <w:ind w:left="37"/>
        <w:jc w:val="both"/>
        <w:rPr>
          <w:rStyle w:val="normaltextrun"/>
          <w:b/>
          <w:sz w:val="28"/>
          <w:szCs w:val="28"/>
        </w:rPr>
      </w:pPr>
    </w:p>
    <w:p w:rsidR="009C0E8E" w:rsidRPr="00577593" w:rsidRDefault="009C0E8E" w:rsidP="002000D4">
      <w:pPr>
        <w:pStyle w:val="paragraph"/>
        <w:pBdr>
          <w:top w:val="none" w:sz="4" w:space="0" w:color="000000"/>
          <w:left w:val="none" w:sz="4" w:space="0" w:color="000000"/>
          <w:bottom w:val="none" w:sz="4" w:space="0" w:color="000000"/>
          <w:right w:val="none" w:sz="4" w:space="0" w:color="000000"/>
        </w:pBdr>
        <w:tabs>
          <w:tab w:val="left" w:pos="993"/>
        </w:tabs>
        <w:spacing w:before="0" w:beforeAutospacing="0" w:after="0" w:afterAutospacing="0"/>
        <w:ind w:left="37"/>
        <w:jc w:val="both"/>
        <w:rPr>
          <w:rStyle w:val="normaltextrun"/>
          <w:b/>
          <w:sz w:val="28"/>
          <w:szCs w:val="28"/>
        </w:rPr>
      </w:pPr>
    </w:p>
    <w:p w:rsidR="009C0E8E" w:rsidRPr="00577593" w:rsidRDefault="009C0E8E" w:rsidP="002000D4">
      <w:pPr>
        <w:pStyle w:val="paragraph"/>
        <w:pBdr>
          <w:top w:val="none" w:sz="4" w:space="0" w:color="000000"/>
          <w:left w:val="none" w:sz="4" w:space="0" w:color="000000"/>
          <w:bottom w:val="none" w:sz="4" w:space="0" w:color="000000"/>
          <w:right w:val="none" w:sz="4" w:space="0" w:color="000000"/>
        </w:pBdr>
        <w:tabs>
          <w:tab w:val="left" w:pos="993"/>
        </w:tabs>
        <w:spacing w:before="0" w:beforeAutospacing="0" w:after="0" w:afterAutospacing="0"/>
        <w:ind w:left="37"/>
        <w:jc w:val="both"/>
        <w:rPr>
          <w:rStyle w:val="normaltextrun"/>
          <w:b/>
          <w:sz w:val="28"/>
          <w:szCs w:val="28"/>
        </w:rPr>
      </w:pPr>
    </w:p>
    <w:p w:rsidR="009C0E8E" w:rsidRPr="00577593" w:rsidRDefault="009C0E8E" w:rsidP="002000D4">
      <w:pPr>
        <w:pStyle w:val="paragraph"/>
        <w:pBdr>
          <w:top w:val="none" w:sz="4" w:space="0" w:color="000000"/>
          <w:left w:val="none" w:sz="4" w:space="0" w:color="000000"/>
          <w:bottom w:val="none" w:sz="4" w:space="0" w:color="000000"/>
          <w:right w:val="none" w:sz="4" w:space="0" w:color="000000"/>
        </w:pBdr>
        <w:tabs>
          <w:tab w:val="left" w:pos="993"/>
        </w:tabs>
        <w:spacing w:before="0" w:beforeAutospacing="0" w:after="0" w:afterAutospacing="0"/>
        <w:ind w:left="37"/>
        <w:jc w:val="both"/>
        <w:rPr>
          <w:rStyle w:val="normaltextrun"/>
          <w:b/>
          <w:sz w:val="28"/>
          <w:szCs w:val="28"/>
        </w:rPr>
      </w:pPr>
    </w:p>
    <w:p w:rsidR="007205DC" w:rsidRPr="00577593" w:rsidRDefault="007205DC" w:rsidP="002000D4">
      <w:pPr>
        <w:pStyle w:val="paragraph"/>
        <w:pBdr>
          <w:top w:val="none" w:sz="4" w:space="0" w:color="000000"/>
          <w:left w:val="none" w:sz="4" w:space="0" w:color="000000"/>
          <w:bottom w:val="none" w:sz="4" w:space="0" w:color="000000"/>
          <w:right w:val="none" w:sz="4" w:space="0" w:color="000000"/>
        </w:pBdr>
        <w:tabs>
          <w:tab w:val="left" w:pos="993"/>
        </w:tabs>
        <w:spacing w:before="0" w:beforeAutospacing="0" w:after="0" w:afterAutospacing="0"/>
        <w:ind w:left="37"/>
        <w:jc w:val="both"/>
        <w:rPr>
          <w:rStyle w:val="normaltextrun"/>
          <w:b/>
          <w:sz w:val="28"/>
          <w:szCs w:val="28"/>
        </w:rPr>
      </w:pPr>
      <w:r w:rsidRPr="00577593">
        <w:rPr>
          <w:rStyle w:val="normaltextrun"/>
          <w:b/>
          <w:sz w:val="28"/>
          <w:szCs w:val="28"/>
          <w:lang w:val="en-US"/>
        </w:rPr>
        <w:lastRenderedPageBreak/>
        <w:t>W</w:t>
      </w:r>
      <w:r w:rsidRPr="00577593">
        <w:rPr>
          <w:rStyle w:val="normaltextrun"/>
          <w:b/>
          <w:sz w:val="28"/>
          <w:szCs w:val="28"/>
        </w:rPr>
        <w:t xml:space="preserve"> - слабые стороны</w:t>
      </w:r>
    </w:p>
    <w:p w:rsidR="0053506D" w:rsidRDefault="0053506D" w:rsidP="0053506D">
      <w:pPr>
        <w:pStyle w:val="paragraph"/>
        <w:tabs>
          <w:tab w:val="left" w:pos="993"/>
        </w:tabs>
        <w:spacing w:before="0" w:beforeAutospacing="0" w:after="0" w:afterAutospacing="0"/>
        <w:ind w:left="37" w:firstLineChars="253" w:firstLine="708"/>
        <w:jc w:val="both"/>
        <w:rPr>
          <w:rStyle w:val="normaltextrun"/>
          <w:sz w:val="28"/>
          <w:szCs w:val="28"/>
        </w:rPr>
      </w:pPr>
    </w:p>
    <w:p w:rsidR="007205DC" w:rsidRPr="00577593" w:rsidRDefault="0053506D" w:rsidP="0053506D">
      <w:pPr>
        <w:pStyle w:val="paragraph"/>
        <w:tabs>
          <w:tab w:val="left" w:pos="993"/>
        </w:tabs>
        <w:spacing w:before="0" w:beforeAutospacing="0" w:after="0" w:afterAutospacing="0"/>
        <w:ind w:left="37" w:firstLineChars="253" w:firstLine="708"/>
        <w:jc w:val="both"/>
        <w:rPr>
          <w:rStyle w:val="normaltextrun"/>
          <w:sz w:val="28"/>
          <w:szCs w:val="28"/>
        </w:rPr>
      </w:pPr>
      <w:r>
        <w:rPr>
          <w:rStyle w:val="normaltextrun"/>
          <w:sz w:val="28"/>
          <w:szCs w:val="28"/>
        </w:rPr>
        <w:t>- </w:t>
      </w:r>
      <w:r w:rsidR="007205DC" w:rsidRPr="00577593">
        <w:rPr>
          <w:rStyle w:val="normaltextrun"/>
          <w:sz w:val="28"/>
          <w:szCs w:val="28"/>
        </w:rPr>
        <w:t xml:space="preserve">Удаленность от Транссиба и ключевых международных транспортных коридоров </w:t>
      </w:r>
    </w:p>
    <w:p w:rsidR="007205DC" w:rsidRPr="00577593" w:rsidRDefault="0053506D" w:rsidP="0053506D">
      <w:pPr>
        <w:pStyle w:val="paragraph"/>
        <w:tabs>
          <w:tab w:val="left" w:pos="993"/>
        </w:tabs>
        <w:spacing w:before="0" w:beforeAutospacing="0" w:after="0" w:afterAutospacing="0"/>
        <w:ind w:left="37" w:firstLineChars="253" w:firstLine="708"/>
        <w:jc w:val="both"/>
        <w:rPr>
          <w:rStyle w:val="normaltextrun"/>
          <w:sz w:val="28"/>
          <w:szCs w:val="28"/>
        </w:rPr>
      </w:pPr>
      <w:r w:rsidRPr="0053506D">
        <w:rPr>
          <w:sz w:val="28"/>
          <w:szCs w:val="28"/>
        </w:rPr>
        <w:t>- </w:t>
      </w:r>
      <w:r w:rsidR="007205DC" w:rsidRPr="00577593">
        <w:rPr>
          <w:rStyle w:val="normaltextrun"/>
          <w:sz w:val="28"/>
          <w:szCs w:val="28"/>
        </w:rPr>
        <w:t xml:space="preserve">Относительно низкое экономическое значение среди городов СФО </w:t>
      </w:r>
    </w:p>
    <w:p w:rsidR="007205DC" w:rsidRPr="00577593" w:rsidRDefault="0053506D" w:rsidP="0053506D">
      <w:pPr>
        <w:pStyle w:val="paragraph"/>
        <w:tabs>
          <w:tab w:val="left" w:pos="993"/>
        </w:tabs>
        <w:spacing w:before="0" w:beforeAutospacing="0" w:after="0" w:afterAutospacing="0"/>
        <w:ind w:left="37" w:firstLineChars="253" w:firstLine="708"/>
        <w:jc w:val="both"/>
        <w:rPr>
          <w:rStyle w:val="normaltextrun"/>
          <w:sz w:val="28"/>
          <w:szCs w:val="28"/>
        </w:rPr>
      </w:pPr>
      <w:r w:rsidRPr="0053506D">
        <w:rPr>
          <w:sz w:val="28"/>
          <w:szCs w:val="28"/>
        </w:rPr>
        <w:t>- </w:t>
      </w:r>
      <w:r w:rsidR="007205DC" w:rsidRPr="00577593">
        <w:rPr>
          <w:rStyle w:val="normaltextrun"/>
          <w:sz w:val="28"/>
          <w:szCs w:val="28"/>
        </w:rPr>
        <w:t xml:space="preserve">Рост зависимости от государственного заказа и снижение конкурентоспособности других отраслей и других предприятий внутри отрасли, не обеспеченных госзаказом </w:t>
      </w:r>
    </w:p>
    <w:p w:rsidR="007205DC" w:rsidRPr="00577593" w:rsidRDefault="0053506D" w:rsidP="0053506D">
      <w:pPr>
        <w:pStyle w:val="paragraph"/>
        <w:tabs>
          <w:tab w:val="left" w:pos="993"/>
        </w:tabs>
        <w:spacing w:before="0" w:beforeAutospacing="0" w:after="0" w:afterAutospacing="0"/>
        <w:ind w:left="37" w:firstLineChars="253" w:firstLine="708"/>
        <w:jc w:val="both"/>
        <w:rPr>
          <w:rStyle w:val="normaltextrun"/>
          <w:sz w:val="28"/>
          <w:szCs w:val="28"/>
        </w:rPr>
      </w:pPr>
      <w:r w:rsidRPr="0053506D">
        <w:rPr>
          <w:sz w:val="28"/>
          <w:szCs w:val="28"/>
        </w:rPr>
        <w:t>- </w:t>
      </w:r>
      <w:r w:rsidR="007205DC" w:rsidRPr="00577593">
        <w:rPr>
          <w:rStyle w:val="normaltextrun"/>
          <w:sz w:val="28"/>
          <w:szCs w:val="28"/>
        </w:rPr>
        <w:t xml:space="preserve">Низкий уровень доходов населения по сравнению с другими сибирскими столичными городами </w:t>
      </w:r>
    </w:p>
    <w:p w:rsidR="007205DC" w:rsidRPr="00577593" w:rsidRDefault="0053506D" w:rsidP="0053506D">
      <w:pPr>
        <w:pStyle w:val="paragraph"/>
        <w:tabs>
          <w:tab w:val="left" w:pos="993"/>
        </w:tabs>
        <w:spacing w:before="0" w:beforeAutospacing="0" w:after="0" w:afterAutospacing="0"/>
        <w:ind w:left="37" w:firstLineChars="253" w:firstLine="708"/>
        <w:jc w:val="both"/>
        <w:rPr>
          <w:rStyle w:val="normaltextrun"/>
          <w:sz w:val="28"/>
          <w:szCs w:val="28"/>
        </w:rPr>
      </w:pPr>
      <w:r w:rsidRPr="0053506D">
        <w:rPr>
          <w:sz w:val="28"/>
          <w:szCs w:val="28"/>
        </w:rPr>
        <w:t>- </w:t>
      </w:r>
      <w:r w:rsidR="007205DC" w:rsidRPr="00577593">
        <w:rPr>
          <w:rStyle w:val="normaltextrun"/>
          <w:sz w:val="28"/>
          <w:szCs w:val="28"/>
        </w:rPr>
        <w:t xml:space="preserve">Отъезд абитуриентов и выпускников в другие регионы из-за более высокого качества образовательных услуг и возможностей </w:t>
      </w:r>
      <w:r w:rsidR="00D665FF" w:rsidRPr="00577593">
        <w:rPr>
          <w:rStyle w:val="normaltextrun"/>
          <w:sz w:val="28"/>
          <w:szCs w:val="28"/>
        </w:rPr>
        <w:br/>
      </w:r>
      <w:r w:rsidR="007205DC" w:rsidRPr="00577593">
        <w:rPr>
          <w:rStyle w:val="normaltextrun"/>
          <w:sz w:val="28"/>
          <w:szCs w:val="28"/>
        </w:rPr>
        <w:t xml:space="preserve">для самореализации </w:t>
      </w:r>
    </w:p>
    <w:p w:rsidR="007205DC" w:rsidRPr="00577593" w:rsidRDefault="0053506D" w:rsidP="0053506D">
      <w:pPr>
        <w:pStyle w:val="paragraph"/>
        <w:tabs>
          <w:tab w:val="left" w:pos="993"/>
        </w:tabs>
        <w:spacing w:before="0" w:beforeAutospacing="0" w:after="0" w:afterAutospacing="0"/>
        <w:ind w:left="37" w:firstLineChars="253" w:firstLine="708"/>
        <w:jc w:val="both"/>
        <w:rPr>
          <w:rStyle w:val="normaltextrun"/>
          <w:sz w:val="28"/>
          <w:szCs w:val="28"/>
        </w:rPr>
      </w:pPr>
      <w:r w:rsidRPr="0053506D">
        <w:rPr>
          <w:sz w:val="28"/>
          <w:szCs w:val="28"/>
        </w:rPr>
        <w:t>- </w:t>
      </w:r>
      <w:r w:rsidR="007205DC" w:rsidRPr="00577593">
        <w:rPr>
          <w:rStyle w:val="normaltextrun"/>
          <w:sz w:val="28"/>
          <w:szCs w:val="28"/>
        </w:rPr>
        <w:t xml:space="preserve">Сокращение рождаемости </w:t>
      </w:r>
    </w:p>
    <w:p w:rsidR="007205DC" w:rsidRPr="00577593" w:rsidRDefault="0053506D" w:rsidP="0053506D">
      <w:pPr>
        <w:pStyle w:val="paragraph"/>
        <w:tabs>
          <w:tab w:val="left" w:pos="993"/>
        </w:tabs>
        <w:spacing w:before="0" w:beforeAutospacing="0" w:after="0" w:afterAutospacing="0"/>
        <w:ind w:left="37" w:firstLineChars="253" w:firstLine="708"/>
        <w:jc w:val="both"/>
        <w:rPr>
          <w:rStyle w:val="normaltextrun"/>
          <w:sz w:val="28"/>
          <w:szCs w:val="28"/>
        </w:rPr>
      </w:pPr>
      <w:r w:rsidRPr="0053506D">
        <w:rPr>
          <w:sz w:val="28"/>
          <w:szCs w:val="28"/>
        </w:rPr>
        <w:t>- </w:t>
      </w:r>
      <w:r w:rsidR="007205DC" w:rsidRPr="00577593">
        <w:rPr>
          <w:rStyle w:val="normaltextrun"/>
          <w:sz w:val="28"/>
          <w:szCs w:val="28"/>
        </w:rPr>
        <w:t>Низкая привлекательность города для высококвалифицированных кадров</w:t>
      </w:r>
    </w:p>
    <w:p w:rsidR="007205DC" w:rsidRPr="00577593" w:rsidRDefault="0053506D" w:rsidP="0053506D">
      <w:pPr>
        <w:pStyle w:val="paragraph"/>
        <w:tabs>
          <w:tab w:val="left" w:pos="993"/>
        </w:tabs>
        <w:spacing w:before="0" w:beforeAutospacing="0" w:after="0" w:afterAutospacing="0"/>
        <w:ind w:left="37" w:firstLineChars="253" w:firstLine="708"/>
        <w:jc w:val="both"/>
        <w:rPr>
          <w:rStyle w:val="normaltextrun"/>
          <w:sz w:val="28"/>
          <w:szCs w:val="28"/>
        </w:rPr>
      </w:pPr>
      <w:r w:rsidRPr="0053506D">
        <w:rPr>
          <w:sz w:val="28"/>
          <w:szCs w:val="28"/>
        </w:rPr>
        <w:t>- </w:t>
      </w:r>
      <w:r w:rsidR="007205DC" w:rsidRPr="00577593">
        <w:rPr>
          <w:rStyle w:val="normaltextrun"/>
          <w:sz w:val="28"/>
          <w:szCs w:val="28"/>
        </w:rPr>
        <w:t xml:space="preserve">Дефицит кадров </w:t>
      </w:r>
    </w:p>
    <w:p w:rsidR="007205DC" w:rsidRPr="00577593" w:rsidRDefault="0053506D" w:rsidP="0053506D">
      <w:pPr>
        <w:pStyle w:val="paragraph"/>
        <w:tabs>
          <w:tab w:val="left" w:pos="993"/>
        </w:tabs>
        <w:spacing w:before="0" w:beforeAutospacing="0" w:after="0" w:afterAutospacing="0"/>
        <w:ind w:left="37" w:firstLineChars="253" w:firstLine="708"/>
        <w:jc w:val="both"/>
        <w:rPr>
          <w:rStyle w:val="normaltextrun"/>
          <w:sz w:val="28"/>
          <w:szCs w:val="28"/>
        </w:rPr>
      </w:pPr>
      <w:r w:rsidRPr="0053506D">
        <w:rPr>
          <w:sz w:val="28"/>
          <w:szCs w:val="28"/>
        </w:rPr>
        <w:t>- </w:t>
      </w:r>
      <w:r w:rsidR="007205DC" w:rsidRPr="00577593">
        <w:rPr>
          <w:rStyle w:val="normaltextrun"/>
          <w:sz w:val="28"/>
          <w:szCs w:val="28"/>
        </w:rPr>
        <w:t xml:space="preserve">Сокращение входящей международной миграции </w:t>
      </w:r>
    </w:p>
    <w:p w:rsidR="007205DC" w:rsidRPr="00577593" w:rsidRDefault="0053506D" w:rsidP="0053506D">
      <w:pPr>
        <w:pStyle w:val="paragraph"/>
        <w:tabs>
          <w:tab w:val="left" w:pos="993"/>
        </w:tabs>
        <w:spacing w:before="0" w:beforeAutospacing="0" w:after="0" w:afterAutospacing="0"/>
        <w:ind w:left="37" w:firstLineChars="253" w:firstLine="708"/>
        <w:jc w:val="both"/>
        <w:rPr>
          <w:rStyle w:val="normaltextrun"/>
          <w:sz w:val="28"/>
          <w:szCs w:val="28"/>
        </w:rPr>
      </w:pPr>
      <w:r w:rsidRPr="0053506D">
        <w:rPr>
          <w:sz w:val="28"/>
          <w:szCs w:val="28"/>
        </w:rPr>
        <w:t>- </w:t>
      </w:r>
      <w:r w:rsidR="007205DC" w:rsidRPr="00577593">
        <w:rPr>
          <w:rStyle w:val="normaltextrun"/>
          <w:sz w:val="28"/>
          <w:szCs w:val="28"/>
        </w:rPr>
        <w:t xml:space="preserve">Рост доли населения в старших возрастах и увеличение социальной нагрузки </w:t>
      </w:r>
    </w:p>
    <w:p w:rsidR="007205DC" w:rsidRPr="00577593" w:rsidRDefault="0053506D" w:rsidP="0053506D">
      <w:pPr>
        <w:pStyle w:val="paragraph"/>
        <w:tabs>
          <w:tab w:val="left" w:pos="993"/>
        </w:tabs>
        <w:spacing w:before="0" w:beforeAutospacing="0" w:after="0" w:afterAutospacing="0"/>
        <w:ind w:left="37" w:firstLineChars="253" w:firstLine="708"/>
        <w:jc w:val="both"/>
        <w:rPr>
          <w:rStyle w:val="normaltextrun"/>
          <w:sz w:val="28"/>
          <w:szCs w:val="28"/>
        </w:rPr>
      </w:pPr>
      <w:r w:rsidRPr="0053506D">
        <w:rPr>
          <w:sz w:val="28"/>
          <w:szCs w:val="28"/>
        </w:rPr>
        <w:t>- </w:t>
      </w:r>
      <w:r w:rsidR="007205DC" w:rsidRPr="00577593">
        <w:rPr>
          <w:rStyle w:val="normaltextrun"/>
          <w:sz w:val="28"/>
          <w:szCs w:val="28"/>
        </w:rPr>
        <w:t xml:space="preserve">Сокращение налоговой базы земельного налога и налога </w:t>
      </w:r>
      <w:r w:rsidR="00D665FF" w:rsidRPr="00577593">
        <w:rPr>
          <w:rStyle w:val="normaltextrun"/>
          <w:sz w:val="28"/>
          <w:szCs w:val="28"/>
        </w:rPr>
        <w:br/>
      </w:r>
      <w:r w:rsidR="007205DC" w:rsidRPr="00577593">
        <w:rPr>
          <w:rStyle w:val="normaltextrun"/>
          <w:sz w:val="28"/>
          <w:szCs w:val="28"/>
        </w:rPr>
        <w:t>на имущество физических лиц за счет оспаривания кадастровой стоимости недвижимости</w:t>
      </w:r>
    </w:p>
    <w:p w:rsidR="007205DC" w:rsidRPr="00577593" w:rsidRDefault="0053506D" w:rsidP="0053506D">
      <w:pPr>
        <w:pStyle w:val="paragraph"/>
        <w:tabs>
          <w:tab w:val="left" w:pos="993"/>
        </w:tabs>
        <w:spacing w:before="0" w:beforeAutospacing="0" w:after="0" w:afterAutospacing="0"/>
        <w:ind w:left="37" w:firstLineChars="253" w:firstLine="708"/>
        <w:jc w:val="both"/>
        <w:rPr>
          <w:rStyle w:val="normaltextrun"/>
          <w:sz w:val="28"/>
          <w:szCs w:val="28"/>
        </w:rPr>
      </w:pPr>
      <w:r w:rsidRPr="0053506D">
        <w:rPr>
          <w:sz w:val="28"/>
          <w:szCs w:val="28"/>
        </w:rPr>
        <w:t>- </w:t>
      </w:r>
      <w:r w:rsidR="007205DC" w:rsidRPr="00577593">
        <w:rPr>
          <w:rStyle w:val="normaltextrun"/>
          <w:sz w:val="28"/>
          <w:szCs w:val="28"/>
        </w:rPr>
        <w:t xml:space="preserve">Ограниченные земельные ресурсы для развития </w:t>
      </w:r>
    </w:p>
    <w:p w:rsidR="007205DC" w:rsidRPr="00577593" w:rsidRDefault="0053506D" w:rsidP="0053506D">
      <w:pPr>
        <w:pStyle w:val="paragraph"/>
        <w:tabs>
          <w:tab w:val="left" w:pos="993"/>
        </w:tabs>
        <w:spacing w:before="0" w:beforeAutospacing="0" w:after="0" w:afterAutospacing="0"/>
        <w:ind w:left="37" w:firstLineChars="253" w:firstLine="708"/>
        <w:jc w:val="both"/>
        <w:rPr>
          <w:rStyle w:val="normaltextrun"/>
          <w:sz w:val="28"/>
          <w:szCs w:val="28"/>
        </w:rPr>
      </w:pPr>
      <w:r w:rsidRPr="0053506D">
        <w:rPr>
          <w:sz w:val="28"/>
          <w:szCs w:val="28"/>
        </w:rPr>
        <w:t>- </w:t>
      </w:r>
      <w:r w:rsidR="007205DC" w:rsidRPr="00577593">
        <w:rPr>
          <w:rStyle w:val="normaltextrun"/>
          <w:sz w:val="28"/>
          <w:szCs w:val="28"/>
        </w:rPr>
        <w:t xml:space="preserve">Рыхлая городская застройка </w:t>
      </w:r>
    </w:p>
    <w:p w:rsidR="007205DC" w:rsidRPr="00577593" w:rsidRDefault="0053506D" w:rsidP="0053506D">
      <w:pPr>
        <w:pStyle w:val="paragraph"/>
        <w:tabs>
          <w:tab w:val="left" w:pos="993"/>
        </w:tabs>
        <w:spacing w:before="0" w:beforeAutospacing="0" w:after="0" w:afterAutospacing="0"/>
        <w:ind w:left="37" w:firstLineChars="253" w:firstLine="708"/>
        <w:jc w:val="both"/>
        <w:rPr>
          <w:rStyle w:val="normaltextrun"/>
          <w:sz w:val="28"/>
          <w:szCs w:val="28"/>
        </w:rPr>
      </w:pPr>
      <w:r w:rsidRPr="0053506D">
        <w:rPr>
          <w:sz w:val="28"/>
          <w:szCs w:val="28"/>
        </w:rPr>
        <w:t>- </w:t>
      </w:r>
      <w:r w:rsidR="007205DC" w:rsidRPr="00577593">
        <w:rPr>
          <w:rStyle w:val="normaltextrun"/>
          <w:sz w:val="28"/>
          <w:szCs w:val="28"/>
        </w:rPr>
        <w:t xml:space="preserve">Умеренное расползание городской застройки на окраинах города </w:t>
      </w:r>
      <w:r w:rsidR="007205DC" w:rsidRPr="00577593">
        <w:rPr>
          <w:rStyle w:val="normaltextrun"/>
          <w:sz w:val="28"/>
          <w:szCs w:val="28"/>
        </w:rPr>
        <w:br/>
        <w:t xml:space="preserve">за счет незастроенных и неосвоенных территорий в удалении от центра города  </w:t>
      </w:r>
    </w:p>
    <w:p w:rsidR="007205DC" w:rsidRPr="00577593" w:rsidRDefault="0053506D" w:rsidP="0053506D">
      <w:pPr>
        <w:pStyle w:val="paragraph"/>
        <w:tabs>
          <w:tab w:val="left" w:pos="993"/>
        </w:tabs>
        <w:spacing w:before="0" w:beforeAutospacing="0" w:after="0" w:afterAutospacing="0"/>
        <w:ind w:left="37" w:firstLineChars="253" w:firstLine="708"/>
        <w:jc w:val="both"/>
        <w:rPr>
          <w:rStyle w:val="normaltextrun"/>
          <w:sz w:val="28"/>
          <w:szCs w:val="28"/>
        </w:rPr>
      </w:pPr>
      <w:r w:rsidRPr="0053506D">
        <w:rPr>
          <w:sz w:val="28"/>
          <w:szCs w:val="28"/>
        </w:rPr>
        <w:t>- </w:t>
      </w:r>
      <w:r w:rsidR="007205DC" w:rsidRPr="00577593">
        <w:rPr>
          <w:rStyle w:val="normaltextrun"/>
          <w:sz w:val="28"/>
          <w:szCs w:val="28"/>
        </w:rPr>
        <w:t>Отставание развития инфраструктуры (социальной и транспортной) относительно жилищного строительства</w:t>
      </w:r>
    </w:p>
    <w:p w:rsidR="009C0E8E" w:rsidRPr="00577593" w:rsidRDefault="009C0E8E" w:rsidP="0053506D">
      <w:pPr>
        <w:tabs>
          <w:tab w:val="left" w:pos="567"/>
        </w:tabs>
        <w:spacing w:after="0" w:line="240" w:lineRule="auto"/>
        <w:ind w:firstLineChars="253" w:firstLine="711"/>
        <w:jc w:val="both"/>
        <w:rPr>
          <w:rFonts w:ascii="Times New Roman" w:eastAsia="Times New Roman" w:hAnsi="Times New Roman"/>
          <w:b/>
          <w:bCs/>
          <w:sz w:val="28"/>
          <w:szCs w:val="28"/>
        </w:rPr>
      </w:pPr>
    </w:p>
    <w:p w:rsidR="009C0E8E" w:rsidRPr="00577593" w:rsidRDefault="009C0E8E" w:rsidP="002000D4">
      <w:pPr>
        <w:spacing w:line="240" w:lineRule="auto"/>
        <w:jc w:val="both"/>
        <w:rPr>
          <w:rFonts w:ascii="Times New Roman" w:eastAsia="Times New Roman" w:hAnsi="Times New Roman"/>
          <w:b/>
          <w:bCs/>
          <w:sz w:val="28"/>
          <w:szCs w:val="28"/>
        </w:rPr>
      </w:pPr>
    </w:p>
    <w:p w:rsidR="009C0E8E" w:rsidRPr="00577593" w:rsidRDefault="009C0E8E" w:rsidP="002000D4">
      <w:pPr>
        <w:spacing w:line="240" w:lineRule="auto"/>
        <w:jc w:val="both"/>
        <w:rPr>
          <w:rFonts w:ascii="Times New Roman" w:eastAsia="Times New Roman" w:hAnsi="Times New Roman"/>
          <w:b/>
          <w:bCs/>
          <w:sz w:val="28"/>
          <w:szCs w:val="28"/>
        </w:rPr>
      </w:pPr>
    </w:p>
    <w:p w:rsidR="009C0E8E" w:rsidRPr="00577593" w:rsidRDefault="009C0E8E" w:rsidP="002000D4">
      <w:pPr>
        <w:spacing w:line="240" w:lineRule="auto"/>
        <w:jc w:val="both"/>
        <w:rPr>
          <w:rFonts w:ascii="Times New Roman" w:eastAsia="Times New Roman" w:hAnsi="Times New Roman"/>
          <w:b/>
          <w:bCs/>
          <w:sz w:val="28"/>
          <w:szCs w:val="28"/>
        </w:rPr>
      </w:pPr>
    </w:p>
    <w:p w:rsidR="009C0E8E" w:rsidRPr="00577593" w:rsidRDefault="009C0E8E" w:rsidP="002000D4">
      <w:pPr>
        <w:spacing w:line="240" w:lineRule="auto"/>
        <w:jc w:val="both"/>
        <w:rPr>
          <w:rFonts w:ascii="Times New Roman" w:eastAsia="Times New Roman" w:hAnsi="Times New Roman"/>
          <w:b/>
          <w:bCs/>
          <w:sz w:val="28"/>
          <w:szCs w:val="28"/>
        </w:rPr>
      </w:pPr>
    </w:p>
    <w:p w:rsidR="009C0E8E" w:rsidRPr="00577593" w:rsidRDefault="009C0E8E" w:rsidP="002000D4">
      <w:pPr>
        <w:spacing w:line="240" w:lineRule="auto"/>
        <w:jc w:val="both"/>
        <w:rPr>
          <w:rFonts w:ascii="Times New Roman" w:eastAsia="Times New Roman" w:hAnsi="Times New Roman"/>
          <w:b/>
          <w:bCs/>
          <w:sz w:val="28"/>
          <w:szCs w:val="28"/>
        </w:rPr>
      </w:pPr>
    </w:p>
    <w:p w:rsidR="009C0E8E" w:rsidRPr="00577593" w:rsidRDefault="009C0E8E" w:rsidP="002000D4">
      <w:pPr>
        <w:spacing w:line="240" w:lineRule="auto"/>
        <w:jc w:val="both"/>
        <w:rPr>
          <w:rFonts w:ascii="Times New Roman" w:eastAsia="Times New Roman" w:hAnsi="Times New Roman"/>
          <w:b/>
          <w:bCs/>
          <w:sz w:val="28"/>
          <w:szCs w:val="28"/>
        </w:rPr>
      </w:pPr>
    </w:p>
    <w:p w:rsidR="009C0E8E" w:rsidRPr="00577593" w:rsidRDefault="009C0E8E" w:rsidP="002000D4">
      <w:pPr>
        <w:spacing w:line="240" w:lineRule="auto"/>
        <w:jc w:val="both"/>
        <w:rPr>
          <w:rFonts w:ascii="Times New Roman" w:eastAsia="Times New Roman" w:hAnsi="Times New Roman"/>
          <w:b/>
          <w:bCs/>
          <w:sz w:val="28"/>
          <w:szCs w:val="28"/>
        </w:rPr>
      </w:pPr>
    </w:p>
    <w:p w:rsidR="009C0E8E" w:rsidRDefault="009C0E8E" w:rsidP="002000D4">
      <w:pPr>
        <w:spacing w:line="240" w:lineRule="auto"/>
        <w:jc w:val="both"/>
        <w:rPr>
          <w:rFonts w:ascii="Times New Roman" w:eastAsia="Times New Roman" w:hAnsi="Times New Roman"/>
          <w:b/>
          <w:bCs/>
          <w:sz w:val="28"/>
          <w:szCs w:val="28"/>
        </w:rPr>
      </w:pPr>
    </w:p>
    <w:p w:rsidR="007D492B" w:rsidRPr="00577593" w:rsidRDefault="007D492B" w:rsidP="002000D4">
      <w:pPr>
        <w:spacing w:line="240" w:lineRule="auto"/>
        <w:jc w:val="both"/>
        <w:rPr>
          <w:rFonts w:ascii="Times New Roman" w:eastAsia="Times New Roman" w:hAnsi="Times New Roman"/>
          <w:b/>
          <w:bCs/>
          <w:sz w:val="28"/>
          <w:szCs w:val="28"/>
        </w:rPr>
      </w:pPr>
    </w:p>
    <w:p w:rsidR="007205DC" w:rsidRPr="00577593" w:rsidRDefault="007205DC" w:rsidP="002000D4">
      <w:pPr>
        <w:spacing w:line="240" w:lineRule="auto"/>
        <w:jc w:val="both"/>
        <w:rPr>
          <w:rFonts w:ascii="Times New Roman" w:eastAsia="Times New Roman" w:hAnsi="Times New Roman"/>
          <w:b/>
          <w:bCs/>
          <w:sz w:val="28"/>
          <w:szCs w:val="28"/>
        </w:rPr>
      </w:pPr>
      <w:r w:rsidRPr="00577593">
        <w:rPr>
          <w:rFonts w:ascii="Times New Roman" w:eastAsia="Times New Roman" w:hAnsi="Times New Roman"/>
          <w:b/>
          <w:bCs/>
          <w:sz w:val="28"/>
          <w:szCs w:val="28"/>
          <w:lang w:val="en-US"/>
        </w:rPr>
        <w:lastRenderedPageBreak/>
        <w:t>O</w:t>
      </w:r>
      <w:r w:rsidRPr="00577593">
        <w:rPr>
          <w:rFonts w:ascii="Times New Roman" w:eastAsia="Times New Roman" w:hAnsi="Times New Roman"/>
          <w:b/>
          <w:bCs/>
          <w:sz w:val="28"/>
          <w:szCs w:val="28"/>
        </w:rPr>
        <w:t xml:space="preserve"> - возможности</w:t>
      </w:r>
    </w:p>
    <w:p w:rsidR="007205DC" w:rsidRPr="00577593" w:rsidRDefault="0053506D" w:rsidP="0053506D">
      <w:pPr>
        <w:pStyle w:val="paragraph"/>
        <w:tabs>
          <w:tab w:val="left" w:pos="993"/>
        </w:tabs>
        <w:spacing w:before="0" w:beforeAutospacing="0" w:after="0" w:afterAutospacing="0"/>
        <w:ind w:left="37" w:firstLine="672"/>
        <w:jc w:val="both"/>
        <w:rPr>
          <w:rStyle w:val="normaltextrun"/>
          <w:sz w:val="28"/>
          <w:szCs w:val="28"/>
        </w:rPr>
      </w:pPr>
      <w:r w:rsidRPr="0053506D">
        <w:rPr>
          <w:sz w:val="28"/>
          <w:szCs w:val="28"/>
        </w:rPr>
        <w:t>- </w:t>
      </w:r>
      <w:r w:rsidR="007205DC" w:rsidRPr="00577593">
        <w:rPr>
          <w:rStyle w:val="normaltextrun"/>
          <w:sz w:val="28"/>
          <w:szCs w:val="28"/>
        </w:rPr>
        <w:t xml:space="preserve">Формирование дополнительных отчислений в местный бюджет </w:t>
      </w:r>
      <w:r w:rsidR="00D665FF" w:rsidRPr="00577593">
        <w:rPr>
          <w:rStyle w:val="normaltextrun"/>
          <w:sz w:val="28"/>
          <w:szCs w:val="28"/>
        </w:rPr>
        <w:br/>
      </w:r>
      <w:r w:rsidR="007205DC" w:rsidRPr="00577593">
        <w:rPr>
          <w:rStyle w:val="normaltextrun"/>
          <w:sz w:val="28"/>
          <w:szCs w:val="28"/>
        </w:rPr>
        <w:t>с регионального уровня на основании высокой концентрации производств на территории города Барнаул и увеличения доли населения, проживающего в</w:t>
      </w:r>
      <w:r w:rsidR="00E959B6">
        <w:rPr>
          <w:rStyle w:val="normaltextrun"/>
          <w:sz w:val="28"/>
          <w:szCs w:val="28"/>
        </w:rPr>
        <w:t xml:space="preserve"> городе </w:t>
      </w:r>
      <w:r w:rsidR="007205DC" w:rsidRPr="00577593">
        <w:rPr>
          <w:rStyle w:val="normaltextrun"/>
          <w:sz w:val="28"/>
          <w:szCs w:val="28"/>
        </w:rPr>
        <w:t>Барнауле </w:t>
      </w:r>
    </w:p>
    <w:p w:rsidR="007205DC" w:rsidRPr="00577593" w:rsidRDefault="0053506D" w:rsidP="0053506D">
      <w:pPr>
        <w:pStyle w:val="paragraph"/>
        <w:tabs>
          <w:tab w:val="left" w:pos="993"/>
        </w:tabs>
        <w:spacing w:before="0" w:beforeAutospacing="0" w:after="0" w:afterAutospacing="0"/>
        <w:ind w:left="37" w:firstLine="672"/>
        <w:jc w:val="both"/>
        <w:rPr>
          <w:rStyle w:val="normaltextrun"/>
          <w:sz w:val="28"/>
          <w:szCs w:val="28"/>
        </w:rPr>
      </w:pPr>
      <w:r w:rsidRPr="0053506D">
        <w:rPr>
          <w:sz w:val="28"/>
          <w:szCs w:val="28"/>
        </w:rPr>
        <w:t>- </w:t>
      </w:r>
      <w:r w:rsidR="007205DC" w:rsidRPr="00577593">
        <w:rPr>
          <w:rStyle w:val="normaltextrun"/>
          <w:sz w:val="28"/>
          <w:szCs w:val="28"/>
        </w:rPr>
        <w:t>Уплотнение городской ткани за счет работы с механизмами КРТ </w:t>
      </w:r>
    </w:p>
    <w:p w:rsidR="007205DC" w:rsidRPr="00577593" w:rsidRDefault="0053506D" w:rsidP="0053506D">
      <w:pPr>
        <w:pStyle w:val="paragraph"/>
        <w:tabs>
          <w:tab w:val="left" w:pos="993"/>
        </w:tabs>
        <w:spacing w:before="0" w:beforeAutospacing="0" w:after="0" w:afterAutospacing="0"/>
        <w:ind w:left="37" w:firstLine="672"/>
        <w:jc w:val="both"/>
        <w:rPr>
          <w:rStyle w:val="normaltextrun"/>
          <w:sz w:val="28"/>
          <w:szCs w:val="28"/>
        </w:rPr>
      </w:pPr>
      <w:r w:rsidRPr="0053506D">
        <w:rPr>
          <w:sz w:val="28"/>
          <w:szCs w:val="28"/>
        </w:rPr>
        <w:t>- </w:t>
      </w:r>
      <w:r w:rsidR="007205DC" w:rsidRPr="00577593">
        <w:rPr>
          <w:rStyle w:val="normaltextrun"/>
          <w:sz w:val="28"/>
          <w:szCs w:val="28"/>
        </w:rPr>
        <w:t xml:space="preserve">Увеличение потока медицинского и оздоровительного туризма </w:t>
      </w:r>
      <w:r w:rsidR="00D665FF" w:rsidRPr="00577593">
        <w:rPr>
          <w:rStyle w:val="normaltextrun"/>
          <w:sz w:val="28"/>
          <w:szCs w:val="28"/>
        </w:rPr>
        <w:br/>
      </w:r>
      <w:r w:rsidR="007205DC" w:rsidRPr="00577593">
        <w:rPr>
          <w:rStyle w:val="normaltextrun"/>
          <w:sz w:val="28"/>
          <w:szCs w:val="28"/>
        </w:rPr>
        <w:t>за счет роста численности населения азиатских стран и внутрироссийского спроса </w:t>
      </w:r>
    </w:p>
    <w:p w:rsidR="007205DC" w:rsidRPr="00577593" w:rsidRDefault="0053506D" w:rsidP="0053506D">
      <w:pPr>
        <w:pStyle w:val="paragraph"/>
        <w:tabs>
          <w:tab w:val="left" w:pos="993"/>
        </w:tabs>
        <w:spacing w:before="0" w:beforeAutospacing="0" w:after="0" w:afterAutospacing="0"/>
        <w:ind w:left="37" w:firstLine="672"/>
        <w:jc w:val="both"/>
        <w:rPr>
          <w:rStyle w:val="normaltextrun"/>
          <w:sz w:val="28"/>
          <w:szCs w:val="28"/>
        </w:rPr>
      </w:pPr>
      <w:r w:rsidRPr="0053506D">
        <w:rPr>
          <w:sz w:val="28"/>
          <w:szCs w:val="28"/>
        </w:rPr>
        <w:t>- </w:t>
      </w:r>
      <w:r w:rsidR="007205DC" w:rsidRPr="00577593">
        <w:rPr>
          <w:rStyle w:val="normaltextrun"/>
          <w:sz w:val="28"/>
          <w:szCs w:val="28"/>
        </w:rPr>
        <w:t>Развитие делового туризма, в том числе за счет создания необходимой инфраструктуры (конгрессно-выставочного центра, качественных мест размещения) </w:t>
      </w:r>
    </w:p>
    <w:p w:rsidR="00D665FF" w:rsidRPr="00577593" w:rsidRDefault="0053506D" w:rsidP="0053506D">
      <w:pPr>
        <w:pStyle w:val="paragraph"/>
        <w:tabs>
          <w:tab w:val="left" w:pos="993"/>
        </w:tabs>
        <w:spacing w:before="0" w:beforeAutospacing="0" w:after="0" w:afterAutospacing="0"/>
        <w:ind w:left="37" w:firstLine="672"/>
        <w:jc w:val="both"/>
        <w:rPr>
          <w:rStyle w:val="normaltextrun"/>
          <w:sz w:val="28"/>
          <w:szCs w:val="28"/>
        </w:rPr>
      </w:pPr>
      <w:r w:rsidRPr="0053506D">
        <w:rPr>
          <w:sz w:val="28"/>
          <w:szCs w:val="28"/>
        </w:rPr>
        <w:t>- </w:t>
      </w:r>
      <w:r w:rsidR="007205DC" w:rsidRPr="00577593">
        <w:rPr>
          <w:rStyle w:val="normaltextrun"/>
          <w:sz w:val="28"/>
          <w:szCs w:val="28"/>
        </w:rPr>
        <w:t>Развитие креативных индустрий, в том числе за счет развития современных обустроенных пространств, которые могут стать новыми центрами притяжения на территории города, например, за счет реконструкции зданий бывших заводов, объектов культурного наследия </w:t>
      </w:r>
    </w:p>
    <w:p w:rsidR="007205DC" w:rsidRPr="00577593" w:rsidRDefault="0053506D" w:rsidP="0053506D">
      <w:pPr>
        <w:pStyle w:val="paragraph"/>
        <w:tabs>
          <w:tab w:val="left" w:pos="993"/>
        </w:tabs>
        <w:spacing w:before="0" w:beforeAutospacing="0" w:after="0" w:afterAutospacing="0"/>
        <w:ind w:left="37" w:firstLine="672"/>
        <w:jc w:val="both"/>
        <w:rPr>
          <w:rStyle w:val="normaltextrun"/>
          <w:sz w:val="28"/>
          <w:szCs w:val="28"/>
        </w:rPr>
      </w:pPr>
      <w:r w:rsidRPr="0053506D">
        <w:rPr>
          <w:sz w:val="28"/>
          <w:szCs w:val="28"/>
        </w:rPr>
        <w:t>- </w:t>
      </w:r>
      <w:r w:rsidR="007205DC" w:rsidRPr="00577593">
        <w:rPr>
          <w:rStyle w:val="normaltextrun"/>
          <w:sz w:val="28"/>
          <w:szCs w:val="28"/>
        </w:rPr>
        <w:t>Строительство экопарка по утилизации отходов </w:t>
      </w:r>
    </w:p>
    <w:p w:rsidR="007205DC" w:rsidRPr="00577593" w:rsidRDefault="007205DC" w:rsidP="0053506D">
      <w:pPr>
        <w:pStyle w:val="paragraph"/>
        <w:tabs>
          <w:tab w:val="left" w:pos="993"/>
        </w:tabs>
        <w:spacing w:before="0" w:beforeAutospacing="0" w:after="0" w:afterAutospacing="0"/>
        <w:ind w:left="37" w:firstLine="672"/>
        <w:jc w:val="both"/>
        <w:rPr>
          <w:rStyle w:val="normaltextrun"/>
          <w:sz w:val="28"/>
          <w:szCs w:val="28"/>
        </w:rPr>
      </w:pPr>
    </w:p>
    <w:p w:rsidR="007205DC" w:rsidRPr="00577593" w:rsidRDefault="007205DC" w:rsidP="0053506D">
      <w:pPr>
        <w:pStyle w:val="paragraph"/>
        <w:tabs>
          <w:tab w:val="left" w:pos="993"/>
        </w:tabs>
        <w:spacing w:before="0" w:beforeAutospacing="0" w:after="0" w:afterAutospacing="0"/>
        <w:ind w:left="37" w:firstLine="672"/>
        <w:jc w:val="both"/>
        <w:rPr>
          <w:rStyle w:val="normaltextrun"/>
          <w:sz w:val="28"/>
          <w:szCs w:val="28"/>
        </w:rPr>
      </w:pPr>
    </w:p>
    <w:p w:rsidR="007205DC" w:rsidRPr="00577593" w:rsidRDefault="007205DC" w:rsidP="002000D4">
      <w:pPr>
        <w:spacing w:line="240" w:lineRule="auto"/>
        <w:jc w:val="both"/>
        <w:rPr>
          <w:rStyle w:val="normaltextrun"/>
          <w:rFonts w:ascii="Times New Roman" w:hAnsi="Times New Roman"/>
          <w:sz w:val="28"/>
          <w:szCs w:val="28"/>
        </w:rPr>
      </w:pPr>
    </w:p>
    <w:p w:rsidR="007205DC" w:rsidRPr="00577593" w:rsidRDefault="007205DC" w:rsidP="002000D4">
      <w:pPr>
        <w:spacing w:line="240" w:lineRule="auto"/>
        <w:jc w:val="both"/>
        <w:rPr>
          <w:rStyle w:val="normaltextrun"/>
          <w:rFonts w:ascii="Times New Roman" w:hAnsi="Times New Roman"/>
          <w:sz w:val="28"/>
          <w:szCs w:val="28"/>
        </w:rPr>
      </w:pPr>
    </w:p>
    <w:p w:rsidR="007205DC" w:rsidRPr="00577593" w:rsidRDefault="007205DC" w:rsidP="002000D4">
      <w:pPr>
        <w:spacing w:line="240" w:lineRule="auto"/>
        <w:jc w:val="both"/>
        <w:rPr>
          <w:rStyle w:val="normaltextrun"/>
          <w:rFonts w:ascii="Times New Roman" w:hAnsi="Times New Roman"/>
          <w:sz w:val="28"/>
          <w:szCs w:val="28"/>
        </w:rPr>
      </w:pPr>
    </w:p>
    <w:p w:rsidR="007205DC" w:rsidRPr="00577593" w:rsidRDefault="007205DC" w:rsidP="002000D4">
      <w:pPr>
        <w:spacing w:line="240" w:lineRule="auto"/>
        <w:jc w:val="both"/>
        <w:rPr>
          <w:rStyle w:val="normaltextrun"/>
          <w:rFonts w:ascii="Times New Roman" w:hAnsi="Times New Roman"/>
          <w:sz w:val="28"/>
          <w:szCs w:val="28"/>
        </w:rPr>
      </w:pPr>
    </w:p>
    <w:p w:rsidR="009C0E8E" w:rsidRPr="00577593" w:rsidRDefault="009C0E8E" w:rsidP="002000D4">
      <w:pPr>
        <w:spacing w:line="240" w:lineRule="auto"/>
        <w:jc w:val="both"/>
        <w:rPr>
          <w:rStyle w:val="normaltextrun"/>
          <w:rFonts w:ascii="Times New Roman" w:hAnsi="Times New Roman"/>
          <w:sz w:val="28"/>
          <w:szCs w:val="28"/>
        </w:rPr>
      </w:pPr>
    </w:p>
    <w:p w:rsidR="009C0E8E" w:rsidRPr="00577593" w:rsidRDefault="009C0E8E" w:rsidP="002000D4">
      <w:pPr>
        <w:spacing w:line="240" w:lineRule="auto"/>
        <w:jc w:val="both"/>
        <w:rPr>
          <w:rStyle w:val="normaltextrun"/>
          <w:rFonts w:ascii="Times New Roman" w:hAnsi="Times New Roman"/>
          <w:sz w:val="28"/>
          <w:szCs w:val="28"/>
        </w:rPr>
      </w:pPr>
    </w:p>
    <w:p w:rsidR="009C0E8E" w:rsidRPr="00577593" w:rsidRDefault="009C0E8E" w:rsidP="002000D4">
      <w:pPr>
        <w:spacing w:line="240" w:lineRule="auto"/>
        <w:jc w:val="both"/>
        <w:rPr>
          <w:rStyle w:val="normaltextrun"/>
          <w:rFonts w:ascii="Times New Roman" w:hAnsi="Times New Roman"/>
          <w:sz w:val="28"/>
          <w:szCs w:val="28"/>
        </w:rPr>
      </w:pPr>
    </w:p>
    <w:p w:rsidR="009C0E8E" w:rsidRPr="00577593" w:rsidRDefault="009C0E8E" w:rsidP="002000D4">
      <w:pPr>
        <w:spacing w:line="240" w:lineRule="auto"/>
        <w:jc w:val="both"/>
        <w:rPr>
          <w:rStyle w:val="normaltextrun"/>
          <w:rFonts w:ascii="Times New Roman" w:hAnsi="Times New Roman"/>
          <w:sz w:val="28"/>
          <w:szCs w:val="28"/>
        </w:rPr>
      </w:pPr>
    </w:p>
    <w:p w:rsidR="009C0E8E" w:rsidRPr="00577593" w:rsidRDefault="009C0E8E" w:rsidP="002000D4">
      <w:pPr>
        <w:spacing w:line="240" w:lineRule="auto"/>
        <w:jc w:val="both"/>
        <w:rPr>
          <w:rStyle w:val="normaltextrun"/>
          <w:rFonts w:ascii="Times New Roman" w:hAnsi="Times New Roman"/>
          <w:sz w:val="28"/>
          <w:szCs w:val="28"/>
        </w:rPr>
      </w:pPr>
    </w:p>
    <w:p w:rsidR="009C0E8E" w:rsidRPr="00577593" w:rsidRDefault="009C0E8E" w:rsidP="002000D4">
      <w:pPr>
        <w:spacing w:line="240" w:lineRule="auto"/>
        <w:jc w:val="both"/>
        <w:rPr>
          <w:rStyle w:val="normaltextrun"/>
          <w:rFonts w:ascii="Times New Roman" w:hAnsi="Times New Roman"/>
          <w:sz w:val="28"/>
          <w:szCs w:val="28"/>
        </w:rPr>
      </w:pPr>
    </w:p>
    <w:p w:rsidR="007205DC" w:rsidRPr="00577593" w:rsidRDefault="007205DC" w:rsidP="002000D4">
      <w:pPr>
        <w:spacing w:line="240" w:lineRule="auto"/>
        <w:jc w:val="both"/>
        <w:rPr>
          <w:rStyle w:val="normaltextrun"/>
          <w:rFonts w:ascii="Times New Roman" w:hAnsi="Times New Roman"/>
          <w:sz w:val="28"/>
          <w:szCs w:val="28"/>
        </w:rPr>
      </w:pPr>
    </w:p>
    <w:p w:rsidR="007205DC" w:rsidRDefault="007205DC" w:rsidP="002000D4">
      <w:pPr>
        <w:spacing w:line="240" w:lineRule="auto"/>
        <w:jc w:val="both"/>
        <w:rPr>
          <w:rStyle w:val="normaltextrun"/>
          <w:rFonts w:ascii="Times New Roman" w:hAnsi="Times New Roman"/>
          <w:sz w:val="28"/>
          <w:szCs w:val="28"/>
        </w:rPr>
      </w:pPr>
    </w:p>
    <w:p w:rsidR="007D492B" w:rsidRDefault="007D492B" w:rsidP="002000D4">
      <w:pPr>
        <w:spacing w:line="240" w:lineRule="auto"/>
        <w:jc w:val="both"/>
        <w:rPr>
          <w:rStyle w:val="normaltextrun"/>
          <w:rFonts w:ascii="Times New Roman" w:hAnsi="Times New Roman"/>
          <w:sz w:val="28"/>
          <w:szCs w:val="28"/>
        </w:rPr>
      </w:pPr>
    </w:p>
    <w:p w:rsidR="0053506D" w:rsidRPr="00577593" w:rsidRDefault="0053506D" w:rsidP="002000D4">
      <w:pPr>
        <w:spacing w:line="240" w:lineRule="auto"/>
        <w:jc w:val="both"/>
        <w:rPr>
          <w:rStyle w:val="normaltextrun"/>
          <w:rFonts w:ascii="Times New Roman" w:hAnsi="Times New Roman"/>
          <w:sz w:val="28"/>
          <w:szCs w:val="28"/>
        </w:rPr>
      </w:pPr>
    </w:p>
    <w:p w:rsidR="007205DC" w:rsidRPr="00577593" w:rsidRDefault="007205DC" w:rsidP="002000D4">
      <w:pPr>
        <w:spacing w:line="240" w:lineRule="auto"/>
        <w:jc w:val="both"/>
        <w:rPr>
          <w:rStyle w:val="normaltextrun"/>
          <w:rFonts w:ascii="Times New Roman" w:hAnsi="Times New Roman"/>
          <w:sz w:val="28"/>
          <w:szCs w:val="28"/>
        </w:rPr>
      </w:pPr>
    </w:p>
    <w:p w:rsidR="007205DC" w:rsidRPr="00577593" w:rsidRDefault="007205DC" w:rsidP="002000D4">
      <w:pPr>
        <w:spacing w:line="240" w:lineRule="auto"/>
        <w:jc w:val="both"/>
        <w:rPr>
          <w:rStyle w:val="normaltextrun"/>
          <w:rFonts w:ascii="Times New Roman" w:hAnsi="Times New Roman"/>
          <w:sz w:val="28"/>
          <w:szCs w:val="28"/>
        </w:rPr>
      </w:pPr>
    </w:p>
    <w:p w:rsidR="007205DC" w:rsidRPr="00577593" w:rsidRDefault="007205DC" w:rsidP="002000D4">
      <w:pPr>
        <w:spacing w:line="240" w:lineRule="auto"/>
        <w:jc w:val="both"/>
        <w:rPr>
          <w:rStyle w:val="normaltextrun"/>
          <w:rFonts w:ascii="Times New Roman" w:hAnsi="Times New Roman"/>
          <w:b/>
          <w:sz w:val="28"/>
          <w:szCs w:val="28"/>
        </w:rPr>
      </w:pPr>
      <w:r w:rsidRPr="00577593">
        <w:rPr>
          <w:rStyle w:val="normaltextrun"/>
          <w:rFonts w:ascii="Times New Roman" w:hAnsi="Times New Roman"/>
          <w:b/>
          <w:sz w:val="28"/>
          <w:szCs w:val="28"/>
          <w:lang w:val="en-US"/>
        </w:rPr>
        <w:lastRenderedPageBreak/>
        <w:t>T</w:t>
      </w:r>
      <w:r w:rsidRPr="00577593">
        <w:rPr>
          <w:rStyle w:val="normaltextrun"/>
          <w:rFonts w:ascii="Times New Roman" w:hAnsi="Times New Roman"/>
          <w:b/>
          <w:sz w:val="28"/>
          <w:szCs w:val="28"/>
        </w:rPr>
        <w:t xml:space="preserve"> - угрозы</w:t>
      </w:r>
    </w:p>
    <w:p w:rsidR="007205DC" w:rsidRPr="00577593" w:rsidRDefault="0053506D" w:rsidP="0053506D">
      <w:pPr>
        <w:pStyle w:val="paragraph"/>
        <w:tabs>
          <w:tab w:val="left" w:pos="993"/>
        </w:tabs>
        <w:spacing w:before="0" w:beforeAutospacing="0" w:after="0" w:afterAutospacing="0"/>
        <w:ind w:left="37" w:firstLine="672"/>
        <w:jc w:val="both"/>
        <w:rPr>
          <w:rStyle w:val="normaltextrun"/>
          <w:sz w:val="28"/>
          <w:szCs w:val="28"/>
        </w:rPr>
      </w:pPr>
      <w:r w:rsidRPr="0053506D">
        <w:rPr>
          <w:sz w:val="28"/>
          <w:szCs w:val="28"/>
        </w:rPr>
        <w:t>- </w:t>
      </w:r>
      <w:r w:rsidR="007205DC" w:rsidRPr="00577593">
        <w:rPr>
          <w:rStyle w:val="normaltextrun"/>
          <w:sz w:val="28"/>
          <w:szCs w:val="28"/>
        </w:rPr>
        <w:t xml:space="preserve">Снижение государственного заказа и высвобождение кадров </w:t>
      </w:r>
      <w:r w:rsidR="00D665FF" w:rsidRPr="00577593">
        <w:rPr>
          <w:rStyle w:val="normaltextrun"/>
          <w:sz w:val="28"/>
          <w:szCs w:val="28"/>
        </w:rPr>
        <w:br/>
      </w:r>
      <w:r w:rsidR="007205DC" w:rsidRPr="00577593">
        <w:rPr>
          <w:rStyle w:val="normaltextrun"/>
          <w:sz w:val="28"/>
          <w:szCs w:val="28"/>
        </w:rPr>
        <w:t>со снижением уровня зарплат </w:t>
      </w:r>
    </w:p>
    <w:p w:rsidR="007205DC" w:rsidRPr="00577593" w:rsidRDefault="0053506D" w:rsidP="0053506D">
      <w:pPr>
        <w:pStyle w:val="paragraph"/>
        <w:tabs>
          <w:tab w:val="left" w:pos="993"/>
        </w:tabs>
        <w:spacing w:before="0" w:beforeAutospacing="0" w:after="0" w:afterAutospacing="0"/>
        <w:ind w:left="37" w:firstLine="672"/>
        <w:jc w:val="both"/>
        <w:rPr>
          <w:rStyle w:val="normaltextrun"/>
          <w:sz w:val="28"/>
          <w:szCs w:val="28"/>
        </w:rPr>
      </w:pPr>
      <w:r w:rsidRPr="0053506D">
        <w:rPr>
          <w:sz w:val="28"/>
          <w:szCs w:val="28"/>
        </w:rPr>
        <w:t>- </w:t>
      </w:r>
      <w:r w:rsidR="007205DC" w:rsidRPr="00577593">
        <w:rPr>
          <w:rStyle w:val="normaltextrun"/>
          <w:sz w:val="28"/>
          <w:szCs w:val="28"/>
        </w:rPr>
        <w:t xml:space="preserve">Невозможность реализации крупных инфраструктурных проектов без федеральных инвестиций </w:t>
      </w:r>
    </w:p>
    <w:p w:rsidR="007205DC" w:rsidRPr="00577593" w:rsidRDefault="0053506D" w:rsidP="0053506D">
      <w:pPr>
        <w:pStyle w:val="paragraph"/>
        <w:tabs>
          <w:tab w:val="left" w:pos="993"/>
        </w:tabs>
        <w:spacing w:before="0" w:beforeAutospacing="0" w:after="0" w:afterAutospacing="0"/>
        <w:ind w:left="37" w:firstLine="672"/>
        <w:jc w:val="both"/>
        <w:rPr>
          <w:rStyle w:val="normaltextrun"/>
          <w:sz w:val="28"/>
          <w:szCs w:val="28"/>
        </w:rPr>
      </w:pPr>
      <w:r w:rsidRPr="0053506D">
        <w:rPr>
          <w:sz w:val="28"/>
          <w:szCs w:val="28"/>
        </w:rPr>
        <w:t>- </w:t>
      </w:r>
      <w:r w:rsidR="007205DC" w:rsidRPr="00577593">
        <w:rPr>
          <w:rStyle w:val="normaltextrun"/>
          <w:sz w:val="28"/>
          <w:szCs w:val="28"/>
        </w:rPr>
        <w:t>Сокращение бюджетного финансирования социальной сферы из-за уменьшения численности населения Алтайского края </w:t>
      </w:r>
    </w:p>
    <w:p w:rsidR="007205DC" w:rsidRPr="00577593" w:rsidRDefault="0053506D" w:rsidP="0053506D">
      <w:pPr>
        <w:pStyle w:val="paragraph"/>
        <w:tabs>
          <w:tab w:val="left" w:pos="993"/>
        </w:tabs>
        <w:spacing w:before="0" w:beforeAutospacing="0" w:after="0" w:afterAutospacing="0"/>
        <w:ind w:left="37" w:firstLine="672"/>
        <w:jc w:val="both"/>
        <w:rPr>
          <w:rStyle w:val="normaltextrun"/>
          <w:sz w:val="28"/>
          <w:szCs w:val="28"/>
        </w:rPr>
      </w:pPr>
      <w:r w:rsidRPr="0053506D">
        <w:rPr>
          <w:sz w:val="28"/>
          <w:szCs w:val="28"/>
        </w:rPr>
        <w:t>- </w:t>
      </w:r>
      <w:r w:rsidR="007205DC" w:rsidRPr="00577593">
        <w:rPr>
          <w:rStyle w:val="normaltextrun"/>
          <w:sz w:val="28"/>
          <w:szCs w:val="28"/>
        </w:rPr>
        <w:t>Снижение объемов софинансирования и субсидий со стороны Алтайского края на развитие муниципальной экономики </w:t>
      </w:r>
    </w:p>
    <w:p w:rsidR="007205DC" w:rsidRPr="00577593" w:rsidRDefault="0053506D" w:rsidP="0053506D">
      <w:pPr>
        <w:pStyle w:val="paragraph"/>
        <w:tabs>
          <w:tab w:val="left" w:pos="993"/>
        </w:tabs>
        <w:spacing w:before="0" w:beforeAutospacing="0" w:after="0" w:afterAutospacing="0"/>
        <w:ind w:left="37" w:firstLine="672"/>
        <w:jc w:val="both"/>
        <w:rPr>
          <w:rStyle w:val="normaltextrun"/>
          <w:sz w:val="28"/>
          <w:szCs w:val="28"/>
        </w:rPr>
      </w:pPr>
      <w:r w:rsidRPr="0053506D">
        <w:rPr>
          <w:sz w:val="28"/>
          <w:szCs w:val="28"/>
        </w:rPr>
        <w:t>- </w:t>
      </w:r>
      <w:r w:rsidR="007205DC" w:rsidRPr="00577593">
        <w:rPr>
          <w:rStyle w:val="normaltextrun"/>
          <w:sz w:val="28"/>
          <w:szCs w:val="28"/>
        </w:rPr>
        <w:t>Исчерпание базы внутрирегиональной входящей миграции </w:t>
      </w:r>
    </w:p>
    <w:p w:rsidR="007205DC" w:rsidRPr="00577593" w:rsidRDefault="0053506D" w:rsidP="0053506D">
      <w:pPr>
        <w:pStyle w:val="paragraph"/>
        <w:tabs>
          <w:tab w:val="left" w:pos="993"/>
        </w:tabs>
        <w:spacing w:before="0" w:beforeAutospacing="0" w:after="0" w:afterAutospacing="0"/>
        <w:ind w:left="37" w:firstLine="672"/>
        <w:jc w:val="both"/>
        <w:rPr>
          <w:rStyle w:val="normaltextrun"/>
          <w:sz w:val="28"/>
          <w:szCs w:val="28"/>
        </w:rPr>
      </w:pPr>
      <w:r w:rsidRPr="0053506D">
        <w:rPr>
          <w:sz w:val="28"/>
          <w:szCs w:val="28"/>
        </w:rPr>
        <w:t>- </w:t>
      </w:r>
      <w:r w:rsidR="007205DC" w:rsidRPr="00577593">
        <w:rPr>
          <w:rStyle w:val="normaltextrun"/>
          <w:sz w:val="28"/>
          <w:szCs w:val="28"/>
        </w:rPr>
        <w:t>Снижение объемов строительства нового жилья на фоне макроэкономической нестабильности в стране </w:t>
      </w:r>
    </w:p>
    <w:p w:rsidR="007205DC" w:rsidRPr="0053506D" w:rsidRDefault="0053506D" w:rsidP="0053506D">
      <w:pPr>
        <w:pStyle w:val="paragraph"/>
        <w:tabs>
          <w:tab w:val="left" w:pos="993"/>
        </w:tabs>
        <w:spacing w:before="0" w:beforeAutospacing="0" w:after="0" w:afterAutospacing="0"/>
        <w:ind w:left="37" w:firstLine="672"/>
        <w:jc w:val="both"/>
        <w:rPr>
          <w:rStyle w:val="normaltextrun"/>
        </w:rPr>
      </w:pPr>
      <w:r w:rsidRPr="0053506D">
        <w:rPr>
          <w:sz w:val="28"/>
          <w:szCs w:val="28"/>
        </w:rPr>
        <w:t>- </w:t>
      </w:r>
      <w:r w:rsidR="007205DC" w:rsidRPr="00577593">
        <w:rPr>
          <w:rStyle w:val="normaltextrun"/>
          <w:sz w:val="28"/>
          <w:szCs w:val="28"/>
        </w:rPr>
        <w:t>Потеря статуса точки входа в Республику Алтай </w:t>
      </w:r>
    </w:p>
    <w:p w:rsidR="00FC41F4" w:rsidRPr="00577593" w:rsidRDefault="00FC41F4" w:rsidP="002000D4">
      <w:pPr>
        <w:spacing w:line="240" w:lineRule="auto"/>
        <w:jc w:val="both"/>
        <w:rPr>
          <w:rFonts w:ascii="Times New Roman" w:hAnsi="Times New Roman"/>
          <w:sz w:val="28"/>
          <w:szCs w:val="28"/>
        </w:rPr>
      </w:pPr>
    </w:p>
    <w:p w:rsidR="00FC41F4" w:rsidRPr="00577593" w:rsidRDefault="008925FA" w:rsidP="002000D4">
      <w:pPr>
        <w:spacing w:line="240" w:lineRule="auto"/>
        <w:ind w:firstLine="709"/>
        <w:jc w:val="both"/>
        <w:rPr>
          <w:rFonts w:ascii="Times New Roman" w:eastAsia="Times New Roman" w:hAnsi="Times New Roman"/>
          <w:b/>
          <w:bCs/>
          <w:sz w:val="28"/>
          <w:szCs w:val="28"/>
        </w:rPr>
      </w:pPr>
      <w:r w:rsidRPr="00577593">
        <w:rPr>
          <w:rFonts w:ascii="Times New Roman" w:eastAsia="Times New Roman" w:hAnsi="Times New Roman"/>
          <w:sz w:val="28"/>
          <w:szCs w:val="28"/>
        </w:rPr>
        <w:br w:type="page" w:clear="all"/>
      </w:r>
      <w:bookmarkStart w:id="215" w:name="_Toc212804288"/>
      <w:r w:rsidRPr="00577593">
        <w:rPr>
          <w:rFonts w:ascii="Times New Roman" w:eastAsia="Times New Roman" w:hAnsi="Times New Roman"/>
          <w:b/>
          <w:sz w:val="28"/>
          <w:szCs w:val="28"/>
        </w:rPr>
        <w:lastRenderedPageBreak/>
        <w:t>6</w:t>
      </w:r>
      <w:r w:rsidR="0053506D">
        <w:rPr>
          <w:rFonts w:ascii="Times New Roman" w:eastAsia="Times New Roman" w:hAnsi="Times New Roman"/>
          <w:b/>
          <w:sz w:val="28"/>
          <w:szCs w:val="28"/>
        </w:rPr>
        <w:t>.</w:t>
      </w:r>
      <w:r w:rsidRPr="00577593">
        <w:rPr>
          <w:rFonts w:ascii="Times New Roman" w:eastAsia="Times New Roman" w:hAnsi="Times New Roman"/>
          <w:b/>
          <w:sz w:val="28"/>
          <w:szCs w:val="28"/>
        </w:rPr>
        <w:t xml:space="preserve"> Прогнозные сценарии социально-экономического развития города</w:t>
      </w:r>
      <w:bookmarkEnd w:id="215"/>
    </w:p>
    <w:p w:rsidR="00FC41F4" w:rsidRPr="00577593" w:rsidRDefault="008925FA" w:rsidP="002000D4">
      <w:pPr>
        <w:pStyle w:val="3"/>
        <w:spacing w:before="0" w:line="240" w:lineRule="auto"/>
        <w:ind w:firstLine="709"/>
        <w:jc w:val="both"/>
        <w:rPr>
          <w:rFonts w:ascii="Times New Roman" w:hAnsi="Times New Roman"/>
          <w:color w:val="auto"/>
          <w:sz w:val="28"/>
          <w:szCs w:val="28"/>
        </w:rPr>
      </w:pPr>
      <w:bookmarkStart w:id="216" w:name="_Toc204923020"/>
      <w:bookmarkStart w:id="217" w:name="_Toc204933354"/>
      <w:bookmarkStart w:id="218" w:name="_Toc208496658"/>
      <w:bookmarkStart w:id="219" w:name="_Toc208668940"/>
      <w:bookmarkStart w:id="220" w:name="_Toc212804289"/>
      <w:r w:rsidRPr="00577593">
        <w:rPr>
          <w:rFonts w:ascii="Times New Roman" w:eastAsia="Times New Roman" w:hAnsi="Times New Roman"/>
          <w:b/>
          <w:bCs/>
          <w:color w:val="auto"/>
          <w:sz w:val="28"/>
          <w:szCs w:val="28"/>
        </w:rPr>
        <w:t>6.1</w:t>
      </w:r>
      <w:r w:rsidR="0053506D">
        <w:rPr>
          <w:rFonts w:ascii="Times New Roman" w:eastAsia="Times New Roman" w:hAnsi="Times New Roman"/>
          <w:b/>
          <w:bCs/>
          <w:color w:val="auto"/>
          <w:sz w:val="28"/>
          <w:szCs w:val="28"/>
        </w:rPr>
        <w:t>.</w:t>
      </w:r>
      <w:r w:rsidRPr="00577593">
        <w:rPr>
          <w:rFonts w:ascii="Times New Roman" w:eastAsia="Times New Roman" w:hAnsi="Times New Roman"/>
          <w:b/>
          <w:bCs/>
          <w:color w:val="auto"/>
          <w:sz w:val="28"/>
          <w:szCs w:val="28"/>
        </w:rPr>
        <w:t xml:space="preserve"> </w:t>
      </w:r>
      <w:r w:rsidR="006648D9" w:rsidRPr="00577593">
        <w:rPr>
          <w:rFonts w:ascii="Times New Roman" w:eastAsia="Times New Roman" w:hAnsi="Times New Roman"/>
          <w:b/>
          <w:bCs/>
          <w:color w:val="auto"/>
          <w:sz w:val="28"/>
          <w:szCs w:val="28"/>
        </w:rPr>
        <w:t>Консервативный</w:t>
      </w:r>
      <w:r w:rsidRPr="00577593">
        <w:rPr>
          <w:rFonts w:ascii="Times New Roman" w:eastAsia="Times New Roman" w:hAnsi="Times New Roman"/>
          <w:b/>
          <w:bCs/>
          <w:color w:val="auto"/>
          <w:sz w:val="28"/>
          <w:szCs w:val="28"/>
        </w:rPr>
        <w:t xml:space="preserve"> сценарий</w:t>
      </w:r>
      <w:bookmarkEnd w:id="216"/>
      <w:bookmarkEnd w:id="217"/>
      <w:bookmarkEnd w:id="218"/>
      <w:bookmarkEnd w:id="219"/>
      <w:bookmarkEnd w:id="220"/>
    </w:p>
    <w:p w:rsidR="00FC41F4" w:rsidRPr="00577593" w:rsidRDefault="0053506D" w:rsidP="002000D4">
      <w:pPr>
        <w:spacing w:after="0" w:line="24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Город </w:t>
      </w:r>
      <w:r w:rsidR="008925FA" w:rsidRPr="00577593">
        <w:rPr>
          <w:rFonts w:ascii="Times New Roman" w:eastAsia="Times New Roman" w:hAnsi="Times New Roman"/>
          <w:sz w:val="28"/>
          <w:szCs w:val="28"/>
        </w:rPr>
        <w:t>Барнаул будет развиваться как региональный центр, не предлагая значительных преимуществ для жизни и работы по сравнению с более крупными городами. За счет сохранения низкого уровня рождаемости и отъезда экономически активного населения в более крупные города численность населения</w:t>
      </w:r>
      <w:r>
        <w:rPr>
          <w:rFonts w:ascii="Times New Roman" w:eastAsia="Times New Roman" w:hAnsi="Times New Roman"/>
          <w:sz w:val="28"/>
          <w:szCs w:val="28"/>
        </w:rPr>
        <w:t xml:space="preserve"> города </w:t>
      </w:r>
      <w:r w:rsidR="008925FA" w:rsidRPr="00577593">
        <w:rPr>
          <w:rFonts w:ascii="Times New Roman" w:eastAsia="Times New Roman" w:hAnsi="Times New Roman"/>
          <w:sz w:val="28"/>
          <w:szCs w:val="28"/>
        </w:rPr>
        <w:t>Бар</w:t>
      </w:r>
      <w:r w:rsidR="00D53DC9" w:rsidRPr="00577593">
        <w:rPr>
          <w:rFonts w:ascii="Times New Roman" w:eastAsia="Times New Roman" w:hAnsi="Times New Roman"/>
          <w:sz w:val="28"/>
          <w:szCs w:val="28"/>
        </w:rPr>
        <w:t>наула сократится до 670-</w:t>
      </w:r>
      <w:r w:rsidR="00110080" w:rsidRPr="00577593">
        <w:rPr>
          <w:rFonts w:ascii="Times New Roman" w:eastAsia="Times New Roman" w:hAnsi="Times New Roman"/>
          <w:sz w:val="28"/>
          <w:szCs w:val="28"/>
        </w:rPr>
        <w:t>685 тысяч</w:t>
      </w:r>
      <w:r w:rsidR="008925FA" w:rsidRPr="00577593">
        <w:rPr>
          <w:rFonts w:ascii="Times New Roman" w:eastAsia="Times New Roman" w:hAnsi="Times New Roman"/>
          <w:sz w:val="28"/>
          <w:szCs w:val="28"/>
        </w:rPr>
        <w:t xml:space="preserve"> жителей. Инновационная активность бизнеса будет локализована внутри ключевых предприятий. Уровень жизни барнаульцев будет ниже, чем в центрах ближайших регионов СФО, отставание будет увеличиваться. Останется актуальной проблема кадрового дефицита и растущего износа материально-технической базы социальной инфраструктуры. Пространственное развитие города не будет гармоничным, нарастание транспортных и инфраструктурных проблем усугубит перегрузку центра </w:t>
      </w:r>
      <w:r w:rsidR="00410B0F">
        <w:rPr>
          <w:rFonts w:ascii="Times New Roman" w:eastAsia="Times New Roman" w:hAnsi="Times New Roman"/>
          <w:sz w:val="28"/>
          <w:szCs w:val="28"/>
        </w:rPr>
        <w:t xml:space="preserve">города </w:t>
      </w:r>
      <w:r w:rsidR="008925FA" w:rsidRPr="00577593">
        <w:rPr>
          <w:rFonts w:ascii="Times New Roman" w:eastAsia="Times New Roman" w:hAnsi="Times New Roman"/>
          <w:sz w:val="28"/>
          <w:szCs w:val="28"/>
        </w:rPr>
        <w:t xml:space="preserve">Барнаула, городское пространство останется фрагментированным. Районы новой застройки не будут обеспечиваться необходимой инфраструктурой. </w:t>
      </w:r>
      <w:r>
        <w:rPr>
          <w:rFonts w:ascii="Times New Roman" w:eastAsia="Times New Roman" w:hAnsi="Times New Roman"/>
          <w:sz w:val="28"/>
          <w:szCs w:val="28"/>
        </w:rPr>
        <w:t xml:space="preserve">Город </w:t>
      </w:r>
      <w:r w:rsidR="008925FA" w:rsidRPr="00577593">
        <w:rPr>
          <w:rFonts w:ascii="Times New Roman" w:eastAsia="Times New Roman" w:hAnsi="Times New Roman"/>
          <w:sz w:val="28"/>
          <w:szCs w:val="28"/>
        </w:rPr>
        <w:t>Барнаул утратит статус туристической «точки входа» на Алтай.</w:t>
      </w:r>
    </w:p>
    <w:p w:rsidR="00FC41F4" w:rsidRPr="00577593" w:rsidRDefault="008925FA" w:rsidP="002000D4">
      <w:pPr>
        <w:pStyle w:val="3"/>
        <w:spacing w:before="0" w:line="240" w:lineRule="auto"/>
        <w:ind w:firstLine="709"/>
        <w:jc w:val="both"/>
        <w:rPr>
          <w:rFonts w:ascii="Times New Roman" w:hAnsi="Times New Roman"/>
          <w:color w:val="auto"/>
          <w:sz w:val="28"/>
          <w:szCs w:val="28"/>
        </w:rPr>
      </w:pPr>
      <w:bookmarkStart w:id="221" w:name="_Toc204923021"/>
      <w:bookmarkStart w:id="222" w:name="_Toc204933355"/>
      <w:bookmarkStart w:id="223" w:name="_Toc208496659"/>
      <w:bookmarkStart w:id="224" w:name="_Toc208668941"/>
      <w:bookmarkStart w:id="225" w:name="_Toc212804290"/>
      <w:r w:rsidRPr="00577593">
        <w:rPr>
          <w:rFonts w:ascii="Times New Roman" w:eastAsia="Times New Roman" w:hAnsi="Times New Roman"/>
          <w:b/>
          <w:bCs/>
          <w:color w:val="auto"/>
          <w:sz w:val="28"/>
          <w:szCs w:val="28"/>
        </w:rPr>
        <w:t>6.2</w:t>
      </w:r>
      <w:r w:rsidR="0053506D">
        <w:rPr>
          <w:rFonts w:ascii="Times New Roman" w:eastAsia="Times New Roman" w:hAnsi="Times New Roman"/>
          <w:b/>
          <w:bCs/>
          <w:color w:val="auto"/>
          <w:sz w:val="28"/>
          <w:szCs w:val="28"/>
        </w:rPr>
        <w:t>.</w:t>
      </w:r>
      <w:r w:rsidRPr="00577593">
        <w:rPr>
          <w:rFonts w:ascii="Times New Roman" w:eastAsia="Times New Roman" w:hAnsi="Times New Roman"/>
          <w:b/>
          <w:bCs/>
          <w:color w:val="auto"/>
          <w:sz w:val="28"/>
          <w:szCs w:val="28"/>
        </w:rPr>
        <w:t xml:space="preserve"> Базовый сценарий</w:t>
      </w:r>
      <w:bookmarkEnd w:id="221"/>
      <w:bookmarkEnd w:id="222"/>
      <w:bookmarkEnd w:id="223"/>
      <w:bookmarkEnd w:id="224"/>
      <w:bookmarkEnd w:id="225"/>
    </w:p>
    <w:p w:rsidR="00602CDF" w:rsidRPr="00577593" w:rsidRDefault="0053506D" w:rsidP="002000D4">
      <w:pPr>
        <w:spacing w:after="0" w:line="240" w:lineRule="auto"/>
        <w:ind w:firstLine="709"/>
        <w:jc w:val="both"/>
        <w:rPr>
          <w:rFonts w:ascii="Times New Roman" w:hAnsi="Times New Roman"/>
          <w:sz w:val="28"/>
          <w:szCs w:val="28"/>
        </w:rPr>
      </w:pPr>
      <w:r w:rsidRPr="0053506D">
        <w:rPr>
          <w:rFonts w:ascii="Times New Roman" w:eastAsia="Times New Roman" w:hAnsi="Times New Roman"/>
          <w:sz w:val="28"/>
          <w:szCs w:val="28"/>
        </w:rPr>
        <w:t xml:space="preserve">Город </w:t>
      </w:r>
      <w:r w:rsidR="008925FA" w:rsidRPr="00577593">
        <w:rPr>
          <w:rFonts w:ascii="Times New Roman" w:eastAsia="Times New Roman" w:hAnsi="Times New Roman"/>
          <w:sz w:val="28"/>
          <w:szCs w:val="28"/>
        </w:rPr>
        <w:t xml:space="preserve">Барнаул </w:t>
      </w:r>
      <w:r w:rsidR="00D53DC9" w:rsidRPr="00577593">
        <w:rPr>
          <w:rFonts w:ascii="Times New Roman" w:eastAsia="Times New Roman" w:hAnsi="Times New Roman"/>
          <w:sz w:val="28"/>
          <w:szCs w:val="28"/>
        </w:rPr>
        <w:t>–</w:t>
      </w:r>
      <w:r w:rsidR="008925FA" w:rsidRPr="00577593">
        <w:rPr>
          <w:rFonts w:ascii="Times New Roman" w:eastAsia="Times New Roman" w:hAnsi="Times New Roman"/>
          <w:sz w:val="28"/>
          <w:szCs w:val="28"/>
        </w:rPr>
        <w:t xml:space="preserve"> одна из столиц Сибири, город, в котором реализуются инвестиционные и социальные проекты, центр образовательной и культурной жизни. Численность населения</w:t>
      </w:r>
      <w:r>
        <w:rPr>
          <w:rFonts w:ascii="Times New Roman" w:eastAsia="Times New Roman" w:hAnsi="Times New Roman"/>
          <w:sz w:val="28"/>
          <w:szCs w:val="28"/>
        </w:rPr>
        <w:t xml:space="preserve"> города со</w:t>
      </w:r>
      <w:r w:rsidR="008925FA" w:rsidRPr="00577593">
        <w:rPr>
          <w:rFonts w:ascii="Times New Roman" w:eastAsia="Times New Roman" w:hAnsi="Times New Roman"/>
          <w:sz w:val="28"/>
          <w:szCs w:val="28"/>
        </w:rPr>
        <w:t>хранится в интер</w:t>
      </w:r>
      <w:r w:rsidR="00110080" w:rsidRPr="00577593">
        <w:rPr>
          <w:rFonts w:ascii="Times New Roman" w:eastAsia="Times New Roman" w:hAnsi="Times New Roman"/>
          <w:sz w:val="28"/>
          <w:szCs w:val="28"/>
        </w:rPr>
        <w:t>вале 685</w:t>
      </w:r>
      <w:r w:rsidR="00D53DC9" w:rsidRPr="00577593">
        <w:rPr>
          <w:rFonts w:ascii="Times New Roman" w:eastAsia="Times New Roman" w:hAnsi="Times New Roman"/>
          <w:sz w:val="28"/>
          <w:szCs w:val="28"/>
        </w:rPr>
        <w:t>-</w:t>
      </w:r>
      <w:r w:rsidR="00110080" w:rsidRPr="00577593">
        <w:rPr>
          <w:rFonts w:ascii="Times New Roman" w:eastAsia="Times New Roman" w:hAnsi="Times New Roman"/>
          <w:sz w:val="28"/>
          <w:szCs w:val="28"/>
        </w:rPr>
        <w:t>700 тысяч</w:t>
      </w:r>
      <w:r w:rsidR="008925FA" w:rsidRPr="00577593">
        <w:rPr>
          <w:rFonts w:ascii="Times New Roman" w:eastAsia="Times New Roman" w:hAnsi="Times New Roman"/>
          <w:sz w:val="28"/>
          <w:szCs w:val="28"/>
        </w:rPr>
        <w:t xml:space="preserve"> человек в результате умеренного роста рождаемости и сохранения входящей миграции. Будут развиваться передовые направления экономики города: энергомашиностроение, аграрное машиностроение, легкая, пищевая промышленность. Повысится доля малого и среднего предпринимательства. В </w:t>
      </w:r>
      <w:r>
        <w:rPr>
          <w:rFonts w:ascii="Times New Roman" w:eastAsia="Times New Roman" w:hAnsi="Times New Roman"/>
          <w:sz w:val="28"/>
          <w:szCs w:val="28"/>
        </w:rPr>
        <w:t xml:space="preserve">городе </w:t>
      </w:r>
      <w:r w:rsidR="008925FA" w:rsidRPr="00577593">
        <w:rPr>
          <w:rFonts w:ascii="Times New Roman" w:eastAsia="Times New Roman" w:hAnsi="Times New Roman"/>
          <w:sz w:val="28"/>
          <w:szCs w:val="28"/>
        </w:rPr>
        <w:t xml:space="preserve">Барнауле будут внедряться новые прикладные технологии химической и биологической промышленности. Получит развитие сервисная экономика, будет создан креативный кластер. Социальная инфраструктура будет развиваться, дополняться новыми объектами, хотя и с отставанием от потребностей города. Расширится адресная социальная поддержка. Продолжится обновление жилого фонда, улучшение городской среды, формирование единого природно-рекреационного каркаса города. Системы ЖКХ будут постепенно модернизироваться, поэтапно переходя к экономике замкнутого цикла. Подвижной состав и инфраструктура общественного транспорта будут соответствовать нормативному состоянию. Городская среда </w:t>
      </w:r>
      <w:r>
        <w:rPr>
          <w:rFonts w:ascii="Times New Roman" w:eastAsia="Times New Roman" w:hAnsi="Times New Roman"/>
          <w:sz w:val="28"/>
          <w:szCs w:val="28"/>
        </w:rPr>
        <w:t xml:space="preserve">города </w:t>
      </w:r>
      <w:r w:rsidR="008925FA" w:rsidRPr="00577593">
        <w:rPr>
          <w:rFonts w:ascii="Times New Roman" w:eastAsia="Times New Roman" w:hAnsi="Times New Roman"/>
          <w:sz w:val="28"/>
          <w:szCs w:val="28"/>
        </w:rPr>
        <w:t>Барнаула как центра подготовки кадров будет способствовать кооперации и развитию технологического мышления.</w:t>
      </w:r>
      <w:bookmarkStart w:id="226" w:name="_Toc204923022"/>
      <w:bookmarkStart w:id="227" w:name="_Toc204933356"/>
      <w:bookmarkStart w:id="228" w:name="_Toc208496660"/>
      <w:bookmarkStart w:id="229" w:name="_Toc208668942"/>
      <w:bookmarkStart w:id="230" w:name="_Toc212804291"/>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eastAsia="Times New Roman" w:hAnsi="Times New Roman"/>
          <w:b/>
          <w:bCs/>
          <w:sz w:val="28"/>
          <w:szCs w:val="28"/>
        </w:rPr>
        <w:t>6.3</w:t>
      </w:r>
      <w:r w:rsidR="0053506D">
        <w:rPr>
          <w:rFonts w:ascii="Times New Roman" w:eastAsia="Times New Roman" w:hAnsi="Times New Roman"/>
          <w:b/>
          <w:bCs/>
          <w:sz w:val="28"/>
          <w:szCs w:val="28"/>
        </w:rPr>
        <w:t>.</w:t>
      </w:r>
      <w:r w:rsidRPr="00577593">
        <w:rPr>
          <w:rFonts w:ascii="Times New Roman" w:eastAsia="Times New Roman" w:hAnsi="Times New Roman"/>
          <w:b/>
          <w:bCs/>
          <w:sz w:val="28"/>
          <w:szCs w:val="28"/>
        </w:rPr>
        <w:t xml:space="preserve"> </w:t>
      </w:r>
      <w:r w:rsidR="006648D9" w:rsidRPr="00577593">
        <w:rPr>
          <w:rFonts w:ascii="Times New Roman" w:eastAsia="Times New Roman" w:hAnsi="Times New Roman"/>
          <w:b/>
          <w:bCs/>
          <w:sz w:val="28"/>
          <w:szCs w:val="28"/>
        </w:rPr>
        <w:t>Целевой</w:t>
      </w:r>
      <w:r w:rsidRPr="00577593">
        <w:rPr>
          <w:rFonts w:ascii="Times New Roman" w:eastAsia="Times New Roman" w:hAnsi="Times New Roman"/>
          <w:b/>
          <w:bCs/>
          <w:sz w:val="28"/>
          <w:szCs w:val="28"/>
        </w:rPr>
        <w:t xml:space="preserve"> сценарий</w:t>
      </w:r>
      <w:bookmarkEnd w:id="226"/>
      <w:bookmarkEnd w:id="227"/>
      <w:bookmarkEnd w:id="228"/>
      <w:bookmarkEnd w:id="229"/>
      <w:bookmarkEnd w:id="230"/>
    </w:p>
    <w:p w:rsidR="00FC41F4" w:rsidRPr="00577593" w:rsidRDefault="0053506D" w:rsidP="002000D4">
      <w:pPr>
        <w:tabs>
          <w:tab w:val="left" w:pos="2552"/>
        </w:tabs>
        <w:spacing w:after="0" w:line="240" w:lineRule="auto"/>
        <w:ind w:firstLine="709"/>
        <w:jc w:val="both"/>
        <w:rPr>
          <w:rFonts w:ascii="Times New Roman" w:eastAsia="Times New Roman" w:hAnsi="Times New Roman"/>
          <w:sz w:val="28"/>
          <w:szCs w:val="28"/>
        </w:rPr>
      </w:pPr>
      <w:r w:rsidRPr="0053506D">
        <w:rPr>
          <w:rFonts w:ascii="Times New Roman" w:eastAsia="Times New Roman" w:hAnsi="Times New Roman"/>
          <w:sz w:val="28"/>
          <w:szCs w:val="28"/>
        </w:rPr>
        <w:t xml:space="preserve">Город </w:t>
      </w:r>
      <w:r w:rsidR="008925FA" w:rsidRPr="00577593">
        <w:rPr>
          <w:rFonts w:ascii="Times New Roman" w:eastAsia="Times New Roman" w:hAnsi="Times New Roman"/>
          <w:sz w:val="28"/>
          <w:szCs w:val="28"/>
        </w:rPr>
        <w:t xml:space="preserve">Барнаул </w:t>
      </w:r>
      <w:r w:rsidR="00D53DC9" w:rsidRPr="00577593">
        <w:rPr>
          <w:rFonts w:ascii="Times New Roman" w:eastAsia="Times New Roman" w:hAnsi="Times New Roman"/>
          <w:sz w:val="28"/>
          <w:szCs w:val="28"/>
        </w:rPr>
        <w:t>–</w:t>
      </w:r>
      <w:r w:rsidR="008925FA" w:rsidRPr="00577593">
        <w:rPr>
          <w:rFonts w:ascii="Times New Roman" w:eastAsia="Times New Roman" w:hAnsi="Times New Roman"/>
          <w:sz w:val="28"/>
          <w:szCs w:val="28"/>
        </w:rPr>
        <w:t xml:space="preserve"> быстро развивающийся город, центр создания инноваций и высокого уровня жизни, сопоставимого с крупнейшими городами Сибири. Численность населения </w:t>
      </w:r>
      <w:r>
        <w:rPr>
          <w:rFonts w:ascii="Times New Roman" w:eastAsia="Times New Roman" w:hAnsi="Times New Roman"/>
          <w:sz w:val="28"/>
          <w:szCs w:val="28"/>
        </w:rPr>
        <w:t>города</w:t>
      </w:r>
      <w:r w:rsidR="008925FA" w:rsidRPr="00577593">
        <w:rPr>
          <w:rFonts w:ascii="Times New Roman" w:eastAsia="Times New Roman" w:hAnsi="Times New Roman"/>
          <w:sz w:val="28"/>
          <w:szCs w:val="28"/>
        </w:rPr>
        <w:t xml:space="preserve"> превысит 700 т</w:t>
      </w:r>
      <w:r w:rsidR="00110080" w:rsidRPr="00577593">
        <w:rPr>
          <w:rFonts w:ascii="Times New Roman" w:eastAsia="Times New Roman" w:hAnsi="Times New Roman"/>
          <w:sz w:val="28"/>
          <w:szCs w:val="28"/>
        </w:rPr>
        <w:t>ысяч</w:t>
      </w:r>
      <w:r w:rsidR="008925FA" w:rsidRPr="00577593">
        <w:rPr>
          <w:rFonts w:ascii="Times New Roman" w:eastAsia="Times New Roman" w:hAnsi="Times New Roman"/>
          <w:sz w:val="28"/>
          <w:szCs w:val="28"/>
        </w:rPr>
        <w:t xml:space="preserve"> </w:t>
      </w:r>
      <w:r w:rsidR="008925FA" w:rsidRPr="00577593">
        <w:rPr>
          <w:rFonts w:ascii="Times New Roman" w:eastAsia="Times New Roman" w:hAnsi="Times New Roman"/>
          <w:sz w:val="28"/>
          <w:szCs w:val="28"/>
        </w:rPr>
        <w:lastRenderedPageBreak/>
        <w:t xml:space="preserve">жителей за счет роста рождаемости и входящей миграции. Будут развиваться передовые направления экономики города: энергомашиностроение, аграрное машиностроение, легкая, пищевая промышленность. В городе будут разрабатываться новые прикладные технологии химической и биологической промышленности, </w:t>
      </w:r>
      <w:r>
        <w:rPr>
          <w:rFonts w:ascii="Times New Roman" w:eastAsia="Times New Roman" w:hAnsi="Times New Roman"/>
          <w:sz w:val="28"/>
          <w:szCs w:val="28"/>
        </w:rPr>
        <w:t xml:space="preserve">город </w:t>
      </w:r>
      <w:r w:rsidR="008925FA" w:rsidRPr="00577593">
        <w:rPr>
          <w:rFonts w:ascii="Times New Roman" w:eastAsia="Times New Roman" w:hAnsi="Times New Roman"/>
          <w:sz w:val="28"/>
          <w:szCs w:val="28"/>
        </w:rPr>
        <w:t xml:space="preserve">Барнаул станет одним из крупнейших приборостроительных центров Российской Федерации. Будут заложены основы для перехода на новый уровень развития экономики, включая трансформацию промышленных предприятий и появление флагманов современной индустрии. Новые объекты социальной инфраструктуры будут создаваться в соответствии с развитием жилищной застройки и увеличением численности населения. Пространственное развитие города будет равномерным, существующие дисбалансы будут преодолеваться за счет активной трансформации центра, уплотнения застройки, развития улично-дорожной сети в застроенной части города и появления общественно-деловых функций на окраинах. Будет развиваться правый берег Оби, активизируется взаимодействие в рамках Барнаульской агломерации с сосредоточением в </w:t>
      </w:r>
      <w:r>
        <w:rPr>
          <w:rFonts w:ascii="Times New Roman" w:eastAsia="Times New Roman" w:hAnsi="Times New Roman"/>
          <w:sz w:val="28"/>
          <w:szCs w:val="28"/>
        </w:rPr>
        <w:t xml:space="preserve">городе </w:t>
      </w:r>
      <w:r w:rsidR="008925FA" w:rsidRPr="00577593">
        <w:rPr>
          <w:rFonts w:ascii="Times New Roman" w:eastAsia="Times New Roman" w:hAnsi="Times New Roman"/>
          <w:sz w:val="28"/>
          <w:szCs w:val="28"/>
        </w:rPr>
        <w:t>Барнауле функций ядра. Развитие грузового каркаса обеспечит разгрузку центра. Город станет столицей межкультурных и международных мероприятий Сибирского федерального округа, инициатором передовых практик международных отношений.</w:t>
      </w:r>
    </w:p>
    <w:p w:rsidR="003D38E2" w:rsidRPr="00577593" w:rsidRDefault="005D32A1" w:rsidP="002000D4">
      <w:pPr>
        <w:tabs>
          <w:tab w:val="left" w:pos="2552"/>
        </w:tabs>
        <w:spacing w:after="0" w:line="240" w:lineRule="auto"/>
        <w:ind w:firstLine="709"/>
        <w:jc w:val="both"/>
        <w:rPr>
          <w:rFonts w:ascii="Times New Roman" w:eastAsia="Times New Roman" w:hAnsi="Times New Roman"/>
          <w:b/>
          <w:sz w:val="28"/>
          <w:szCs w:val="28"/>
        </w:rPr>
      </w:pPr>
      <w:r w:rsidRPr="00577593">
        <w:rPr>
          <w:rFonts w:ascii="Times New Roman" w:eastAsia="Times New Roman" w:hAnsi="Times New Roman"/>
          <w:b/>
          <w:sz w:val="28"/>
          <w:szCs w:val="28"/>
        </w:rPr>
        <w:t>6.4. Выбор сценария</w:t>
      </w:r>
    </w:p>
    <w:p w:rsidR="003D38E2" w:rsidRPr="00577593" w:rsidRDefault="003D38E2" w:rsidP="002000D4">
      <w:pPr>
        <w:tabs>
          <w:tab w:val="left" w:pos="2552"/>
        </w:tabs>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В качестве основного сценария социально-экономического развития города Барнаула на период до 2036 года выбран базовый</w:t>
      </w:r>
      <w:r w:rsidR="00D1284C" w:rsidRPr="00577593">
        <w:rPr>
          <w:rFonts w:ascii="Times New Roman" w:eastAsia="Times New Roman" w:hAnsi="Times New Roman"/>
          <w:sz w:val="28"/>
          <w:szCs w:val="28"/>
        </w:rPr>
        <w:t xml:space="preserve"> с усредненными значениями по ключевым показателям</w:t>
      </w:r>
      <w:r w:rsidRPr="00577593">
        <w:rPr>
          <w:rFonts w:ascii="Times New Roman" w:eastAsia="Times New Roman" w:hAnsi="Times New Roman"/>
          <w:sz w:val="28"/>
          <w:szCs w:val="28"/>
        </w:rPr>
        <w:t xml:space="preserve">, учитывая нестабильность геополитической и экономической обстановки. </w:t>
      </w:r>
    </w:p>
    <w:p w:rsidR="00FC41F4" w:rsidRPr="00577593" w:rsidRDefault="00FC41F4" w:rsidP="002000D4">
      <w:pPr>
        <w:spacing w:line="240" w:lineRule="auto"/>
        <w:rPr>
          <w:rFonts w:ascii="Times New Roman" w:eastAsia="Times New Roman" w:hAnsi="Times New Roman"/>
          <w:sz w:val="28"/>
          <w:szCs w:val="28"/>
        </w:rPr>
      </w:pPr>
    </w:p>
    <w:p w:rsidR="00D665FF" w:rsidRPr="00577593" w:rsidRDefault="00D665FF" w:rsidP="002000D4">
      <w:pPr>
        <w:spacing w:line="240" w:lineRule="auto"/>
        <w:rPr>
          <w:rFonts w:ascii="Times New Roman" w:eastAsia="Times New Roman" w:hAnsi="Times New Roman"/>
          <w:sz w:val="28"/>
          <w:szCs w:val="28"/>
        </w:rPr>
      </w:pPr>
    </w:p>
    <w:p w:rsidR="00D665FF" w:rsidRPr="00577593" w:rsidRDefault="00D665FF" w:rsidP="002000D4">
      <w:pPr>
        <w:spacing w:line="240" w:lineRule="auto"/>
        <w:rPr>
          <w:rFonts w:ascii="Times New Roman" w:eastAsia="Times New Roman" w:hAnsi="Times New Roman"/>
          <w:sz w:val="28"/>
          <w:szCs w:val="28"/>
        </w:rPr>
      </w:pPr>
    </w:p>
    <w:p w:rsidR="00D665FF" w:rsidRPr="00577593" w:rsidRDefault="00D665FF" w:rsidP="002000D4">
      <w:pPr>
        <w:spacing w:line="240" w:lineRule="auto"/>
        <w:rPr>
          <w:rFonts w:ascii="Times New Roman" w:eastAsia="Times New Roman" w:hAnsi="Times New Roman"/>
          <w:sz w:val="28"/>
          <w:szCs w:val="28"/>
        </w:rPr>
      </w:pPr>
    </w:p>
    <w:p w:rsidR="00D665FF" w:rsidRPr="00577593" w:rsidRDefault="00D665FF" w:rsidP="002000D4">
      <w:pPr>
        <w:spacing w:line="240" w:lineRule="auto"/>
        <w:rPr>
          <w:rFonts w:ascii="Times New Roman" w:eastAsia="Times New Roman" w:hAnsi="Times New Roman"/>
          <w:sz w:val="28"/>
          <w:szCs w:val="28"/>
        </w:rPr>
      </w:pPr>
    </w:p>
    <w:p w:rsidR="00D665FF" w:rsidRPr="00577593" w:rsidRDefault="00D665FF" w:rsidP="002000D4">
      <w:pPr>
        <w:spacing w:line="240" w:lineRule="auto"/>
        <w:rPr>
          <w:rFonts w:ascii="Times New Roman" w:eastAsia="Times New Roman" w:hAnsi="Times New Roman"/>
          <w:sz w:val="28"/>
          <w:szCs w:val="28"/>
        </w:rPr>
      </w:pPr>
    </w:p>
    <w:p w:rsidR="00D665FF" w:rsidRPr="00577593" w:rsidRDefault="00D665FF" w:rsidP="002000D4">
      <w:pPr>
        <w:spacing w:line="240" w:lineRule="auto"/>
        <w:rPr>
          <w:rFonts w:ascii="Times New Roman" w:eastAsia="Times New Roman" w:hAnsi="Times New Roman"/>
          <w:sz w:val="28"/>
          <w:szCs w:val="28"/>
        </w:rPr>
      </w:pPr>
    </w:p>
    <w:p w:rsidR="00D665FF" w:rsidRPr="00577593" w:rsidRDefault="00D665FF" w:rsidP="002000D4">
      <w:pPr>
        <w:spacing w:line="240" w:lineRule="auto"/>
        <w:rPr>
          <w:rFonts w:ascii="Times New Roman" w:eastAsia="Times New Roman" w:hAnsi="Times New Roman"/>
          <w:sz w:val="28"/>
          <w:szCs w:val="28"/>
        </w:rPr>
      </w:pPr>
    </w:p>
    <w:p w:rsidR="00D665FF" w:rsidRPr="00577593" w:rsidRDefault="00D665FF" w:rsidP="002000D4">
      <w:pPr>
        <w:spacing w:line="240" w:lineRule="auto"/>
        <w:rPr>
          <w:rFonts w:ascii="Times New Roman" w:eastAsia="Times New Roman" w:hAnsi="Times New Roman"/>
          <w:sz w:val="28"/>
          <w:szCs w:val="28"/>
        </w:rPr>
      </w:pPr>
    </w:p>
    <w:p w:rsidR="00D665FF" w:rsidRPr="00577593" w:rsidRDefault="00D665FF" w:rsidP="002000D4">
      <w:pPr>
        <w:spacing w:line="240" w:lineRule="auto"/>
        <w:rPr>
          <w:rFonts w:ascii="Times New Roman" w:eastAsia="Times New Roman" w:hAnsi="Times New Roman"/>
          <w:sz w:val="28"/>
          <w:szCs w:val="28"/>
        </w:rPr>
      </w:pPr>
    </w:p>
    <w:p w:rsidR="00D665FF" w:rsidRPr="00577593" w:rsidRDefault="00D665FF" w:rsidP="002000D4">
      <w:pPr>
        <w:spacing w:line="240" w:lineRule="auto"/>
        <w:rPr>
          <w:rFonts w:ascii="Times New Roman" w:eastAsia="Times New Roman" w:hAnsi="Times New Roman"/>
          <w:sz w:val="28"/>
          <w:szCs w:val="28"/>
        </w:rPr>
      </w:pPr>
    </w:p>
    <w:p w:rsidR="00D665FF" w:rsidRPr="00577593" w:rsidRDefault="00D665FF" w:rsidP="002000D4">
      <w:pPr>
        <w:spacing w:line="240" w:lineRule="auto"/>
        <w:rPr>
          <w:rFonts w:ascii="Times New Roman" w:eastAsia="Times New Roman" w:hAnsi="Times New Roman"/>
          <w:b/>
          <w:bCs/>
          <w:sz w:val="28"/>
          <w:szCs w:val="28"/>
        </w:rPr>
      </w:pPr>
    </w:p>
    <w:p w:rsidR="00FC41F4" w:rsidRPr="00577593" w:rsidRDefault="008925FA" w:rsidP="002000D4">
      <w:pPr>
        <w:pStyle w:val="2"/>
        <w:spacing w:line="240" w:lineRule="auto"/>
        <w:ind w:firstLine="709"/>
        <w:jc w:val="both"/>
        <w:rPr>
          <w:rFonts w:ascii="Times New Roman" w:eastAsia="Times New Roman" w:hAnsi="Times New Roman"/>
          <w:color w:val="auto"/>
          <w:sz w:val="28"/>
          <w:szCs w:val="28"/>
        </w:rPr>
      </w:pPr>
      <w:bookmarkStart w:id="231" w:name="_Toc212804292"/>
      <w:r w:rsidRPr="00577593">
        <w:rPr>
          <w:rFonts w:ascii="Times New Roman" w:eastAsia="Times New Roman" w:hAnsi="Times New Roman"/>
          <w:color w:val="auto"/>
          <w:sz w:val="28"/>
          <w:szCs w:val="28"/>
        </w:rPr>
        <w:lastRenderedPageBreak/>
        <w:t>7</w:t>
      </w:r>
      <w:r w:rsidR="00812B8B">
        <w:rPr>
          <w:rFonts w:ascii="Times New Roman" w:eastAsia="Times New Roman" w:hAnsi="Times New Roman"/>
          <w:color w:val="auto"/>
          <w:sz w:val="28"/>
          <w:szCs w:val="28"/>
        </w:rPr>
        <w:t>.</w:t>
      </w:r>
      <w:r w:rsidR="00410B0F">
        <w:rPr>
          <w:rFonts w:ascii="Times New Roman" w:eastAsia="Times New Roman" w:hAnsi="Times New Roman"/>
          <w:color w:val="auto"/>
          <w:sz w:val="28"/>
          <w:szCs w:val="28"/>
        </w:rPr>
        <w:t> </w:t>
      </w:r>
      <w:r w:rsidRPr="00577593">
        <w:rPr>
          <w:rFonts w:ascii="Times New Roman" w:eastAsia="Times New Roman" w:hAnsi="Times New Roman"/>
          <w:color w:val="auto"/>
          <w:sz w:val="28"/>
          <w:szCs w:val="28"/>
        </w:rPr>
        <w:t>Определение миссии и главной цели социально-экономического развития города</w:t>
      </w:r>
      <w:bookmarkEnd w:id="231"/>
    </w:p>
    <w:p w:rsidR="00FC41F4" w:rsidRPr="00577593" w:rsidRDefault="008925FA" w:rsidP="002000D4">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Миссия </w:t>
      </w:r>
      <w:r w:rsidR="00812B8B">
        <w:rPr>
          <w:rFonts w:ascii="Times New Roman" w:eastAsia="Times New Roman" w:hAnsi="Times New Roman"/>
          <w:sz w:val="28"/>
          <w:szCs w:val="28"/>
        </w:rPr>
        <w:t xml:space="preserve">города </w:t>
      </w:r>
      <w:r w:rsidRPr="00577593">
        <w:rPr>
          <w:rFonts w:ascii="Times New Roman" w:eastAsia="Times New Roman" w:hAnsi="Times New Roman"/>
          <w:sz w:val="28"/>
          <w:szCs w:val="28"/>
        </w:rPr>
        <w:t xml:space="preserve">Барнаула </w:t>
      </w:r>
      <w:r w:rsidR="00D53DC9" w:rsidRPr="00577593">
        <w:rPr>
          <w:rFonts w:ascii="Times New Roman" w:eastAsia="Times New Roman" w:hAnsi="Times New Roman"/>
          <w:sz w:val="28"/>
          <w:szCs w:val="28"/>
        </w:rPr>
        <w:t>–</w:t>
      </w:r>
      <w:r w:rsidRPr="00577593">
        <w:rPr>
          <w:rFonts w:ascii="Times New Roman" w:eastAsia="Times New Roman" w:hAnsi="Times New Roman"/>
          <w:sz w:val="28"/>
          <w:szCs w:val="28"/>
        </w:rPr>
        <w:t xml:space="preserve"> быть развитым столичным городом, одним из конкурентоспособных центров Сибирского федерального округа, благоприятным для предпринимательства, удобным для жизни и привлекательным для туризма.</w:t>
      </w:r>
    </w:p>
    <w:p w:rsidR="00602CDF" w:rsidRPr="00577593" w:rsidRDefault="008925FA" w:rsidP="002000D4">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Главная цель </w:t>
      </w:r>
      <w:r w:rsidR="00D53DC9" w:rsidRPr="00577593">
        <w:rPr>
          <w:rFonts w:ascii="Times New Roman" w:eastAsia="Times New Roman" w:hAnsi="Times New Roman"/>
          <w:sz w:val="28"/>
          <w:szCs w:val="28"/>
        </w:rPr>
        <w:t>–</w:t>
      </w:r>
      <w:r w:rsidRPr="00577593">
        <w:rPr>
          <w:rFonts w:ascii="Times New Roman" w:eastAsia="Times New Roman" w:hAnsi="Times New Roman"/>
          <w:sz w:val="28"/>
          <w:szCs w:val="28"/>
        </w:rPr>
        <w:t xml:space="preserve"> обеспечение достойного качества жизни за счет диверсификации экономики (на базе машиностроения, биотехнологий, медицинских технологий, креативных отраслей), развития человеческого капитала, модернизации городской инфраструктуры и формирования сбалансированной городской среды.</w:t>
      </w:r>
      <w:bookmarkStart w:id="232" w:name="_Toc212804293"/>
    </w:p>
    <w:p w:rsidR="00602CDF" w:rsidRPr="00577593" w:rsidRDefault="00602CDF" w:rsidP="002000D4">
      <w:pPr>
        <w:spacing w:after="0" w:line="240" w:lineRule="auto"/>
        <w:ind w:firstLine="709"/>
        <w:jc w:val="both"/>
        <w:rPr>
          <w:rFonts w:ascii="Times New Roman" w:eastAsia="Times New Roman" w:hAnsi="Times New Roman"/>
          <w:b/>
          <w:sz w:val="28"/>
          <w:szCs w:val="28"/>
        </w:rPr>
      </w:pPr>
    </w:p>
    <w:p w:rsidR="00FC41F4" w:rsidRPr="00577593" w:rsidRDefault="008925FA" w:rsidP="002000D4">
      <w:pPr>
        <w:spacing w:after="0" w:line="240" w:lineRule="auto"/>
        <w:ind w:firstLine="709"/>
        <w:jc w:val="both"/>
        <w:rPr>
          <w:rFonts w:ascii="Times New Roman" w:eastAsia="Times New Roman" w:hAnsi="Times New Roman"/>
          <w:b/>
          <w:sz w:val="28"/>
          <w:szCs w:val="28"/>
        </w:rPr>
      </w:pPr>
      <w:r w:rsidRPr="00577593">
        <w:rPr>
          <w:rFonts w:ascii="Times New Roman" w:eastAsia="Times New Roman" w:hAnsi="Times New Roman"/>
          <w:b/>
          <w:sz w:val="28"/>
          <w:szCs w:val="28"/>
        </w:rPr>
        <w:t>8</w:t>
      </w:r>
      <w:r w:rsidR="00303207">
        <w:rPr>
          <w:rFonts w:ascii="Times New Roman" w:eastAsia="Times New Roman" w:hAnsi="Times New Roman"/>
          <w:b/>
          <w:sz w:val="28"/>
          <w:szCs w:val="28"/>
        </w:rPr>
        <w:t>.</w:t>
      </w:r>
      <w:r w:rsidRPr="00577593">
        <w:rPr>
          <w:rFonts w:ascii="Times New Roman" w:eastAsia="Times New Roman" w:hAnsi="Times New Roman"/>
          <w:b/>
          <w:sz w:val="28"/>
          <w:szCs w:val="28"/>
        </w:rPr>
        <w:t xml:space="preserve"> Этапы реализации Стратегии</w:t>
      </w:r>
      <w:bookmarkEnd w:id="232"/>
    </w:p>
    <w:p w:rsidR="00FC41F4" w:rsidRPr="00577593" w:rsidRDefault="008925FA" w:rsidP="002000D4">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Стратегия реализуется в два этапа: </w:t>
      </w:r>
    </w:p>
    <w:p w:rsidR="00FC41F4" w:rsidRPr="00577593" w:rsidRDefault="008925FA" w:rsidP="002000D4">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Этап 1 </w:t>
      </w:r>
      <w:r w:rsidR="00E34E37" w:rsidRPr="00577593">
        <w:rPr>
          <w:rFonts w:ascii="Times New Roman" w:eastAsia="Times New Roman" w:hAnsi="Times New Roman"/>
          <w:sz w:val="28"/>
          <w:szCs w:val="28"/>
        </w:rPr>
        <w:t>–</w:t>
      </w:r>
      <w:r w:rsidRPr="00577593">
        <w:rPr>
          <w:rFonts w:ascii="Times New Roman" w:eastAsia="Times New Roman" w:hAnsi="Times New Roman"/>
          <w:sz w:val="28"/>
          <w:szCs w:val="28"/>
        </w:rPr>
        <w:t xml:space="preserve"> 2026</w:t>
      </w:r>
      <w:r w:rsidR="00E34E37" w:rsidRPr="00577593">
        <w:rPr>
          <w:rFonts w:ascii="Times New Roman" w:eastAsia="Times New Roman" w:hAnsi="Times New Roman"/>
          <w:sz w:val="28"/>
          <w:szCs w:val="28"/>
        </w:rPr>
        <w:t>-2030 годы.</w:t>
      </w:r>
    </w:p>
    <w:p w:rsidR="00FC41F4" w:rsidRPr="00577593" w:rsidRDefault="008925FA" w:rsidP="002000D4">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Этап 2 </w:t>
      </w:r>
      <w:r w:rsidR="00E34E37" w:rsidRPr="00577593">
        <w:rPr>
          <w:rFonts w:ascii="Times New Roman" w:eastAsia="Times New Roman" w:hAnsi="Times New Roman"/>
          <w:sz w:val="28"/>
          <w:szCs w:val="28"/>
        </w:rPr>
        <w:t>–</w:t>
      </w:r>
      <w:r w:rsidRPr="00577593">
        <w:rPr>
          <w:rFonts w:ascii="Times New Roman" w:eastAsia="Times New Roman" w:hAnsi="Times New Roman"/>
          <w:sz w:val="28"/>
          <w:szCs w:val="28"/>
        </w:rPr>
        <w:t xml:space="preserve"> 2031</w:t>
      </w:r>
      <w:r w:rsidR="00E34E37" w:rsidRPr="00577593">
        <w:rPr>
          <w:rFonts w:ascii="Times New Roman" w:eastAsia="Times New Roman" w:hAnsi="Times New Roman"/>
          <w:sz w:val="28"/>
          <w:szCs w:val="28"/>
        </w:rPr>
        <w:t>-2036 годы.</w:t>
      </w:r>
    </w:p>
    <w:p w:rsidR="00FC41F4" w:rsidRPr="00577593" w:rsidRDefault="008925FA" w:rsidP="008D738C">
      <w:pPr>
        <w:spacing w:line="240" w:lineRule="auto"/>
        <w:ind w:firstLine="709"/>
        <w:rPr>
          <w:rFonts w:ascii="Times New Roman" w:eastAsia="Times New Roman" w:hAnsi="Times New Roman"/>
          <w:b/>
          <w:sz w:val="28"/>
          <w:szCs w:val="28"/>
        </w:rPr>
      </w:pPr>
      <w:r w:rsidRPr="00577593">
        <w:rPr>
          <w:rFonts w:ascii="Times New Roman" w:eastAsia="Times New Roman" w:hAnsi="Times New Roman"/>
          <w:sz w:val="28"/>
          <w:szCs w:val="28"/>
        </w:rPr>
        <w:br w:type="page" w:clear="all"/>
      </w:r>
      <w:bookmarkStart w:id="233" w:name="_Toc212804294"/>
      <w:r w:rsidRPr="00577593">
        <w:rPr>
          <w:rFonts w:ascii="Times New Roman" w:eastAsia="Times New Roman" w:hAnsi="Times New Roman"/>
          <w:b/>
          <w:sz w:val="28"/>
          <w:szCs w:val="28"/>
        </w:rPr>
        <w:lastRenderedPageBreak/>
        <w:t>9</w:t>
      </w:r>
      <w:r w:rsidR="00303207">
        <w:rPr>
          <w:rFonts w:ascii="Times New Roman" w:eastAsia="Times New Roman" w:hAnsi="Times New Roman"/>
          <w:b/>
          <w:sz w:val="28"/>
          <w:szCs w:val="28"/>
        </w:rPr>
        <w:t>.</w:t>
      </w:r>
      <w:r w:rsidRPr="00577593">
        <w:rPr>
          <w:rFonts w:ascii="Times New Roman" w:eastAsia="Times New Roman" w:hAnsi="Times New Roman"/>
          <w:b/>
          <w:sz w:val="28"/>
          <w:szCs w:val="28"/>
        </w:rPr>
        <w:t xml:space="preserve"> Стратегические направления развития города Барнаула</w:t>
      </w:r>
      <w:bookmarkEnd w:id="233"/>
    </w:p>
    <w:p w:rsidR="00FC41F4" w:rsidRPr="00577593" w:rsidRDefault="008925FA" w:rsidP="008D738C">
      <w:pPr>
        <w:pStyle w:val="3"/>
        <w:spacing w:before="0" w:line="240" w:lineRule="auto"/>
        <w:ind w:firstLine="709"/>
        <w:rPr>
          <w:rFonts w:ascii="Times New Roman" w:eastAsia="Times New Roman" w:hAnsi="Times New Roman"/>
          <w:color w:val="auto"/>
          <w:sz w:val="28"/>
          <w:szCs w:val="28"/>
        </w:rPr>
      </w:pPr>
      <w:bookmarkStart w:id="234" w:name="_Toc212804295"/>
      <w:r w:rsidRPr="00577593">
        <w:rPr>
          <w:rFonts w:ascii="Times New Roman" w:eastAsia="Times New Roman" w:hAnsi="Times New Roman"/>
          <w:b/>
          <w:bCs/>
          <w:color w:val="auto"/>
          <w:sz w:val="28"/>
          <w:szCs w:val="28"/>
        </w:rPr>
        <w:t>9.1</w:t>
      </w:r>
      <w:r w:rsidR="00303207">
        <w:rPr>
          <w:rFonts w:ascii="Times New Roman" w:eastAsia="Times New Roman" w:hAnsi="Times New Roman"/>
          <w:b/>
          <w:bCs/>
          <w:color w:val="auto"/>
          <w:sz w:val="28"/>
          <w:szCs w:val="28"/>
        </w:rPr>
        <w:t>.</w:t>
      </w:r>
      <w:r w:rsidRPr="00577593">
        <w:rPr>
          <w:rFonts w:ascii="Times New Roman" w:eastAsia="Times New Roman" w:hAnsi="Times New Roman"/>
          <w:b/>
          <w:bCs/>
          <w:color w:val="auto"/>
          <w:sz w:val="28"/>
          <w:szCs w:val="28"/>
        </w:rPr>
        <w:t xml:space="preserve"> Стратегическое направление «Обеспечение динамичного развития экономики города»</w:t>
      </w:r>
      <w:bookmarkEnd w:id="234"/>
    </w:p>
    <w:p w:rsidR="00FC41F4" w:rsidRPr="00577593" w:rsidRDefault="008925FA" w:rsidP="008D738C">
      <w:pPr>
        <w:pStyle w:val="3"/>
        <w:spacing w:before="0" w:line="240" w:lineRule="auto"/>
        <w:ind w:firstLine="709"/>
        <w:rPr>
          <w:rFonts w:ascii="Times New Roman" w:eastAsia="Times New Roman" w:hAnsi="Times New Roman"/>
          <w:b/>
          <w:color w:val="auto"/>
          <w:sz w:val="28"/>
          <w:szCs w:val="28"/>
        </w:rPr>
      </w:pPr>
      <w:bookmarkStart w:id="235" w:name="_Toc208496665"/>
      <w:bookmarkStart w:id="236" w:name="_Toc208668947"/>
      <w:bookmarkStart w:id="237" w:name="_Toc212804296"/>
      <w:r w:rsidRPr="00577593">
        <w:rPr>
          <w:rFonts w:ascii="Times New Roman" w:eastAsia="Times New Roman" w:hAnsi="Times New Roman"/>
          <w:b/>
          <w:color w:val="auto"/>
          <w:sz w:val="28"/>
          <w:szCs w:val="28"/>
        </w:rPr>
        <w:t>9.1.1</w:t>
      </w:r>
      <w:r w:rsidR="00303207">
        <w:rPr>
          <w:rFonts w:ascii="Times New Roman" w:eastAsia="Times New Roman" w:hAnsi="Times New Roman"/>
          <w:b/>
          <w:color w:val="auto"/>
          <w:sz w:val="28"/>
          <w:szCs w:val="28"/>
        </w:rPr>
        <w:t>.</w:t>
      </w:r>
      <w:r w:rsidRPr="00577593">
        <w:rPr>
          <w:rFonts w:ascii="Times New Roman" w:eastAsia="Times New Roman" w:hAnsi="Times New Roman"/>
          <w:b/>
          <w:color w:val="auto"/>
          <w:sz w:val="28"/>
          <w:szCs w:val="28"/>
        </w:rPr>
        <w:t xml:space="preserve"> Развитие промышленности</w:t>
      </w:r>
      <w:bookmarkEnd w:id="235"/>
      <w:bookmarkEnd w:id="236"/>
      <w:bookmarkEnd w:id="237"/>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Промышленный комплекс </w:t>
      </w:r>
      <w:r w:rsidR="00303207">
        <w:rPr>
          <w:rFonts w:ascii="Times New Roman" w:eastAsia="Times New Roman" w:hAnsi="Times New Roman"/>
          <w:sz w:val="28"/>
          <w:szCs w:val="28"/>
        </w:rPr>
        <w:t xml:space="preserve">города </w:t>
      </w:r>
      <w:r w:rsidRPr="00577593">
        <w:rPr>
          <w:rFonts w:ascii="Times New Roman" w:eastAsia="Times New Roman" w:hAnsi="Times New Roman"/>
          <w:sz w:val="28"/>
          <w:szCs w:val="28"/>
        </w:rPr>
        <w:t xml:space="preserve">Барнаула является основой экономики города. Вклад обрабатывающей промышленности в экономику составляет 23%, что выше, чем в среднем по Российской Федерации и Сибирскому федеральному округу. Мощный потенциал, созданный такими флагманами как «Алтайский вагоностроительный завод», «Сибэнергомаш», «Барнаултрансмаш» и «Алтайский шинный комбинат», обеспечивает городу статус национального лидера в стратегических отраслях: аграрном, энергетическом и транспортном машиностроении, а также в химической промышленности. Данная прочная основа создает исключительные условия для дальнейшей реализации стратегии развития, нацеленной </w:t>
      </w:r>
      <w:r w:rsidR="00D665FF" w:rsidRPr="00577593">
        <w:rPr>
          <w:rFonts w:ascii="Times New Roman" w:eastAsia="Times New Roman" w:hAnsi="Times New Roman"/>
          <w:sz w:val="28"/>
          <w:szCs w:val="28"/>
        </w:rPr>
        <w:br/>
      </w:r>
      <w:r w:rsidRPr="00577593">
        <w:rPr>
          <w:rFonts w:ascii="Times New Roman" w:eastAsia="Times New Roman" w:hAnsi="Times New Roman"/>
          <w:sz w:val="28"/>
          <w:szCs w:val="28"/>
        </w:rPr>
        <w:t xml:space="preserve">на технологическую модернизацию, повышение конкурентоспособности и укрепление позиций барнаульских предприятий на внутреннем и мировом рынках. </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В рамках национальных целей развития Российской Федерации </w:t>
      </w:r>
      <w:r w:rsidR="00D665FF" w:rsidRPr="00577593">
        <w:rPr>
          <w:rFonts w:ascii="Times New Roman" w:eastAsia="Times New Roman" w:hAnsi="Times New Roman"/>
          <w:sz w:val="28"/>
          <w:szCs w:val="28"/>
        </w:rPr>
        <w:br/>
      </w:r>
      <w:r w:rsidRPr="00577593">
        <w:rPr>
          <w:rFonts w:ascii="Times New Roman" w:eastAsia="Times New Roman" w:hAnsi="Times New Roman"/>
          <w:sz w:val="28"/>
          <w:szCs w:val="28"/>
        </w:rPr>
        <w:t xml:space="preserve">на период до 2030 года и на перспективу до 2036 года («Устойчивая </w:t>
      </w:r>
      <w:r w:rsidR="00D665FF" w:rsidRPr="00577593">
        <w:rPr>
          <w:rFonts w:ascii="Times New Roman" w:eastAsia="Times New Roman" w:hAnsi="Times New Roman"/>
          <w:sz w:val="28"/>
          <w:szCs w:val="28"/>
        </w:rPr>
        <w:br/>
      </w:r>
      <w:r w:rsidRPr="00577593">
        <w:rPr>
          <w:rFonts w:ascii="Times New Roman" w:eastAsia="Times New Roman" w:hAnsi="Times New Roman"/>
          <w:sz w:val="28"/>
          <w:szCs w:val="28"/>
        </w:rPr>
        <w:t>и динамичная экономика» и «Технологическое лидерство») определены следующие целевые показатели и задачи в области промышленного развития:</w:t>
      </w:r>
    </w:p>
    <w:p w:rsidR="00FC41F4" w:rsidRPr="00577593" w:rsidRDefault="008925FA" w:rsidP="008D738C">
      <w:pPr>
        <w:pStyle w:val="af5"/>
        <w:numPr>
          <w:ilvl w:val="0"/>
          <w:numId w:val="23"/>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обеспечение темпа роста валового внутреннего продукта страны выше среднемирового и выход не позднее 2030</w:t>
      </w:r>
      <w:r w:rsidR="00303207">
        <w:rPr>
          <w:rFonts w:ascii="Times New Roman" w:eastAsia="Times New Roman" w:hAnsi="Times New Roman"/>
          <w:sz w:val="28"/>
          <w:szCs w:val="28"/>
          <w:lang w:eastAsia="ru-RU"/>
        </w:rPr>
        <w:t xml:space="preserve"> </w:t>
      </w:r>
      <w:r w:rsidRPr="00577593">
        <w:rPr>
          <w:rFonts w:ascii="Times New Roman" w:eastAsia="Times New Roman" w:hAnsi="Times New Roman"/>
          <w:sz w:val="28"/>
          <w:szCs w:val="28"/>
          <w:lang w:eastAsia="ru-RU"/>
        </w:rPr>
        <w:t xml:space="preserve">года на четвертое место </w:t>
      </w:r>
      <w:r w:rsidR="00D665FF" w:rsidRPr="00577593">
        <w:rPr>
          <w:rFonts w:ascii="Times New Roman" w:eastAsia="Times New Roman" w:hAnsi="Times New Roman"/>
          <w:sz w:val="28"/>
          <w:szCs w:val="28"/>
          <w:lang w:eastAsia="ru-RU"/>
        </w:rPr>
        <w:br/>
      </w:r>
      <w:r w:rsidRPr="00577593">
        <w:rPr>
          <w:rFonts w:ascii="Times New Roman" w:eastAsia="Times New Roman" w:hAnsi="Times New Roman"/>
          <w:sz w:val="28"/>
          <w:szCs w:val="28"/>
          <w:lang w:eastAsia="ru-RU"/>
        </w:rPr>
        <w:t>в мире по объему валового внутреннего продукта, рассчитанного по паритету покупательной способности;</w:t>
      </w:r>
    </w:p>
    <w:p w:rsidR="00FC41F4" w:rsidRPr="00577593" w:rsidRDefault="008925FA" w:rsidP="008D738C">
      <w:pPr>
        <w:pStyle w:val="af5"/>
        <w:numPr>
          <w:ilvl w:val="0"/>
          <w:numId w:val="23"/>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снижение доли импорта товаров и услуг в структуре валового внутреннего продукта до 17 процентов к 2030 году;</w:t>
      </w:r>
    </w:p>
    <w:p w:rsidR="00FC41F4" w:rsidRPr="00577593" w:rsidRDefault="008925FA" w:rsidP="008D738C">
      <w:pPr>
        <w:pStyle w:val="af5"/>
        <w:numPr>
          <w:ilvl w:val="0"/>
          <w:numId w:val="23"/>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обеспечение к 2030 году прироста объема экспорта несырьевых неэнергетических товаров не менее чем на две трети по сравнению с показателем 2023 года;</w:t>
      </w:r>
    </w:p>
    <w:p w:rsidR="00FC41F4" w:rsidRPr="00577593" w:rsidRDefault="008925FA" w:rsidP="008D738C">
      <w:pPr>
        <w:pStyle w:val="af5"/>
        <w:numPr>
          <w:ilvl w:val="0"/>
          <w:numId w:val="23"/>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вхождение к 2030 году Российской Федерации в число 25 ведущих стран мира по показателю плотности роботизации;</w:t>
      </w:r>
    </w:p>
    <w:p w:rsidR="00FC41F4" w:rsidRPr="00577593" w:rsidRDefault="008925FA" w:rsidP="008D738C">
      <w:pPr>
        <w:pStyle w:val="af5"/>
        <w:numPr>
          <w:ilvl w:val="0"/>
          <w:numId w:val="23"/>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обеспечение технологической независимости и формирование новых рынков по таким направлениям, как биоэкономика, сбережение здоровья граждан, продовольственная безопасность, беспилотные авиационные системы, средства производства и автоматизации, транспортная мобильность (включая автономные транспортные средства), экономика данных и цифровая трансформация, искусственный интеллект, новые материалы и химия, перспективные космические технологии и сервисы, новые энергетические технологии (в том числе атомные);</w:t>
      </w:r>
    </w:p>
    <w:p w:rsidR="00FC41F4" w:rsidRPr="00577593" w:rsidRDefault="008925FA" w:rsidP="008D738C">
      <w:pPr>
        <w:pStyle w:val="af5"/>
        <w:numPr>
          <w:ilvl w:val="0"/>
          <w:numId w:val="23"/>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 xml:space="preserve">увеличение к 2030 году уровня валовой добавленной стоимости </w:t>
      </w:r>
      <w:r w:rsidR="00D665FF" w:rsidRPr="00577593">
        <w:rPr>
          <w:rFonts w:ascii="Times New Roman" w:eastAsia="Times New Roman" w:hAnsi="Times New Roman"/>
          <w:sz w:val="28"/>
          <w:szCs w:val="28"/>
          <w:lang w:eastAsia="ru-RU"/>
        </w:rPr>
        <w:br/>
      </w:r>
      <w:r w:rsidRPr="00577593">
        <w:rPr>
          <w:rFonts w:ascii="Times New Roman" w:eastAsia="Times New Roman" w:hAnsi="Times New Roman"/>
          <w:sz w:val="28"/>
          <w:szCs w:val="28"/>
          <w:lang w:eastAsia="ru-RU"/>
        </w:rPr>
        <w:t xml:space="preserve">в реальном выражении и индекса производства в обрабатывающей </w:t>
      </w:r>
      <w:r w:rsidRPr="00577593">
        <w:rPr>
          <w:rFonts w:ascii="Times New Roman" w:eastAsia="Times New Roman" w:hAnsi="Times New Roman"/>
          <w:sz w:val="28"/>
          <w:szCs w:val="28"/>
          <w:lang w:eastAsia="ru-RU"/>
        </w:rPr>
        <w:lastRenderedPageBreak/>
        <w:t>промышленности не менее чем на 40 процентов по сравнению с уровнем 2022 года;</w:t>
      </w:r>
    </w:p>
    <w:p w:rsidR="00FC41F4" w:rsidRPr="00577593" w:rsidRDefault="008925FA" w:rsidP="008D738C">
      <w:pPr>
        <w:pStyle w:val="af5"/>
        <w:numPr>
          <w:ilvl w:val="0"/>
          <w:numId w:val="23"/>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 xml:space="preserve">увеличение к 2030 году доли отечественных высокотехнологичных товаров и услуг, созданных на основе собственных линий разработки, </w:t>
      </w:r>
      <w:r w:rsidR="00D665FF" w:rsidRPr="00577593">
        <w:rPr>
          <w:rFonts w:ascii="Times New Roman" w:eastAsia="Times New Roman" w:hAnsi="Times New Roman"/>
          <w:sz w:val="28"/>
          <w:szCs w:val="28"/>
          <w:lang w:eastAsia="ru-RU"/>
        </w:rPr>
        <w:br/>
      </w:r>
      <w:r w:rsidRPr="00577593">
        <w:rPr>
          <w:rFonts w:ascii="Times New Roman" w:eastAsia="Times New Roman" w:hAnsi="Times New Roman"/>
          <w:sz w:val="28"/>
          <w:szCs w:val="28"/>
          <w:lang w:eastAsia="ru-RU"/>
        </w:rPr>
        <w:t>в общем объеме потребления таких товаров и услуг в Российской Федерации в полтора раза по сравнению с уровнем 2023 года.</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Стратегия социально-экономического развития Алтайского края </w:t>
      </w:r>
      <w:r w:rsidR="00D665FF" w:rsidRPr="00577593">
        <w:rPr>
          <w:rFonts w:ascii="Times New Roman" w:eastAsia="Times New Roman" w:hAnsi="Times New Roman"/>
          <w:sz w:val="28"/>
          <w:szCs w:val="28"/>
        </w:rPr>
        <w:br/>
      </w:r>
      <w:r w:rsidRPr="00577593">
        <w:rPr>
          <w:rFonts w:ascii="Times New Roman" w:eastAsia="Times New Roman" w:hAnsi="Times New Roman"/>
          <w:sz w:val="28"/>
          <w:szCs w:val="28"/>
        </w:rPr>
        <w:t>до 2035 года предполагает развитие промышленности в рамках приоритета «Экономические основы роста благосостояния». В числе стратегических задач обозначены:</w:t>
      </w:r>
    </w:p>
    <w:p w:rsidR="00FC41F4" w:rsidRPr="00577593" w:rsidRDefault="00303207" w:rsidP="008D738C">
      <w:pPr>
        <w:pStyle w:val="af5"/>
        <w:numPr>
          <w:ilvl w:val="0"/>
          <w:numId w:val="23"/>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эффективное использование природно-ресурсного потенциала региона;</w:t>
      </w:r>
    </w:p>
    <w:p w:rsidR="00FC41F4" w:rsidRPr="00577593" w:rsidRDefault="00303207" w:rsidP="008D738C">
      <w:pPr>
        <w:pStyle w:val="af5"/>
        <w:numPr>
          <w:ilvl w:val="0"/>
          <w:numId w:val="23"/>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технологическое развитие традиционных отраслей промышленности, опирающихся на конкурентные преимущества алтайского края;</w:t>
      </w:r>
    </w:p>
    <w:p w:rsidR="00FC41F4" w:rsidRPr="00577593" w:rsidRDefault="00303207" w:rsidP="008D738C">
      <w:pPr>
        <w:pStyle w:val="af5"/>
        <w:numPr>
          <w:ilvl w:val="0"/>
          <w:numId w:val="23"/>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создание новых производств на базе внедрения инновационных технологий;</w:t>
      </w:r>
    </w:p>
    <w:p w:rsidR="00FC41F4" w:rsidRPr="00577593" w:rsidRDefault="00303207" w:rsidP="008D738C">
      <w:pPr>
        <w:pStyle w:val="af5"/>
        <w:numPr>
          <w:ilvl w:val="0"/>
          <w:numId w:val="23"/>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расширение кооперационных межотраслевых связей промышленных предприятий и институтов развития.</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Многие полномочия, необходимые для реализации этих задач, относятся к краевому уровню. На краевом уровне реализуются, кроме прочего, государственная поддержка проектов, направленных на внедрение передовых технологий, создание и развитие кластерных объединений и новых институтов развития и грантовая поддержка научно-исследовательской работы.</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С учетом распределения зон ответственности между уровнями власти, со стороны администрации города</w:t>
      </w:r>
      <w:r w:rsidR="00BF467B">
        <w:rPr>
          <w:rFonts w:ascii="Times New Roman" w:eastAsia="Times New Roman" w:hAnsi="Times New Roman"/>
          <w:sz w:val="28"/>
          <w:szCs w:val="28"/>
        </w:rPr>
        <w:t xml:space="preserve"> Барнаула </w:t>
      </w:r>
      <w:r w:rsidRPr="00577593">
        <w:rPr>
          <w:rFonts w:ascii="Times New Roman" w:eastAsia="Times New Roman" w:hAnsi="Times New Roman"/>
          <w:sz w:val="28"/>
          <w:szCs w:val="28"/>
        </w:rPr>
        <w:t xml:space="preserve">предлагаются действия, дополняющую региональную финансовую поддержку муниципальной административной и информационной поддержкой. Выделены следующие направления реализации задачи по развитию промышленности в </w:t>
      </w:r>
      <w:r w:rsidR="00303207">
        <w:rPr>
          <w:rFonts w:ascii="Times New Roman" w:eastAsia="Times New Roman" w:hAnsi="Times New Roman"/>
          <w:sz w:val="28"/>
          <w:szCs w:val="28"/>
        </w:rPr>
        <w:t xml:space="preserve">городе </w:t>
      </w:r>
      <w:r w:rsidRPr="00577593">
        <w:rPr>
          <w:rFonts w:ascii="Times New Roman" w:eastAsia="Times New Roman" w:hAnsi="Times New Roman"/>
          <w:sz w:val="28"/>
          <w:szCs w:val="28"/>
        </w:rPr>
        <w:t xml:space="preserve">Барнауле </w:t>
      </w:r>
      <w:r w:rsidR="00303207">
        <w:rPr>
          <w:rFonts w:ascii="Times New Roman" w:eastAsia="Times New Roman" w:hAnsi="Times New Roman"/>
          <w:sz w:val="28"/>
          <w:szCs w:val="28"/>
        </w:rPr>
        <w:br/>
      </w:r>
      <w:r w:rsidRPr="00577593">
        <w:rPr>
          <w:rFonts w:ascii="Times New Roman" w:eastAsia="Times New Roman" w:hAnsi="Times New Roman"/>
          <w:sz w:val="28"/>
          <w:szCs w:val="28"/>
        </w:rPr>
        <w:t>до 2036 года:</w:t>
      </w:r>
    </w:p>
    <w:p w:rsidR="00FC41F4" w:rsidRPr="00303207" w:rsidRDefault="00303207" w:rsidP="00303207">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w:t>
      </w:r>
      <w:r w:rsidRPr="00303207">
        <w:rPr>
          <w:rFonts w:ascii="Times New Roman" w:eastAsia="Times New Roman" w:hAnsi="Times New Roman"/>
          <w:sz w:val="28"/>
          <w:szCs w:val="28"/>
          <w:lang w:eastAsia="ru-RU"/>
        </w:rPr>
        <w:t>содействие реализации федеральных и краевых программ развития промышленности в рамках муниципальных полномочий;</w:t>
      </w:r>
    </w:p>
    <w:p w:rsidR="00FC41F4" w:rsidRPr="00303207" w:rsidRDefault="00303207" w:rsidP="00303207">
      <w:pPr>
        <w:spacing w:after="0" w:line="240" w:lineRule="auto"/>
        <w:ind w:firstLine="709"/>
        <w:jc w:val="both"/>
        <w:rPr>
          <w:rFonts w:ascii="Times New Roman" w:eastAsia="Times New Roman" w:hAnsi="Times New Roman"/>
          <w:sz w:val="28"/>
          <w:szCs w:val="28"/>
          <w:lang w:eastAsia="ru-RU"/>
        </w:rPr>
      </w:pPr>
      <w:r w:rsidRPr="00303207">
        <w:rPr>
          <w:rFonts w:ascii="Times New Roman" w:eastAsia="Times New Roman" w:hAnsi="Times New Roman"/>
          <w:sz w:val="28"/>
          <w:szCs w:val="28"/>
          <w:lang w:eastAsia="ru-RU"/>
        </w:rPr>
        <w:t>– вовле</w:t>
      </w:r>
      <w:r>
        <w:rPr>
          <w:rFonts w:ascii="Times New Roman" w:eastAsia="Times New Roman" w:hAnsi="Times New Roman"/>
          <w:sz w:val="28"/>
          <w:szCs w:val="28"/>
          <w:lang w:eastAsia="ru-RU"/>
        </w:rPr>
        <w:t>чение промышленных предприятий города Б</w:t>
      </w:r>
      <w:r w:rsidRPr="00303207">
        <w:rPr>
          <w:rFonts w:ascii="Times New Roman" w:eastAsia="Times New Roman" w:hAnsi="Times New Roman"/>
          <w:sz w:val="28"/>
          <w:szCs w:val="28"/>
          <w:lang w:eastAsia="ru-RU"/>
        </w:rPr>
        <w:t>арнаула в кластерные объединения, программы региональных фондов и краевые программы поддержки;</w:t>
      </w:r>
    </w:p>
    <w:p w:rsidR="00FC41F4" w:rsidRPr="00303207" w:rsidRDefault="00303207" w:rsidP="00303207">
      <w:pPr>
        <w:spacing w:after="0" w:line="240" w:lineRule="auto"/>
        <w:ind w:firstLine="709"/>
        <w:jc w:val="both"/>
        <w:rPr>
          <w:rFonts w:ascii="Times New Roman" w:eastAsia="Times New Roman" w:hAnsi="Times New Roman"/>
          <w:sz w:val="28"/>
          <w:szCs w:val="28"/>
          <w:lang w:eastAsia="ru-RU"/>
        </w:rPr>
      </w:pPr>
      <w:r w:rsidRPr="00303207">
        <w:rPr>
          <w:rFonts w:ascii="Times New Roman" w:eastAsia="Times New Roman" w:hAnsi="Times New Roman"/>
          <w:sz w:val="28"/>
          <w:szCs w:val="28"/>
          <w:lang w:eastAsia="ru-RU"/>
        </w:rPr>
        <w:t>– налаживание кооперационных связей между крупным и малым бизнесом.</w:t>
      </w:r>
    </w:p>
    <w:p w:rsidR="00FC41F4" w:rsidRPr="00577593" w:rsidRDefault="008925FA" w:rsidP="008D738C">
      <w:pPr>
        <w:pStyle w:val="3"/>
        <w:pBdr>
          <w:top w:val="none" w:sz="4" w:space="0" w:color="000000"/>
          <w:left w:val="none" w:sz="4" w:space="0" w:color="000000"/>
          <w:bottom w:val="none" w:sz="4" w:space="0" w:color="000000"/>
          <w:right w:val="none" w:sz="4" w:space="0" w:color="000000"/>
        </w:pBdr>
        <w:spacing w:before="0" w:line="240" w:lineRule="auto"/>
        <w:ind w:firstLine="709"/>
        <w:jc w:val="both"/>
        <w:rPr>
          <w:rFonts w:ascii="Times New Roman" w:eastAsia="Times New Roman" w:hAnsi="Times New Roman"/>
          <w:color w:val="auto"/>
          <w:sz w:val="28"/>
          <w:szCs w:val="28"/>
        </w:rPr>
      </w:pPr>
      <w:bookmarkStart w:id="238" w:name="_Toc208496666"/>
      <w:bookmarkStart w:id="239" w:name="_Toc208668948"/>
      <w:bookmarkStart w:id="240" w:name="_Toc212804297"/>
      <w:r w:rsidRPr="00577593">
        <w:rPr>
          <w:rFonts w:ascii="Times New Roman" w:eastAsia="Times New Roman" w:hAnsi="Times New Roman"/>
          <w:color w:val="auto"/>
          <w:sz w:val="28"/>
          <w:szCs w:val="28"/>
        </w:rPr>
        <w:t>9.1.1.1</w:t>
      </w:r>
      <w:r w:rsidR="00303207">
        <w:rPr>
          <w:rFonts w:ascii="Times New Roman" w:eastAsia="Times New Roman" w:hAnsi="Times New Roman"/>
          <w:color w:val="auto"/>
          <w:sz w:val="28"/>
          <w:szCs w:val="28"/>
        </w:rPr>
        <w:t>.</w:t>
      </w:r>
      <w:r w:rsidRPr="00577593">
        <w:rPr>
          <w:rFonts w:ascii="Times New Roman" w:eastAsia="Times New Roman" w:hAnsi="Times New Roman"/>
          <w:color w:val="auto"/>
          <w:sz w:val="28"/>
          <w:szCs w:val="28"/>
        </w:rPr>
        <w:t xml:space="preserve"> Содействие реализации федеральных и краевых программ развития промышленности в рамках муниципальных полномочий</w:t>
      </w:r>
      <w:bookmarkEnd w:id="238"/>
      <w:bookmarkEnd w:id="239"/>
      <w:bookmarkEnd w:id="240"/>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Предполагается активное участие представителей администрации города Барнаула в деятельности Алтайского центра кластерного развития, Алтайского Фонда содействия инновациям, Алтайского фонда развитию </w:t>
      </w:r>
      <w:r w:rsidRPr="00577593">
        <w:rPr>
          <w:rFonts w:ascii="Times New Roman" w:eastAsia="Times New Roman" w:hAnsi="Times New Roman"/>
          <w:sz w:val="28"/>
          <w:szCs w:val="28"/>
        </w:rPr>
        <w:lastRenderedPageBreak/>
        <w:t xml:space="preserve">малого и среднего предпринимательства и других институтов развития. Необходимо постоянное взаимодействие администрации города Барнаула и исполнительных органов Алтайского края с представителями бизнеса для выявления ограничений по развитию промышленности на территории города и региона, определения путей решения по снижению таких ограничений. </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Для выявления барьеров могут проводиться опросы, встречи с представителями промышленности, круглые столы. Важно согласовывать подобную коммуникацию с краевыми институтами развития, чтобы избежать дублирования запросов и функций. Муниципалитет должен оперативно реагировать на запросы промышленных предприятий, которые находятся в рамках его полномочий (содействие в подключении необходимой инфраструктуры и коммуникации с ресурсоснабжающими компаниями, помощь в доработке заявок на получение необходимых разрешений и в прохождении экспертиз).</w:t>
      </w:r>
    </w:p>
    <w:p w:rsidR="00FC41F4" w:rsidRPr="00577593" w:rsidRDefault="008925FA" w:rsidP="008D738C">
      <w:pPr>
        <w:pStyle w:val="3"/>
        <w:pBdr>
          <w:top w:val="none" w:sz="4" w:space="0" w:color="000000"/>
          <w:left w:val="none" w:sz="4" w:space="0" w:color="000000"/>
          <w:bottom w:val="none" w:sz="4" w:space="0" w:color="000000"/>
          <w:right w:val="none" w:sz="4" w:space="0" w:color="000000"/>
        </w:pBdr>
        <w:spacing w:before="0" w:line="240" w:lineRule="auto"/>
        <w:ind w:firstLine="709"/>
        <w:jc w:val="both"/>
        <w:rPr>
          <w:rFonts w:ascii="Times New Roman" w:eastAsia="Times New Roman" w:hAnsi="Times New Roman"/>
          <w:color w:val="auto"/>
          <w:sz w:val="28"/>
          <w:szCs w:val="28"/>
        </w:rPr>
      </w:pPr>
      <w:bookmarkStart w:id="241" w:name="_Toc208496667"/>
      <w:bookmarkStart w:id="242" w:name="_Toc208668949"/>
      <w:bookmarkStart w:id="243" w:name="_Toc212804298"/>
      <w:r w:rsidRPr="00577593">
        <w:rPr>
          <w:rFonts w:ascii="Times New Roman" w:eastAsia="Times New Roman" w:hAnsi="Times New Roman"/>
          <w:color w:val="auto"/>
          <w:sz w:val="28"/>
          <w:szCs w:val="28"/>
        </w:rPr>
        <w:t>9.1.1.2</w:t>
      </w:r>
      <w:r w:rsidR="00303207">
        <w:rPr>
          <w:rFonts w:ascii="Times New Roman" w:eastAsia="Times New Roman" w:hAnsi="Times New Roman"/>
          <w:color w:val="auto"/>
          <w:sz w:val="28"/>
          <w:szCs w:val="28"/>
        </w:rPr>
        <w:t>.</w:t>
      </w:r>
      <w:r w:rsidRPr="00577593">
        <w:rPr>
          <w:rFonts w:ascii="Times New Roman" w:eastAsia="Times New Roman" w:hAnsi="Times New Roman"/>
          <w:color w:val="auto"/>
          <w:sz w:val="28"/>
          <w:szCs w:val="28"/>
        </w:rPr>
        <w:t xml:space="preserve"> Вовлечение промышленных предприятий </w:t>
      </w:r>
      <w:r w:rsidR="00303207">
        <w:rPr>
          <w:rFonts w:ascii="Times New Roman" w:eastAsia="Times New Roman" w:hAnsi="Times New Roman"/>
          <w:color w:val="auto"/>
          <w:sz w:val="28"/>
          <w:szCs w:val="28"/>
        </w:rPr>
        <w:t xml:space="preserve">города </w:t>
      </w:r>
      <w:r w:rsidRPr="00577593">
        <w:rPr>
          <w:rFonts w:ascii="Times New Roman" w:eastAsia="Times New Roman" w:hAnsi="Times New Roman"/>
          <w:color w:val="auto"/>
          <w:sz w:val="28"/>
          <w:szCs w:val="28"/>
        </w:rPr>
        <w:t>Барнаула в кластерные объединения, программы региональных фондов и краевые программы поддержки</w:t>
      </w:r>
      <w:bookmarkEnd w:id="241"/>
      <w:bookmarkEnd w:id="242"/>
      <w:bookmarkEnd w:id="243"/>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Муниципалитет выступает связующим звеном между краевыми институтами развития и исполнительн</w:t>
      </w:r>
      <w:r w:rsidR="008A30D7" w:rsidRPr="00577593">
        <w:rPr>
          <w:rFonts w:ascii="Times New Roman" w:eastAsia="Times New Roman" w:hAnsi="Times New Roman"/>
          <w:sz w:val="28"/>
          <w:szCs w:val="28"/>
        </w:rPr>
        <w:t>ыми органами</w:t>
      </w:r>
      <w:r w:rsidR="001C25E6" w:rsidRPr="00577593">
        <w:rPr>
          <w:rFonts w:ascii="Times New Roman" w:eastAsia="Times New Roman" w:hAnsi="Times New Roman"/>
          <w:sz w:val="28"/>
          <w:szCs w:val="28"/>
        </w:rPr>
        <w:t xml:space="preserve"> Алтайского края</w:t>
      </w:r>
      <w:r w:rsidR="009B7503" w:rsidRPr="00577593">
        <w:rPr>
          <w:rFonts w:ascii="Times New Roman" w:eastAsia="Times New Roman" w:hAnsi="Times New Roman"/>
          <w:sz w:val="28"/>
          <w:szCs w:val="28"/>
        </w:rPr>
        <w:t>,</w:t>
      </w:r>
      <w:r w:rsidRPr="00577593">
        <w:rPr>
          <w:rFonts w:ascii="Times New Roman" w:eastAsia="Times New Roman" w:hAnsi="Times New Roman"/>
          <w:sz w:val="28"/>
          <w:szCs w:val="28"/>
        </w:rPr>
        <w:t xml:space="preserve"> с одной стороны</w:t>
      </w:r>
      <w:r w:rsidR="009B7503" w:rsidRPr="00577593">
        <w:rPr>
          <w:rFonts w:ascii="Times New Roman" w:eastAsia="Times New Roman" w:hAnsi="Times New Roman"/>
          <w:sz w:val="28"/>
          <w:szCs w:val="28"/>
        </w:rPr>
        <w:t>,</w:t>
      </w:r>
      <w:r w:rsidRPr="00577593">
        <w:rPr>
          <w:rFonts w:ascii="Times New Roman" w:eastAsia="Times New Roman" w:hAnsi="Times New Roman"/>
          <w:sz w:val="28"/>
          <w:szCs w:val="28"/>
        </w:rPr>
        <w:t xml:space="preserve"> и</w:t>
      </w:r>
      <w:r w:rsidR="001C25E6" w:rsidRPr="00577593">
        <w:rPr>
          <w:rFonts w:ascii="Times New Roman" w:eastAsia="Times New Roman" w:hAnsi="Times New Roman"/>
          <w:sz w:val="28"/>
          <w:szCs w:val="28"/>
        </w:rPr>
        <w:t> </w:t>
      </w:r>
      <w:r w:rsidRPr="00577593">
        <w:rPr>
          <w:rFonts w:ascii="Times New Roman" w:eastAsia="Times New Roman" w:hAnsi="Times New Roman"/>
          <w:sz w:val="28"/>
          <w:szCs w:val="28"/>
        </w:rPr>
        <w:t>промышленными предприятиями, расположенными на территории города, с другой стороны. Барнаульские промышленные предприятия должны оперативно получать информацию обо всех доступных мерах поддержки, включая критерии и сроки отбора в программы институтов развития. В частности, промышленные компании, не участвующие в национальном проекте «Производительность труда», могут адресно приглашаться администрацией города на консультации о доступных мерах поддержки.</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При проведении деловых, управленческих и научно-производственных мероприятий администрация города представляет интересы промышленных компаний, расположенных на территории </w:t>
      </w:r>
      <w:r w:rsidR="00BC7F8B">
        <w:rPr>
          <w:rFonts w:ascii="Times New Roman" w:eastAsia="Times New Roman" w:hAnsi="Times New Roman"/>
          <w:sz w:val="28"/>
          <w:szCs w:val="28"/>
        </w:rPr>
        <w:t xml:space="preserve">города </w:t>
      </w:r>
      <w:r w:rsidRPr="00577593">
        <w:rPr>
          <w:rFonts w:ascii="Times New Roman" w:eastAsia="Times New Roman" w:hAnsi="Times New Roman"/>
          <w:sz w:val="28"/>
          <w:szCs w:val="28"/>
        </w:rPr>
        <w:t>Барнаула, и инициирует проведение мероприятий и запуск пилотных проектов именно в столице края. Муниципалитет должен быть представлен в делегациях Алтайского края на промышленных и стратегических мероприятиях для обеспечения высокого уровня информационно-консультационной поддержки, предоставляемой предприятиям.</w:t>
      </w:r>
    </w:p>
    <w:p w:rsidR="00FC41F4" w:rsidRPr="00577593" w:rsidRDefault="008925FA" w:rsidP="00410B0F">
      <w:pPr>
        <w:pStyle w:val="3"/>
        <w:pBdr>
          <w:top w:val="none" w:sz="4" w:space="0" w:color="000000"/>
          <w:left w:val="none" w:sz="4" w:space="0" w:color="000000"/>
          <w:bottom w:val="none" w:sz="4" w:space="0" w:color="000000"/>
          <w:right w:val="none" w:sz="4" w:space="0" w:color="000000"/>
        </w:pBdr>
        <w:spacing w:before="0" w:line="240" w:lineRule="auto"/>
        <w:ind w:firstLine="709"/>
        <w:jc w:val="both"/>
        <w:rPr>
          <w:rFonts w:ascii="Times New Roman" w:eastAsia="Times New Roman" w:hAnsi="Times New Roman"/>
          <w:color w:val="auto"/>
          <w:sz w:val="28"/>
          <w:szCs w:val="28"/>
        </w:rPr>
      </w:pPr>
      <w:bookmarkStart w:id="244" w:name="_Toc208496668"/>
      <w:bookmarkStart w:id="245" w:name="_Toc208668950"/>
      <w:bookmarkStart w:id="246" w:name="_Toc212804299"/>
      <w:r w:rsidRPr="00577593">
        <w:rPr>
          <w:rFonts w:ascii="Times New Roman" w:eastAsia="Times New Roman" w:hAnsi="Times New Roman"/>
          <w:color w:val="auto"/>
          <w:sz w:val="28"/>
          <w:szCs w:val="28"/>
        </w:rPr>
        <w:t>9.1.1.3</w:t>
      </w:r>
      <w:r w:rsidR="00303207">
        <w:rPr>
          <w:rFonts w:ascii="Times New Roman" w:eastAsia="Times New Roman" w:hAnsi="Times New Roman"/>
          <w:color w:val="auto"/>
          <w:sz w:val="28"/>
          <w:szCs w:val="28"/>
        </w:rPr>
        <w:t>.</w:t>
      </w:r>
      <w:r w:rsidRPr="00577593">
        <w:rPr>
          <w:rFonts w:ascii="Times New Roman" w:eastAsia="Times New Roman" w:hAnsi="Times New Roman"/>
          <w:color w:val="auto"/>
          <w:sz w:val="28"/>
          <w:szCs w:val="28"/>
        </w:rPr>
        <w:t xml:space="preserve"> Налаживание коопер</w:t>
      </w:r>
      <w:r w:rsidR="00410B0F">
        <w:rPr>
          <w:rFonts w:ascii="Times New Roman" w:eastAsia="Times New Roman" w:hAnsi="Times New Roman"/>
          <w:color w:val="auto"/>
          <w:sz w:val="28"/>
          <w:szCs w:val="28"/>
        </w:rPr>
        <w:t xml:space="preserve">ационных связей между крупным и </w:t>
      </w:r>
      <w:r w:rsidRPr="00577593">
        <w:rPr>
          <w:rFonts w:ascii="Times New Roman" w:eastAsia="Times New Roman" w:hAnsi="Times New Roman"/>
          <w:color w:val="auto"/>
          <w:sz w:val="28"/>
          <w:szCs w:val="28"/>
        </w:rPr>
        <w:t>малым бизнесом</w:t>
      </w:r>
      <w:bookmarkEnd w:id="244"/>
      <w:bookmarkEnd w:id="245"/>
      <w:bookmarkEnd w:id="246"/>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Планируется проводить совместные деловые мероприятия, стимулирующие обмен технологиями, образовательные мероприятия с участием представителей крупного и малого бизнеса. Одним из направлений может быть создание специализированного портала для обмена технологиями. Участие и использование портала может быть простимулировано со стороны местных и региональных властей путем предоставления преференций для бизнеса, например, налоговых вычетов.</w:t>
      </w:r>
    </w:p>
    <w:p w:rsidR="00FC41F4" w:rsidRPr="00577593" w:rsidRDefault="008925FA" w:rsidP="00BF467B">
      <w:pPr>
        <w:pBdr>
          <w:top w:val="none" w:sz="4" w:space="0" w:color="000000"/>
          <w:left w:val="none" w:sz="4" w:space="0" w:color="000000"/>
          <w:bottom w:val="none" w:sz="4" w:space="0" w:color="000000"/>
          <w:right w:val="none" w:sz="4" w:space="0" w:color="000000"/>
        </w:pBdr>
        <w:spacing w:after="0" w:line="330" w:lineRule="exact"/>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lastRenderedPageBreak/>
        <w:t>Возможна организация регулярных мероприятий (совместно с краевыми институтами развития), где предприятия представляют свои достижения и продукцию, технологические разработки и получают возможность найти заинтересованных клиентов среди представителей крупного бизнеса.</w:t>
      </w:r>
    </w:p>
    <w:p w:rsidR="00FC41F4" w:rsidRPr="00577593" w:rsidRDefault="008925FA" w:rsidP="00BF467B">
      <w:pPr>
        <w:pBdr>
          <w:top w:val="none" w:sz="4" w:space="0" w:color="000000"/>
          <w:left w:val="none" w:sz="4" w:space="0" w:color="000000"/>
          <w:bottom w:val="none" w:sz="4" w:space="0" w:color="000000"/>
          <w:right w:val="none" w:sz="4" w:space="0" w:color="000000"/>
        </w:pBdr>
        <w:spacing w:after="0" w:line="330" w:lineRule="exact"/>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Со стороны муниципалитета планируется организация хакатонов (командных мероприятий длиной в 1–3 дня, нацеленных на решение поставленной задачи) и акселераторов (образовательных и практических курсов длиной в несколько недель, направленных на развитие идеи проекта участников с помощью наставничества и консультаций экспертов). Хакатоны и акселераторы следует сделать открытыми для участия как существующих, так и потенциальных субъектов МСП (в частности, студентов старших курсов). Предприятия смогут выступить в роли заказчиков, ставящих конкретные задачи промышленного развития и предоставляющих наставничество</w:t>
      </w:r>
      <w:r w:rsidR="00303207">
        <w:rPr>
          <w:rFonts w:ascii="Times New Roman" w:eastAsia="Times New Roman" w:hAnsi="Times New Roman"/>
          <w:sz w:val="28"/>
          <w:szCs w:val="28"/>
        </w:rPr>
        <w:t>.</w:t>
      </w:r>
      <w:r w:rsidRPr="00577593">
        <w:rPr>
          <w:rFonts w:ascii="Times New Roman" w:eastAsia="Times New Roman" w:hAnsi="Times New Roman"/>
          <w:sz w:val="28"/>
          <w:szCs w:val="28"/>
        </w:rPr>
        <w:t xml:space="preserve"> Действующие и потенциальные субъекты </w:t>
      </w:r>
      <w:r w:rsidR="00410B0F">
        <w:rPr>
          <w:rFonts w:ascii="Times New Roman" w:eastAsia="Times New Roman" w:hAnsi="Times New Roman"/>
          <w:sz w:val="28"/>
          <w:szCs w:val="28"/>
        </w:rPr>
        <w:t>малого и среднего предпринимательства</w:t>
      </w:r>
      <w:r w:rsidRPr="00577593">
        <w:rPr>
          <w:rFonts w:ascii="Times New Roman" w:eastAsia="Times New Roman" w:hAnsi="Times New Roman"/>
          <w:sz w:val="28"/>
          <w:szCs w:val="28"/>
        </w:rPr>
        <w:t xml:space="preserve"> смогут выступать в роли разработчиков решений, презентуя решения в форме пилотного проекта. </w:t>
      </w:r>
    </w:p>
    <w:p w:rsidR="00FC41F4" w:rsidRPr="00577593" w:rsidRDefault="008925FA" w:rsidP="00BF467B">
      <w:pPr>
        <w:pBdr>
          <w:top w:val="none" w:sz="4" w:space="0" w:color="000000"/>
          <w:left w:val="none" w:sz="4" w:space="0" w:color="000000"/>
          <w:bottom w:val="none" w:sz="4" w:space="0" w:color="000000"/>
          <w:right w:val="none" w:sz="4" w:space="0" w:color="000000"/>
        </w:pBdr>
        <w:spacing w:after="0" w:line="330" w:lineRule="exact"/>
        <w:ind w:firstLine="709"/>
        <w:jc w:val="both"/>
        <w:rPr>
          <w:rFonts w:ascii="Times New Roman" w:hAnsi="Times New Roman"/>
          <w:sz w:val="28"/>
          <w:szCs w:val="28"/>
        </w:rPr>
      </w:pPr>
      <w:r w:rsidRPr="00577593">
        <w:rPr>
          <w:rFonts w:ascii="Times New Roman" w:eastAsia="Times New Roman" w:hAnsi="Times New Roman"/>
          <w:sz w:val="28"/>
          <w:szCs w:val="28"/>
        </w:rPr>
        <w:t xml:space="preserve">Целесообразна организация рекламной кампании «Сделано в Барнауле» для продвижения товаров народного потребления, произведенных в городе. Реклама местных производств на остановках общественного транспорта и в прессе, онлайн-продвижение простимулирует местные предприятия третичного сектора </w:t>
      </w:r>
      <w:r w:rsidR="00D53DC9" w:rsidRPr="00577593">
        <w:rPr>
          <w:rFonts w:ascii="Times New Roman" w:eastAsia="Times New Roman" w:hAnsi="Times New Roman"/>
          <w:sz w:val="28"/>
          <w:szCs w:val="28"/>
        </w:rPr>
        <w:t>–</w:t>
      </w:r>
      <w:r w:rsidRPr="00577593">
        <w:rPr>
          <w:rFonts w:ascii="Times New Roman" w:eastAsia="Times New Roman" w:hAnsi="Times New Roman"/>
          <w:sz w:val="28"/>
          <w:szCs w:val="28"/>
        </w:rPr>
        <w:t xml:space="preserve"> гостиницы, рестораны, кафе и магазины </w:t>
      </w:r>
      <w:r w:rsidR="00D53DC9" w:rsidRPr="00577593">
        <w:rPr>
          <w:rFonts w:ascii="Times New Roman" w:eastAsia="Times New Roman" w:hAnsi="Times New Roman"/>
          <w:sz w:val="28"/>
          <w:szCs w:val="28"/>
        </w:rPr>
        <w:t>–</w:t>
      </w:r>
      <w:r w:rsidRPr="00577593">
        <w:rPr>
          <w:rFonts w:ascii="Times New Roman" w:eastAsia="Times New Roman" w:hAnsi="Times New Roman"/>
          <w:sz w:val="28"/>
          <w:szCs w:val="28"/>
        </w:rPr>
        <w:t xml:space="preserve"> закупать необходимые товары не в других городах, а у местных производителей, где это возможно.</w:t>
      </w:r>
    </w:p>
    <w:p w:rsidR="00FC41F4" w:rsidRPr="00577593" w:rsidRDefault="008925FA" w:rsidP="00BF467B">
      <w:pPr>
        <w:pStyle w:val="3"/>
        <w:pBdr>
          <w:top w:val="none" w:sz="4" w:space="0" w:color="000000"/>
          <w:left w:val="none" w:sz="4" w:space="0" w:color="000000"/>
          <w:bottom w:val="none" w:sz="4" w:space="0" w:color="000000"/>
          <w:right w:val="none" w:sz="4" w:space="0" w:color="000000"/>
        </w:pBdr>
        <w:spacing w:before="0" w:line="330" w:lineRule="exact"/>
        <w:ind w:firstLine="709"/>
        <w:rPr>
          <w:rFonts w:ascii="Times New Roman" w:eastAsia="Times New Roman" w:hAnsi="Times New Roman"/>
          <w:b/>
          <w:color w:val="auto"/>
          <w:sz w:val="28"/>
          <w:szCs w:val="28"/>
        </w:rPr>
      </w:pPr>
      <w:bookmarkStart w:id="247" w:name="_Toc204923027"/>
      <w:bookmarkStart w:id="248" w:name="_Toc204933361"/>
      <w:bookmarkStart w:id="249" w:name="_Toc208496669"/>
      <w:bookmarkStart w:id="250" w:name="_Toc208668951"/>
      <w:bookmarkStart w:id="251" w:name="_Toc212804300"/>
      <w:r w:rsidRPr="00577593">
        <w:rPr>
          <w:rFonts w:ascii="Times New Roman" w:eastAsia="Times New Roman" w:hAnsi="Times New Roman"/>
          <w:b/>
          <w:color w:val="auto"/>
          <w:sz w:val="28"/>
          <w:szCs w:val="28"/>
        </w:rPr>
        <w:t>9.1.2</w:t>
      </w:r>
      <w:r w:rsidR="00303207">
        <w:rPr>
          <w:rFonts w:ascii="Times New Roman" w:eastAsia="Times New Roman" w:hAnsi="Times New Roman"/>
          <w:b/>
          <w:color w:val="auto"/>
          <w:sz w:val="28"/>
          <w:szCs w:val="28"/>
        </w:rPr>
        <w:t>.</w:t>
      </w:r>
      <w:r w:rsidRPr="00577593">
        <w:rPr>
          <w:rFonts w:ascii="Times New Roman" w:eastAsia="Times New Roman" w:hAnsi="Times New Roman"/>
          <w:b/>
          <w:color w:val="auto"/>
          <w:sz w:val="28"/>
          <w:szCs w:val="28"/>
        </w:rPr>
        <w:t xml:space="preserve"> </w:t>
      </w:r>
      <w:bookmarkEnd w:id="247"/>
      <w:bookmarkEnd w:id="248"/>
      <w:bookmarkEnd w:id="249"/>
      <w:bookmarkEnd w:id="250"/>
      <w:bookmarkEnd w:id="251"/>
      <w:r w:rsidR="0039257D" w:rsidRPr="00577593">
        <w:rPr>
          <w:rFonts w:ascii="Times New Roman" w:eastAsia="Times New Roman" w:hAnsi="Times New Roman"/>
          <w:b/>
          <w:color w:val="auto"/>
          <w:sz w:val="28"/>
          <w:szCs w:val="28"/>
        </w:rPr>
        <w:t>Создание благоприятных условий для развития малого и среднего предпринимательства</w:t>
      </w:r>
    </w:p>
    <w:p w:rsidR="00FC41F4" w:rsidRPr="00577593" w:rsidRDefault="008925FA" w:rsidP="00BF467B">
      <w:pPr>
        <w:pBdr>
          <w:top w:val="none" w:sz="4" w:space="0" w:color="000000"/>
          <w:left w:val="none" w:sz="4" w:space="0" w:color="000000"/>
          <w:bottom w:val="none" w:sz="4" w:space="0" w:color="000000"/>
          <w:right w:val="none" w:sz="4" w:space="0" w:color="000000"/>
        </w:pBdr>
        <w:spacing w:after="0" w:line="330" w:lineRule="exact"/>
        <w:ind w:firstLine="709"/>
        <w:jc w:val="both"/>
        <w:rPr>
          <w:rFonts w:ascii="Times New Roman" w:hAnsi="Times New Roman"/>
          <w:sz w:val="28"/>
          <w:szCs w:val="28"/>
        </w:rPr>
      </w:pPr>
      <w:r w:rsidRPr="00577593">
        <w:rPr>
          <w:rFonts w:ascii="Times New Roman" w:eastAsia="Times New Roman" w:hAnsi="Times New Roman"/>
          <w:sz w:val="28"/>
          <w:szCs w:val="28"/>
        </w:rPr>
        <w:t xml:space="preserve">Развитие малого и среднего предпринимательства является одним из ключевых факторов экономического роста города Барнаула. Почти 50% субъектов МСП Алтайского края зарегистрированы на территории </w:t>
      </w:r>
      <w:r w:rsidR="00BC7F8B">
        <w:rPr>
          <w:rFonts w:ascii="Times New Roman" w:eastAsia="Times New Roman" w:hAnsi="Times New Roman"/>
          <w:sz w:val="28"/>
          <w:szCs w:val="28"/>
        </w:rPr>
        <w:t xml:space="preserve">города </w:t>
      </w:r>
      <w:r w:rsidRPr="00577593">
        <w:rPr>
          <w:rFonts w:ascii="Times New Roman" w:eastAsia="Times New Roman" w:hAnsi="Times New Roman"/>
          <w:sz w:val="28"/>
          <w:szCs w:val="28"/>
        </w:rPr>
        <w:t>Барнаула.</w:t>
      </w:r>
    </w:p>
    <w:p w:rsidR="00FC41F4" w:rsidRPr="00577593" w:rsidRDefault="008925FA" w:rsidP="00BF467B">
      <w:pPr>
        <w:pBdr>
          <w:top w:val="none" w:sz="4" w:space="0" w:color="000000"/>
          <w:left w:val="none" w:sz="4" w:space="0" w:color="000000"/>
          <w:bottom w:val="none" w:sz="4" w:space="0" w:color="000000"/>
          <w:right w:val="none" w:sz="4" w:space="0" w:color="000000"/>
        </w:pBdr>
        <w:spacing w:after="0" w:line="330" w:lineRule="exact"/>
        <w:ind w:firstLine="709"/>
        <w:jc w:val="both"/>
        <w:rPr>
          <w:rFonts w:ascii="Times New Roman" w:hAnsi="Times New Roman"/>
          <w:sz w:val="28"/>
          <w:szCs w:val="28"/>
        </w:rPr>
      </w:pPr>
      <w:r w:rsidRPr="00577593">
        <w:rPr>
          <w:rFonts w:ascii="Times New Roman" w:eastAsia="Times New Roman" w:hAnsi="Times New Roman"/>
          <w:sz w:val="28"/>
          <w:szCs w:val="28"/>
        </w:rPr>
        <w:t>Целью федерального проекта «Малое и среднее предпринимательство и поддержка индивидуальной предпринимательской инициативы», входящего в состав национального проекта «Эффективная и конкурентная экономика», и соответствующего регионального проекта является обеспечение реального роста дохода на одного работника субъекта малого и среднего предпринимательства в 1,2 раза выше, чем рост валового внутреннего продукта. Его ключевая задача – стимулирование роста МСП в приоритетных отраслях экономики и перехода компаний в «более высокую» категорию.</w:t>
      </w:r>
    </w:p>
    <w:p w:rsidR="00FC41F4" w:rsidRPr="00577593" w:rsidRDefault="008925FA" w:rsidP="00BF467B">
      <w:pPr>
        <w:pBdr>
          <w:top w:val="none" w:sz="4" w:space="0" w:color="000000"/>
          <w:left w:val="none" w:sz="4" w:space="0" w:color="000000"/>
          <w:bottom w:val="none" w:sz="4" w:space="0" w:color="000000"/>
          <w:right w:val="none" w:sz="4" w:space="0" w:color="000000"/>
        </w:pBdr>
        <w:spacing w:after="0" w:line="330" w:lineRule="exact"/>
        <w:ind w:firstLine="709"/>
        <w:jc w:val="both"/>
        <w:rPr>
          <w:rFonts w:ascii="Times New Roman" w:hAnsi="Times New Roman"/>
          <w:sz w:val="28"/>
          <w:szCs w:val="28"/>
        </w:rPr>
      </w:pPr>
      <w:r w:rsidRPr="00577593">
        <w:rPr>
          <w:rFonts w:ascii="Times New Roman" w:eastAsia="Times New Roman" w:hAnsi="Times New Roman"/>
          <w:sz w:val="28"/>
          <w:szCs w:val="28"/>
        </w:rPr>
        <w:t>В 2025</w:t>
      </w:r>
      <w:r w:rsidR="00D53DC9" w:rsidRPr="00577593">
        <w:rPr>
          <w:rFonts w:ascii="Times New Roman" w:eastAsia="Times New Roman" w:hAnsi="Times New Roman"/>
          <w:sz w:val="28"/>
          <w:szCs w:val="28"/>
        </w:rPr>
        <w:t>-</w:t>
      </w:r>
      <w:r w:rsidRPr="00577593">
        <w:rPr>
          <w:rFonts w:ascii="Times New Roman" w:eastAsia="Times New Roman" w:hAnsi="Times New Roman"/>
          <w:sz w:val="28"/>
          <w:szCs w:val="28"/>
        </w:rPr>
        <w:t>2030 годах в Алтайском крае планируется сохранить основные инструменты поддержки сферы МСП и адаптировать их с учетом актуальных задач, связанных с качественными изменениями в секторе МСП. Акцент будет сделан на:</w:t>
      </w:r>
    </w:p>
    <w:p w:rsidR="00FC41F4" w:rsidRPr="00577593" w:rsidRDefault="008925FA" w:rsidP="008D738C">
      <w:pPr>
        <w:pStyle w:val="af5"/>
        <w:numPr>
          <w:ilvl w:val="0"/>
          <w:numId w:val="23"/>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lastRenderedPageBreak/>
        <w:t>расширение доступа к финансовым ресурсам субъектов МСП в приоритетных отраслях;</w:t>
      </w:r>
    </w:p>
    <w:p w:rsidR="00FC41F4" w:rsidRPr="00577593" w:rsidRDefault="008925FA" w:rsidP="008D738C">
      <w:pPr>
        <w:pStyle w:val="af5"/>
        <w:numPr>
          <w:ilvl w:val="0"/>
          <w:numId w:val="23"/>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увеличение охвата субъектов МСП услугами и мерами инфраструктуры поддержки субъектов МСП.</w:t>
      </w:r>
    </w:p>
    <w:p w:rsidR="00FC41F4" w:rsidRPr="00577593" w:rsidRDefault="008925FA" w:rsidP="00303207">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В регионе сформирована многоуровневая система поддержки предпринимательских инициатив на каждом этапе их реализации: от самозанятости до выхода на международные рынки. Значительная часть входящих в ее состав инфраструктурных объектов расположена в </w:t>
      </w:r>
      <w:r w:rsidR="00BC7F8B">
        <w:rPr>
          <w:rFonts w:ascii="Times New Roman" w:eastAsia="Times New Roman" w:hAnsi="Times New Roman"/>
          <w:sz w:val="28"/>
          <w:szCs w:val="28"/>
        </w:rPr>
        <w:t xml:space="preserve">городе </w:t>
      </w:r>
      <w:r w:rsidRPr="00577593">
        <w:rPr>
          <w:rFonts w:ascii="Times New Roman" w:eastAsia="Times New Roman" w:hAnsi="Times New Roman"/>
          <w:sz w:val="28"/>
          <w:szCs w:val="28"/>
        </w:rPr>
        <w:t xml:space="preserve">Барнауле. В их числе: региональный центр «Мой бизнес», МКК «Фонд Финансирования», технопарк «Компонент» и др. На площадках города проводятся различные масштабные и тематические мероприятия с участием ведущих экспертов. В целом для предпринимателей Алтайского края и, в том числе столицы региона, доступны порядка </w:t>
      </w:r>
      <w:r w:rsidR="00BF467B">
        <w:rPr>
          <w:rFonts w:ascii="Times New Roman" w:eastAsia="Times New Roman" w:hAnsi="Times New Roman"/>
          <w:sz w:val="28"/>
          <w:szCs w:val="28"/>
        </w:rPr>
        <w:t>100</w:t>
      </w:r>
      <w:r w:rsidRPr="00577593">
        <w:rPr>
          <w:rFonts w:ascii="Times New Roman" w:eastAsia="Times New Roman" w:hAnsi="Times New Roman"/>
          <w:sz w:val="28"/>
          <w:szCs w:val="28"/>
        </w:rPr>
        <w:t xml:space="preserve"> стимулирующих мер. Таким образом, </w:t>
      </w:r>
      <w:r w:rsidR="00BC7F8B">
        <w:rPr>
          <w:rFonts w:ascii="Times New Roman" w:eastAsia="Times New Roman" w:hAnsi="Times New Roman"/>
          <w:sz w:val="28"/>
          <w:szCs w:val="28"/>
        </w:rPr>
        <w:t>город</w:t>
      </w:r>
      <w:r w:rsidRPr="00577593">
        <w:rPr>
          <w:rFonts w:ascii="Times New Roman" w:eastAsia="Times New Roman" w:hAnsi="Times New Roman"/>
          <w:sz w:val="28"/>
          <w:szCs w:val="28"/>
        </w:rPr>
        <w:t xml:space="preserve"> располагает существенными ресурсами для дальнейшего развития сферы МСП в соответствии с обозначенными приоритетами. </w:t>
      </w:r>
    </w:p>
    <w:p w:rsidR="00FC41F4" w:rsidRPr="00577593" w:rsidRDefault="008925FA" w:rsidP="00303207">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В дополнение к федеральному и региональному проектам администрацией города </w:t>
      </w:r>
      <w:r w:rsidR="00BF467B">
        <w:rPr>
          <w:rFonts w:ascii="Times New Roman" w:eastAsia="Times New Roman" w:hAnsi="Times New Roman"/>
          <w:sz w:val="28"/>
          <w:szCs w:val="28"/>
        </w:rPr>
        <w:t xml:space="preserve">Барнаула </w:t>
      </w:r>
      <w:r w:rsidRPr="00577593">
        <w:rPr>
          <w:rFonts w:ascii="Times New Roman" w:eastAsia="Times New Roman" w:hAnsi="Times New Roman"/>
          <w:sz w:val="28"/>
          <w:szCs w:val="28"/>
        </w:rPr>
        <w:t>предполагается реализовать инициативы, направленные на:</w:t>
      </w:r>
    </w:p>
    <w:p w:rsidR="00FC41F4" w:rsidRPr="00303207" w:rsidRDefault="00303207" w:rsidP="00303207">
      <w:pPr>
        <w:tabs>
          <w:tab w:val="left" w:pos="993"/>
        </w:tabs>
        <w:spacing w:after="0" w:line="240" w:lineRule="auto"/>
        <w:ind w:firstLine="709"/>
        <w:jc w:val="both"/>
        <w:rPr>
          <w:rFonts w:ascii="Times New Roman" w:eastAsia="Times New Roman" w:hAnsi="Times New Roman"/>
          <w:sz w:val="28"/>
          <w:szCs w:val="28"/>
          <w:lang w:eastAsia="ru-RU"/>
        </w:rPr>
      </w:pPr>
      <w:r w:rsidRPr="00303207">
        <w:rPr>
          <w:rFonts w:ascii="Times New Roman" w:eastAsia="Times New Roman" w:hAnsi="Times New Roman"/>
          <w:sz w:val="28"/>
          <w:szCs w:val="28"/>
          <w:lang w:eastAsia="ru-RU"/>
        </w:rPr>
        <w:t>– совершенствование условий ведения бизнеса на территории города</w:t>
      </w:r>
      <w:r w:rsidR="00573781">
        <w:rPr>
          <w:rFonts w:ascii="Times New Roman" w:eastAsia="Times New Roman" w:hAnsi="Times New Roman"/>
          <w:sz w:val="28"/>
          <w:szCs w:val="28"/>
          <w:lang w:eastAsia="ru-RU"/>
        </w:rPr>
        <w:t>;</w:t>
      </w:r>
    </w:p>
    <w:p w:rsidR="00FC41F4" w:rsidRPr="00303207" w:rsidRDefault="00303207" w:rsidP="00303207">
      <w:pPr>
        <w:tabs>
          <w:tab w:val="left" w:pos="993"/>
        </w:tabs>
        <w:spacing w:after="0" w:line="240" w:lineRule="auto"/>
        <w:ind w:firstLine="709"/>
        <w:jc w:val="both"/>
        <w:rPr>
          <w:rFonts w:ascii="Times New Roman" w:eastAsia="Times New Roman" w:hAnsi="Times New Roman"/>
          <w:sz w:val="28"/>
          <w:szCs w:val="28"/>
          <w:lang w:eastAsia="ru-RU"/>
        </w:rPr>
      </w:pPr>
      <w:r w:rsidRPr="00303207">
        <w:rPr>
          <w:rFonts w:ascii="Times New Roman" w:eastAsia="Times New Roman" w:hAnsi="Times New Roman"/>
          <w:sz w:val="28"/>
          <w:szCs w:val="28"/>
          <w:lang w:eastAsia="ru-RU"/>
        </w:rPr>
        <w:t xml:space="preserve">– развитие инновационной активности субъектов </w:t>
      </w:r>
      <w:r>
        <w:rPr>
          <w:rFonts w:ascii="Times New Roman" w:eastAsia="Times New Roman" w:hAnsi="Times New Roman"/>
          <w:sz w:val="28"/>
          <w:szCs w:val="28"/>
          <w:lang w:eastAsia="ru-RU"/>
        </w:rPr>
        <w:t>МСП</w:t>
      </w:r>
      <w:r w:rsidR="00573781">
        <w:rPr>
          <w:rFonts w:ascii="Times New Roman" w:eastAsia="Times New Roman" w:hAnsi="Times New Roman"/>
          <w:sz w:val="28"/>
          <w:szCs w:val="28"/>
          <w:lang w:eastAsia="ru-RU"/>
        </w:rPr>
        <w:t>;</w:t>
      </w:r>
    </w:p>
    <w:p w:rsidR="00FC41F4" w:rsidRPr="00303207" w:rsidRDefault="00303207" w:rsidP="00303207">
      <w:pPr>
        <w:tabs>
          <w:tab w:val="left" w:pos="993"/>
        </w:tabs>
        <w:spacing w:after="0" w:line="240" w:lineRule="auto"/>
        <w:ind w:firstLine="709"/>
        <w:jc w:val="both"/>
        <w:rPr>
          <w:rFonts w:ascii="Times New Roman" w:eastAsia="Times New Roman" w:hAnsi="Times New Roman"/>
          <w:sz w:val="28"/>
          <w:szCs w:val="28"/>
          <w:lang w:eastAsia="ru-RU"/>
        </w:rPr>
      </w:pPr>
      <w:r w:rsidRPr="00303207">
        <w:rPr>
          <w:rFonts w:ascii="Times New Roman" w:eastAsia="Times New Roman" w:hAnsi="Times New Roman"/>
          <w:sz w:val="28"/>
          <w:szCs w:val="28"/>
          <w:lang w:eastAsia="ru-RU"/>
        </w:rPr>
        <w:t>– развитие креативных индустрий</w:t>
      </w:r>
      <w:r w:rsidR="00573781">
        <w:rPr>
          <w:rFonts w:ascii="Times New Roman" w:eastAsia="Times New Roman" w:hAnsi="Times New Roman"/>
          <w:sz w:val="28"/>
          <w:szCs w:val="28"/>
          <w:lang w:eastAsia="ru-RU"/>
        </w:rPr>
        <w:t>;</w:t>
      </w:r>
    </w:p>
    <w:p w:rsidR="00FC41F4" w:rsidRPr="00303207" w:rsidRDefault="00303207" w:rsidP="00303207">
      <w:pPr>
        <w:spacing w:after="0" w:line="240" w:lineRule="auto"/>
        <w:ind w:firstLine="709"/>
        <w:jc w:val="both"/>
        <w:rPr>
          <w:rFonts w:ascii="Times New Roman" w:eastAsia="Times New Roman" w:hAnsi="Times New Roman"/>
          <w:sz w:val="28"/>
          <w:szCs w:val="28"/>
          <w:lang w:eastAsia="ru-RU"/>
        </w:rPr>
      </w:pPr>
      <w:r w:rsidRPr="00303207">
        <w:rPr>
          <w:rFonts w:ascii="Times New Roman" w:eastAsia="Times New Roman" w:hAnsi="Times New Roman"/>
          <w:sz w:val="28"/>
          <w:szCs w:val="28"/>
          <w:lang w:eastAsia="ru-RU"/>
        </w:rPr>
        <w:t xml:space="preserve">– повышение популярности предпринимательства среди </w:t>
      </w:r>
      <w:r w:rsidR="008925FA" w:rsidRPr="00303207">
        <w:rPr>
          <w:rFonts w:ascii="Times New Roman" w:eastAsia="Times New Roman" w:hAnsi="Times New Roman"/>
          <w:sz w:val="28"/>
          <w:szCs w:val="28"/>
          <w:lang w:eastAsia="ru-RU"/>
        </w:rPr>
        <w:t>населения.</w:t>
      </w:r>
    </w:p>
    <w:p w:rsidR="00FC41F4" w:rsidRPr="00577593" w:rsidRDefault="008925FA" w:rsidP="008D738C">
      <w:pPr>
        <w:pStyle w:val="3"/>
        <w:pBdr>
          <w:top w:val="none" w:sz="4" w:space="0" w:color="000000"/>
          <w:left w:val="none" w:sz="4" w:space="0" w:color="000000"/>
          <w:bottom w:val="none" w:sz="4" w:space="0" w:color="000000"/>
          <w:right w:val="none" w:sz="4" w:space="0" w:color="000000"/>
        </w:pBdr>
        <w:spacing w:before="0" w:line="240" w:lineRule="auto"/>
        <w:ind w:firstLine="709"/>
        <w:jc w:val="both"/>
        <w:rPr>
          <w:rFonts w:ascii="Times New Roman" w:eastAsia="Times New Roman" w:hAnsi="Times New Roman"/>
          <w:color w:val="auto"/>
          <w:sz w:val="28"/>
          <w:szCs w:val="28"/>
        </w:rPr>
      </w:pPr>
      <w:bookmarkStart w:id="252" w:name="_Toc208496670"/>
      <w:bookmarkStart w:id="253" w:name="_Toc208668952"/>
      <w:bookmarkStart w:id="254" w:name="_Toc212804301"/>
      <w:r w:rsidRPr="00577593">
        <w:rPr>
          <w:rFonts w:ascii="Times New Roman" w:eastAsia="Times New Roman" w:hAnsi="Times New Roman"/>
          <w:color w:val="auto"/>
          <w:sz w:val="28"/>
          <w:szCs w:val="28"/>
        </w:rPr>
        <w:t>9.1.2.1</w:t>
      </w:r>
      <w:r w:rsidR="00303207">
        <w:rPr>
          <w:rFonts w:ascii="Times New Roman" w:eastAsia="Times New Roman" w:hAnsi="Times New Roman"/>
          <w:color w:val="auto"/>
          <w:sz w:val="28"/>
          <w:szCs w:val="28"/>
        </w:rPr>
        <w:t>.</w:t>
      </w:r>
      <w:r w:rsidRPr="00577593">
        <w:rPr>
          <w:rFonts w:ascii="Times New Roman" w:eastAsia="Times New Roman" w:hAnsi="Times New Roman"/>
          <w:color w:val="auto"/>
          <w:sz w:val="28"/>
          <w:szCs w:val="28"/>
        </w:rPr>
        <w:t xml:space="preserve"> Совершенствование условий ведения бизнеса на территории города</w:t>
      </w:r>
      <w:bookmarkEnd w:id="252"/>
      <w:bookmarkEnd w:id="253"/>
      <w:bookmarkEnd w:id="254"/>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Со стороны администрации </w:t>
      </w:r>
      <w:r w:rsidR="00BF467B">
        <w:rPr>
          <w:rFonts w:ascii="Times New Roman" w:eastAsia="Times New Roman" w:hAnsi="Times New Roman"/>
          <w:sz w:val="28"/>
          <w:szCs w:val="28"/>
        </w:rPr>
        <w:t xml:space="preserve">города Барнаула </w:t>
      </w:r>
      <w:r w:rsidRPr="00577593">
        <w:rPr>
          <w:rFonts w:ascii="Times New Roman" w:eastAsia="Times New Roman" w:hAnsi="Times New Roman"/>
          <w:sz w:val="28"/>
          <w:szCs w:val="28"/>
        </w:rPr>
        <w:t>важной работой будет являться содействие в совершенствовании условий ведения бизнеса на территории города, активное взаимодействие с региональными институтами поддержки субъектов МСП, и в целом, с инфраструктурой поддержки субъектов МСП, которая уже сформирована на территории региона и города.</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Со стороны </w:t>
      </w:r>
      <w:r w:rsidR="00BF467B" w:rsidRPr="00BF467B">
        <w:rPr>
          <w:rFonts w:ascii="Times New Roman" w:eastAsia="Times New Roman" w:hAnsi="Times New Roman"/>
          <w:sz w:val="28"/>
          <w:szCs w:val="28"/>
        </w:rPr>
        <w:t xml:space="preserve">администрации города Барнаула </w:t>
      </w:r>
      <w:r w:rsidRPr="00577593">
        <w:rPr>
          <w:rFonts w:ascii="Times New Roman" w:eastAsia="Times New Roman" w:hAnsi="Times New Roman"/>
          <w:sz w:val="28"/>
          <w:szCs w:val="28"/>
        </w:rPr>
        <w:t>будет осуществляться работа по информированию о мерах поддержки субъектов МСП, содействие в их получении, информирование о свободных производственных площадках, в том числе на территории индустриальных парков, содействие взаимодействия крупного и малого бизнеса (см. подробнее подраздел 9.1.1.3</w:t>
      </w:r>
      <w:r w:rsidR="00BC7F8B">
        <w:rPr>
          <w:rFonts w:ascii="Times New Roman" w:eastAsia="Times New Roman" w:hAnsi="Times New Roman"/>
          <w:sz w:val="28"/>
          <w:szCs w:val="28"/>
        </w:rPr>
        <w:t>.</w:t>
      </w:r>
      <w:r w:rsidRPr="00577593">
        <w:rPr>
          <w:rFonts w:ascii="Times New Roman" w:eastAsia="Times New Roman" w:hAnsi="Times New Roman"/>
          <w:sz w:val="28"/>
          <w:szCs w:val="28"/>
        </w:rPr>
        <w:t>) реализация совместных мероприятий с центром «Мой бизнес», в том числе путем предоставления городских площадок, например, парков.</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Поддержка субъектов МСП может </w:t>
      </w:r>
      <w:r w:rsidR="00BF467B" w:rsidRPr="00577593">
        <w:rPr>
          <w:rFonts w:ascii="Times New Roman" w:eastAsia="Times New Roman" w:hAnsi="Times New Roman"/>
          <w:sz w:val="28"/>
          <w:szCs w:val="28"/>
        </w:rPr>
        <w:t xml:space="preserve">быть </w:t>
      </w:r>
      <w:r w:rsidRPr="00577593">
        <w:rPr>
          <w:rFonts w:ascii="Times New Roman" w:eastAsia="Times New Roman" w:hAnsi="Times New Roman"/>
          <w:sz w:val="28"/>
          <w:szCs w:val="28"/>
        </w:rPr>
        <w:t>специально направлена на осуществление совместной деятельности субъектов МСП, предусматривающей совместную аренду недвижимости и земельных участков, реконструкцию недвижимости и редевелопмент промышленных территорий и общественных пространств, создание общей инфраструктуры, таким образом город будет поддерживать кооперацию.</w:t>
      </w:r>
    </w:p>
    <w:p w:rsidR="00FC41F4" w:rsidRPr="00577593" w:rsidRDefault="008925FA" w:rsidP="008D738C">
      <w:pPr>
        <w:pStyle w:val="3"/>
        <w:pBdr>
          <w:top w:val="none" w:sz="4" w:space="0" w:color="000000"/>
          <w:left w:val="none" w:sz="4" w:space="0" w:color="000000"/>
          <w:bottom w:val="none" w:sz="4" w:space="0" w:color="000000"/>
          <w:right w:val="none" w:sz="4" w:space="0" w:color="000000"/>
        </w:pBdr>
        <w:spacing w:before="0" w:line="240" w:lineRule="auto"/>
        <w:ind w:firstLine="709"/>
        <w:jc w:val="both"/>
        <w:rPr>
          <w:rFonts w:ascii="Times New Roman" w:hAnsi="Times New Roman"/>
          <w:color w:val="auto"/>
          <w:sz w:val="28"/>
          <w:szCs w:val="28"/>
        </w:rPr>
      </w:pPr>
      <w:bookmarkStart w:id="255" w:name="_Toc208496671"/>
      <w:bookmarkStart w:id="256" w:name="_Toc208668953"/>
      <w:bookmarkStart w:id="257" w:name="_Toc212804302"/>
      <w:r w:rsidRPr="00577593">
        <w:rPr>
          <w:rFonts w:ascii="Times New Roman" w:eastAsia="Times New Roman" w:hAnsi="Times New Roman"/>
          <w:color w:val="auto"/>
          <w:sz w:val="28"/>
          <w:szCs w:val="28"/>
        </w:rPr>
        <w:lastRenderedPageBreak/>
        <w:t>9.1.2.2</w:t>
      </w:r>
      <w:r w:rsidR="00303207">
        <w:rPr>
          <w:rFonts w:ascii="Times New Roman" w:eastAsia="Times New Roman" w:hAnsi="Times New Roman"/>
          <w:color w:val="auto"/>
          <w:sz w:val="28"/>
          <w:szCs w:val="28"/>
        </w:rPr>
        <w:t>.</w:t>
      </w:r>
      <w:r w:rsidRPr="00577593">
        <w:rPr>
          <w:rFonts w:ascii="Times New Roman" w:eastAsia="Times New Roman" w:hAnsi="Times New Roman"/>
          <w:color w:val="auto"/>
          <w:sz w:val="28"/>
          <w:szCs w:val="28"/>
        </w:rPr>
        <w:t xml:space="preserve"> Развитие инновационной активности субъектов МСП</w:t>
      </w:r>
      <w:bookmarkEnd w:id="255"/>
      <w:bookmarkEnd w:id="256"/>
      <w:bookmarkEnd w:id="257"/>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Для повышения доли отраслей с высокой добавленной стоимостью, повышения уровня заработной платы среди субъектов МСП одним из важных направлений будет являться стимулирование инновационной активности. В городе предлагается развитие инфраструктурного обеспечения инновационной активности среди субъектов МСП путем содействия в поиске помещений и земельных участков, информационной поддержки, обучающих программ от научных институтов, университетов для детей и взрослых, доступ к производственным площадям и помещениям, к лабораториям и оборудованию.</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В случае отсутствия свободных помещений, отвечающих запросу предпринимателей, </w:t>
      </w:r>
      <w:r w:rsidR="00BF467B" w:rsidRPr="00BF467B">
        <w:rPr>
          <w:rFonts w:ascii="Times New Roman" w:eastAsia="Times New Roman" w:hAnsi="Times New Roman"/>
          <w:sz w:val="28"/>
          <w:szCs w:val="28"/>
        </w:rPr>
        <w:t>администрац</w:t>
      </w:r>
      <w:r w:rsidR="00BF467B">
        <w:rPr>
          <w:rFonts w:ascii="Times New Roman" w:eastAsia="Times New Roman" w:hAnsi="Times New Roman"/>
          <w:sz w:val="28"/>
          <w:szCs w:val="28"/>
        </w:rPr>
        <w:t>ией</w:t>
      </w:r>
      <w:r w:rsidR="00BF467B" w:rsidRPr="00BF467B">
        <w:rPr>
          <w:rFonts w:ascii="Times New Roman" w:eastAsia="Times New Roman" w:hAnsi="Times New Roman"/>
          <w:sz w:val="28"/>
          <w:szCs w:val="28"/>
        </w:rPr>
        <w:t xml:space="preserve"> города Барнаула</w:t>
      </w:r>
      <w:r w:rsidRPr="00577593">
        <w:rPr>
          <w:rFonts w:ascii="Times New Roman" w:eastAsia="Times New Roman" w:hAnsi="Times New Roman"/>
          <w:sz w:val="28"/>
          <w:szCs w:val="28"/>
        </w:rPr>
        <w:t xml:space="preserve"> могут быть реализованы следующие шаги: организация доступа на льготных условиях к производственным площадкам путем переговоров с их владельцами; стимулирование частных владельцев коммерческих и производственных помещений к предоставлению площадей субъектам МСП, осуществляющим инновационную деятельность, путем </w:t>
      </w:r>
      <w:r w:rsidR="00C74B3C">
        <w:rPr>
          <w:rFonts w:ascii="Times New Roman" w:eastAsia="Times New Roman" w:hAnsi="Times New Roman"/>
          <w:sz w:val="28"/>
          <w:szCs w:val="28"/>
        </w:rPr>
        <w:t xml:space="preserve">оказания содействия в </w:t>
      </w:r>
      <w:r w:rsidRPr="00577593">
        <w:rPr>
          <w:rFonts w:ascii="Times New Roman" w:eastAsia="Times New Roman" w:hAnsi="Times New Roman"/>
          <w:sz w:val="28"/>
          <w:szCs w:val="28"/>
        </w:rPr>
        <w:t>предоставлени</w:t>
      </w:r>
      <w:r w:rsidR="00C74B3C">
        <w:rPr>
          <w:rFonts w:ascii="Times New Roman" w:eastAsia="Times New Roman" w:hAnsi="Times New Roman"/>
          <w:sz w:val="28"/>
          <w:szCs w:val="28"/>
        </w:rPr>
        <w:t>и</w:t>
      </w:r>
      <w:r w:rsidRPr="00577593">
        <w:rPr>
          <w:rFonts w:ascii="Times New Roman" w:eastAsia="Times New Roman" w:hAnsi="Times New Roman"/>
          <w:sz w:val="28"/>
          <w:szCs w:val="28"/>
        </w:rPr>
        <w:t xml:space="preserve"> налоговых льгот владельцам помещений; организация строительства лайт-индастриал площадок на базе муниципально-частного партнерства. Необходимо проведение работы по привлечению частных инвесторов к реализации проектов на территории города.</w:t>
      </w:r>
    </w:p>
    <w:p w:rsidR="00FC41F4" w:rsidRPr="00577593" w:rsidRDefault="008925FA" w:rsidP="008D738C">
      <w:pPr>
        <w:pStyle w:val="3"/>
        <w:pBdr>
          <w:top w:val="none" w:sz="4" w:space="0" w:color="000000"/>
          <w:left w:val="none" w:sz="4" w:space="0" w:color="000000"/>
          <w:bottom w:val="none" w:sz="4" w:space="0" w:color="000000"/>
          <w:right w:val="none" w:sz="4" w:space="0" w:color="000000"/>
        </w:pBdr>
        <w:spacing w:before="0" w:line="240" w:lineRule="auto"/>
        <w:ind w:firstLine="709"/>
        <w:jc w:val="both"/>
        <w:rPr>
          <w:rFonts w:ascii="Times New Roman" w:hAnsi="Times New Roman"/>
          <w:color w:val="auto"/>
          <w:sz w:val="28"/>
          <w:szCs w:val="28"/>
        </w:rPr>
      </w:pPr>
      <w:bookmarkStart w:id="258" w:name="_Toc208496672"/>
      <w:bookmarkStart w:id="259" w:name="_Toc208668954"/>
      <w:bookmarkStart w:id="260" w:name="_Toc212804303"/>
      <w:r w:rsidRPr="00577593">
        <w:rPr>
          <w:rFonts w:ascii="Times New Roman" w:eastAsia="Times New Roman" w:hAnsi="Times New Roman"/>
          <w:color w:val="auto"/>
          <w:sz w:val="28"/>
          <w:szCs w:val="28"/>
        </w:rPr>
        <w:t>9.1.2.3</w:t>
      </w:r>
      <w:r w:rsidR="00303207">
        <w:rPr>
          <w:rFonts w:ascii="Times New Roman" w:eastAsia="Times New Roman" w:hAnsi="Times New Roman"/>
          <w:color w:val="auto"/>
          <w:sz w:val="28"/>
          <w:szCs w:val="28"/>
        </w:rPr>
        <w:t>.</w:t>
      </w:r>
      <w:r w:rsidRPr="00577593">
        <w:rPr>
          <w:rFonts w:ascii="Times New Roman" w:eastAsia="Times New Roman" w:hAnsi="Times New Roman"/>
          <w:color w:val="auto"/>
          <w:sz w:val="28"/>
          <w:szCs w:val="28"/>
        </w:rPr>
        <w:t xml:space="preserve"> Развитие креативных индустрий</w:t>
      </w:r>
      <w:bookmarkEnd w:id="258"/>
      <w:bookmarkEnd w:id="259"/>
      <w:bookmarkEnd w:id="260"/>
    </w:p>
    <w:p w:rsidR="00672209"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PT Astra Serif" w:hAnsi="Times New Roman"/>
          <w:sz w:val="28"/>
          <w:szCs w:val="28"/>
          <w:lang w:eastAsia="ru-RU"/>
        </w:rPr>
      </w:pPr>
      <w:r w:rsidRPr="00577593">
        <w:rPr>
          <w:rFonts w:ascii="Times New Roman" w:eastAsia="Times New Roman" w:hAnsi="Times New Roman"/>
          <w:sz w:val="28"/>
          <w:szCs w:val="28"/>
        </w:rPr>
        <w:t xml:space="preserve">Данное направление стало стратегическим как на федеральном, так и на региональном уровне. На федеральном уровне установлен закрытый перечень видов деятельности, которые отнесены к креативным индустриям. Установлены целевые показатели по доле, которую креативные индустрии должны занимать в ВВП страны: 6% к 2030 году. </w:t>
      </w:r>
      <w:r w:rsidR="00672209" w:rsidRPr="00577593">
        <w:rPr>
          <w:rFonts w:ascii="Times New Roman" w:eastAsia="Times New Roman" w:hAnsi="Times New Roman"/>
          <w:sz w:val="28"/>
          <w:szCs w:val="28"/>
        </w:rPr>
        <w:t xml:space="preserve">На уровне региона </w:t>
      </w:r>
      <w:r w:rsidR="00672209" w:rsidRPr="00577593">
        <w:rPr>
          <w:rFonts w:ascii="Times New Roman" w:eastAsia="PT Astra Serif" w:hAnsi="Times New Roman"/>
          <w:sz w:val="28"/>
          <w:szCs w:val="28"/>
          <w:lang w:eastAsia="ru-RU"/>
        </w:rPr>
        <w:t>принят закон Алтайского края от 29.09.2025 №236 «О полномочиях органов государственной власти Алтайского края в сфере креативных (творческих) индустрий». Определена опорная организация в сфере креативных индустрий – НО «Алтайский фонд МСП». Организовано функционирование портала мойкреатив22.рф, совмещающего функции маркетплейса и площадки для общения и популяризации товаров и услуг представителей креативных индустрий края.</w:t>
      </w:r>
    </w:p>
    <w:p w:rsidR="00FC41F4" w:rsidRPr="00577593" w:rsidRDefault="008925FA" w:rsidP="00C74B3C">
      <w:pPr>
        <w:pBdr>
          <w:top w:val="none" w:sz="4" w:space="0" w:color="000000"/>
          <w:left w:val="none" w:sz="4" w:space="0" w:color="000000"/>
          <w:bottom w:val="none" w:sz="4" w:space="0" w:color="000000"/>
          <w:right w:val="none" w:sz="4" w:space="0" w:color="000000"/>
        </w:pBdr>
        <w:spacing w:after="0" w:line="330" w:lineRule="exact"/>
        <w:ind w:firstLine="709"/>
        <w:jc w:val="both"/>
        <w:rPr>
          <w:rFonts w:ascii="Times New Roman" w:hAnsi="Times New Roman"/>
          <w:sz w:val="28"/>
          <w:szCs w:val="28"/>
        </w:rPr>
      </w:pPr>
      <w:r w:rsidRPr="00577593">
        <w:rPr>
          <w:rFonts w:ascii="Times New Roman" w:eastAsia="Times New Roman" w:hAnsi="Times New Roman"/>
          <w:sz w:val="28"/>
          <w:szCs w:val="28"/>
        </w:rPr>
        <w:t xml:space="preserve">В городе необходимо стимулирование создания новых современных и качественных пространств для развития креативных индустрий. Реализация данного направления прежде всего может быть осуществлена путем содействия в поиске земельных участков бизнесу, который осуществляет </w:t>
      </w:r>
      <w:r w:rsidR="00200597">
        <w:rPr>
          <w:rFonts w:ascii="Times New Roman" w:eastAsia="Times New Roman" w:hAnsi="Times New Roman"/>
          <w:sz w:val="28"/>
          <w:szCs w:val="28"/>
        </w:rPr>
        <w:t>ви</w:t>
      </w:r>
      <w:r w:rsidR="00C74B3C">
        <w:rPr>
          <w:rFonts w:ascii="Times New Roman" w:eastAsia="Times New Roman" w:hAnsi="Times New Roman"/>
          <w:sz w:val="28"/>
          <w:szCs w:val="28"/>
        </w:rPr>
        <w:t>ды деятельности</w:t>
      </w:r>
      <w:r w:rsidRPr="00577593">
        <w:rPr>
          <w:rFonts w:ascii="Times New Roman" w:eastAsia="Times New Roman" w:hAnsi="Times New Roman"/>
          <w:sz w:val="28"/>
          <w:szCs w:val="28"/>
        </w:rPr>
        <w:t>, отнесенны</w:t>
      </w:r>
      <w:r w:rsidR="00C74B3C">
        <w:rPr>
          <w:rFonts w:ascii="Times New Roman" w:eastAsia="Times New Roman" w:hAnsi="Times New Roman"/>
          <w:sz w:val="28"/>
          <w:szCs w:val="28"/>
        </w:rPr>
        <w:t>е</w:t>
      </w:r>
      <w:r w:rsidRPr="00577593">
        <w:rPr>
          <w:rFonts w:ascii="Times New Roman" w:eastAsia="Times New Roman" w:hAnsi="Times New Roman"/>
          <w:sz w:val="28"/>
          <w:szCs w:val="28"/>
        </w:rPr>
        <w:t xml:space="preserve"> к креативным индустриям в соответствии с </w:t>
      </w:r>
      <w:r w:rsidR="00C74B3C">
        <w:rPr>
          <w:rFonts w:ascii="Times New Roman" w:eastAsia="Times New Roman" w:hAnsi="Times New Roman"/>
          <w:sz w:val="28"/>
          <w:szCs w:val="28"/>
        </w:rPr>
        <w:t>п</w:t>
      </w:r>
      <w:r w:rsidRPr="00577593">
        <w:rPr>
          <w:rFonts w:ascii="Times New Roman" w:eastAsia="Times New Roman" w:hAnsi="Times New Roman"/>
          <w:sz w:val="28"/>
          <w:szCs w:val="28"/>
        </w:rPr>
        <w:t xml:space="preserve">риказом Минэкономразвития России от 23.04.2025 №266 «Об утверждении перечня видов экономической деятельности в сфере креативных (творческих) индустрий на основе Общероссийского классификатора видов экономической деятельности». Креативные пространства могут также создаваться путем редевелопмента </w:t>
      </w:r>
      <w:r w:rsidRPr="00577593">
        <w:rPr>
          <w:rFonts w:ascii="Times New Roman" w:eastAsia="Times New Roman" w:hAnsi="Times New Roman"/>
          <w:sz w:val="28"/>
          <w:szCs w:val="28"/>
        </w:rPr>
        <w:lastRenderedPageBreak/>
        <w:t>незадействованных промышленных производств, в молодежных центрах, в домах культуры.</w:t>
      </w:r>
    </w:p>
    <w:p w:rsidR="00FC41F4" w:rsidRPr="00577593" w:rsidRDefault="008925FA" w:rsidP="00C74B3C">
      <w:pPr>
        <w:pBdr>
          <w:top w:val="none" w:sz="4" w:space="0" w:color="000000"/>
          <w:left w:val="none" w:sz="4" w:space="0" w:color="000000"/>
          <w:bottom w:val="none" w:sz="4" w:space="0" w:color="000000"/>
          <w:right w:val="none" w:sz="4" w:space="0" w:color="000000"/>
        </w:pBdr>
        <w:spacing w:after="0" w:line="330" w:lineRule="exact"/>
        <w:ind w:firstLine="709"/>
        <w:jc w:val="both"/>
        <w:rPr>
          <w:rFonts w:ascii="Times New Roman" w:hAnsi="Times New Roman"/>
          <w:sz w:val="28"/>
          <w:szCs w:val="28"/>
        </w:rPr>
      </w:pPr>
      <w:r w:rsidRPr="00577593">
        <w:rPr>
          <w:rFonts w:ascii="Times New Roman" w:eastAsia="Times New Roman" w:hAnsi="Times New Roman"/>
          <w:sz w:val="28"/>
          <w:szCs w:val="28"/>
        </w:rPr>
        <w:t>Важным критерием при предоставлении земельных участков для организации креативных кластеров также должна являться уже сложившаяся кооперация между предпринимателями. Предприятиям, которые уже наладили взаимодействие между собой, но нуждаются в расширении бизнеса, предлагается отдавать предпочтение. Креативные кластеры имеют высокий потенциал не только для бизнеса, но и для города в целом, так как могут становиться точками притяжения, включающими уникальные функции, например, возможность увидеть или даже поучаствовать в работе реальных производств, если говорить о ремеслах. Такие объекты притягивают дополнительные сервисы торговли и услуг, становятся точками притяжения не только для местных жителей, но и для туристов.</w:t>
      </w:r>
    </w:p>
    <w:p w:rsidR="00FC41F4" w:rsidRPr="00577593" w:rsidRDefault="008925FA" w:rsidP="00C74B3C">
      <w:pPr>
        <w:pBdr>
          <w:top w:val="none" w:sz="4" w:space="0" w:color="000000"/>
          <w:left w:val="none" w:sz="4" w:space="0" w:color="000000"/>
          <w:bottom w:val="none" w:sz="4" w:space="0" w:color="000000"/>
          <w:right w:val="none" w:sz="4" w:space="0" w:color="000000"/>
        </w:pBdr>
        <w:spacing w:after="0" w:line="330" w:lineRule="exact"/>
        <w:ind w:firstLine="709"/>
        <w:jc w:val="both"/>
        <w:rPr>
          <w:rFonts w:ascii="Times New Roman" w:hAnsi="Times New Roman"/>
          <w:sz w:val="28"/>
          <w:szCs w:val="28"/>
        </w:rPr>
      </w:pPr>
      <w:r w:rsidRPr="00577593">
        <w:rPr>
          <w:rFonts w:ascii="Times New Roman" w:eastAsia="Times New Roman" w:hAnsi="Times New Roman"/>
          <w:sz w:val="28"/>
          <w:szCs w:val="28"/>
        </w:rPr>
        <w:t>В рамках будущего конгресс-центра также предлагается организовать помещения, которые смогут использоваться под размещение креативных индустрий. Таким образом, наполнение конгресс-центра будет обеспечено не только событийной программой, но и постоянной арендой помещений представителями бизнеса, которые круглый год будут обеспечивать рабочие места, мероприятия (мастер-классы, экскурсии на производство), в таком случае помещения не будут простаивать.</w:t>
      </w:r>
    </w:p>
    <w:p w:rsidR="00FC41F4" w:rsidRPr="00577593" w:rsidRDefault="008925FA" w:rsidP="00C74B3C">
      <w:pPr>
        <w:pStyle w:val="3"/>
        <w:pBdr>
          <w:top w:val="none" w:sz="4" w:space="0" w:color="000000"/>
          <w:left w:val="none" w:sz="4" w:space="0" w:color="000000"/>
          <w:bottom w:val="none" w:sz="4" w:space="0" w:color="000000"/>
          <w:right w:val="none" w:sz="4" w:space="0" w:color="000000"/>
        </w:pBdr>
        <w:spacing w:before="0" w:line="330" w:lineRule="exact"/>
        <w:ind w:firstLine="709"/>
        <w:jc w:val="both"/>
        <w:rPr>
          <w:rFonts w:ascii="Times New Roman" w:hAnsi="Times New Roman"/>
          <w:color w:val="auto"/>
          <w:sz w:val="28"/>
          <w:szCs w:val="28"/>
        </w:rPr>
      </w:pPr>
      <w:bookmarkStart w:id="261" w:name="_Toc208496673"/>
      <w:bookmarkStart w:id="262" w:name="_Toc208668955"/>
      <w:bookmarkStart w:id="263" w:name="_Toc212804304"/>
      <w:r w:rsidRPr="00577593">
        <w:rPr>
          <w:rFonts w:ascii="Times New Roman" w:eastAsia="Times New Roman" w:hAnsi="Times New Roman"/>
          <w:color w:val="auto"/>
          <w:sz w:val="28"/>
          <w:szCs w:val="28"/>
        </w:rPr>
        <w:t>9.1.2.4</w:t>
      </w:r>
      <w:r w:rsidR="00303207">
        <w:rPr>
          <w:rFonts w:ascii="Times New Roman" w:eastAsia="Times New Roman" w:hAnsi="Times New Roman"/>
          <w:color w:val="auto"/>
          <w:sz w:val="28"/>
          <w:szCs w:val="28"/>
        </w:rPr>
        <w:t>.</w:t>
      </w:r>
      <w:r w:rsidRPr="00577593">
        <w:rPr>
          <w:rFonts w:ascii="Times New Roman" w:eastAsia="Times New Roman" w:hAnsi="Times New Roman"/>
          <w:color w:val="auto"/>
          <w:sz w:val="28"/>
          <w:szCs w:val="28"/>
        </w:rPr>
        <w:t xml:space="preserve"> Повышение популярности предпринимательства среди населения</w:t>
      </w:r>
      <w:bookmarkEnd w:id="261"/>
      <w:bookmarkEnd w:id="262"/>
      <w:bookmarkEnd w:id="263"/>
    </w:p>
    <w:p w:rsidR="00FC41F4" w:rsidRPr="00577593" w:rsidRDefault="008925FA" w:rsidP="00C74B3C">
      <w:pPr>
        <w:pBdr>
          <w:top w:val="none" w:sz="4" w:space="0" w:color="000000"/>
          <w:left w:val="none" w:sz="4" w:space="0" w:color="000000"/>
          <w:bottom w:val="none" w:sz="4" w:space="0" w:color="000000"/>
          <w:right w:val="none" w:sz="4" w:space="0" w:color="000000"/>
        </w:pBdr>
        <w:spacing w:after="0" w:line="330" w:lineRule="exact"/>
        <w:ind w:firstLine="709"/>
        <w:jc w:val="both"/>
        <w:rPr>
          <w:rFonts w:ascii="Times New Roman" w:hAnsi="Times New Roman"/>
          <w:sz w:val="28"/>
          <w:szCs w:val="28"/>
        </w:rPr>
      </w:pPr>
      <w:r w:rsidRPr="00577593">
        <w:rPr>
          <w:rFonts w:ascii="Times New Roman" w:eastAsia="Times New Roman" w:hAnsi="Times New Roman"/>
          <w:sz w:val="28"/>
          <w:szCs w:val="28"/>
        </w:rPr>
        <w:t>Широкий набор образовательных курсов и мероприятий, направленных не только на информирование, но и на получение глубоких прикладных знаний в сфере предпринимательства, позволит привлекать население к открытию собственного бизнеса. Важно также предусмотреть возможность не только прослушать лекцию, но и лично пообщаться с представителями бизнеса, задать все интересующие вопросы, договориться о прохождении стажировки.</w:t>
      </w:r>
    </w:p>
    <w:p w:rsidR="00FC41F4" w:rsidRPr="00577593" w:rsidRDefault="008925FA" w:rsidP="00C74B3C">
      <w:pPr>
        <w:pBdr>
          <w:top w:val="none" w:sz="4" w:space="0" w:color="000000"/>
          <w:left w:val="none" w:sz="4" w:space="0" w:color="000000"/>
          <w:bottom w:val="none" w:sz="4" w:space="0" w:color="000000"/>
          <w:right w:val="none" w:sz="4" w:space="0" w:color="000000"/>
        </w:pBdr>
        <w:spacing w:after="0" w:line="330" w:lineRule="exact"/>
        <w:ind w:firstLine="709"/>
        <w:jc w:val="both"/>
        <w:rPr>
          <w:rFonts w:ascii="Times New Roman" w:hAnsi="Times New Roman"/>
          <w:sz w:val="28"/>
          <w:szCs w:val="28"/>
        </w:rPr>
      </w:pPr>
      <w:r w:rsidRPr="00577593">
        <w:rPr>
          <w:rFonts w:ascii="Times New Roman" w:eastAsia="Times New Roman" w:hAnsi="Times New Roman"/>
          <w:sz w:val="28"/>
          <w:szCs w:val="28"/>
        </w:rPr>
        <w:t>Для развития данного направления важным аспектом является задействование маркетинговых каналов. Вся информация о проводящихся курсах и мастер-классах должна быть представлена на сайте города, как и все доступные меры поддержки на всех уровнях и четкие инструкции по их получению.</w:t>
      </w:r>
    </w:p>
    <w:p w:rsidR="00FC41F4" w:rsidRPr="00577593" w:rsidRDefault="008925FA" w:rsidP="00C74B3C">
      <w:pPr>
        <w:pBdr>
          <w:top w:val="none" w:sz="4" w:space="0" w:color="000000"/>
          <w:left w:val="none" w:sz="4" w:space="0" w:color="000000"/>
          <w:bottom w:val="none" w:sz="4" w:space="0" w:color="000000"/>
          <w:right w:val="none" w:sz="4" w:space="0" w:color="000000"/>
        </w:pBdr>
        <w:spacing w:after="0" w:line="330" w:lineRule="exact"/>
        <w:ind w:firstLine="709"/>
        <w:jc w:val="both"/>
        <w:rPr>
          <w:rFonts w:ascii="Times New Roman" w:hAnsi="Times New Roman"/>
          <w:sz w:val="28"/>
          <w:szCs w:val="28"/>
        </w:rPr>
      </w:pPr>
      <w:r w:rsidRPr="00577593">
        <w:rPr>
          <w:rFonts w:ascii="Times New Roman" w:eastAsia="Times New Roman" w:hAnsi="Times New Roman"/>
          <w:sz w:val="28"/>
          <w:szCs w:val="28"/>
        </w:rPr>
        <w:t xml:space="preserve">Также предлагается проведение совместных мероприятий </w:t>
      </w:r>
      <w:r w:rsidR="00AA69D2" w:rsidRPr="00577593">
        <w:rPr>
          <w:rFonts w:ascii="Times New Roman" w:eastAsia="Times New Roman" w:hAnsi="Times New Roman"/>
          <w:sz w:val="28"/>
          <w:szCs w:val="28"/>
        </w:rPr>
        <w:br/>
      </w:r>
      <w:r w:rsidRPr="00577593">
        <w:rPr>
          <w:rFonts w:ascii="Times New Roman" w:eastAsia="Times New Roman" w:hAnsi="Times New Roman"/>
          <w:sz w:val="28"/>
          <w:szCs w:val="28"/>
        </w:rPr>
        <w:t xml:space="preserve">по стимулированию создания собственного бизнеса на базе центра </w:t>
      </w:r>
      <w:r w:rsidR="00AA69D2" w:rsidRPr="00577593">
        <w:rPr>
          <w:rFonts w:ascii="Times New Roman" w:eastAsia="Times New Roman" w:hAnsi="Times New Roman"/>
          <w:sz w:val="28"/>
          <w:szCs w:val="28"/>
        </w:rPr>
        <w:br/>
      </w:r>
      <w:r w:rsidRPr="00577593">
        <w:rPr>
          <w:rFonts w:ascii="Times New Roman" w:eastAsia="Times New Roman" w:hAnsi="Times New Roman"/>
          <w:sz w:val="28"/>
          <w:szCs w:val="28"/>
        </w:rPr>
        <w:t xml:space="preserve">«Мой бизнес». </w:t>
      </w:r>
      <w:r w:rsidR="00C74B3C">
        <w:rPr>
          <w:rFonts w:ascii="Times New Roman" w:eastAsia="Times New Roman" w:hAnsi="Times New Roman"/>
          <w:sz w:val="28"/>
          <w:szCs w:val="28"/>
        </w:rPr>
        <w:t>А</w:t>
      </w:r>
      <w:r w:rsidRPr="00577593">
        <w:rPr>
          <w:rFonts w:ascii="Times New Roman" w:eastAsia="Times New Roman" w:hAnsi="Times New Roman"/>
          <w:sz w:val="28"/>
          <w:szCs w:val="28"/>
        </w:rPr>
        <w:t>дминистрация</w:t>
      </w:r>
      <w:r w:rsidR="00C74B3C">
        <w:rPr>
          <w:rFonts w:ascii="Times New Roman" w:eastAsia="Times New Roman" w:hAnsi="Times New Roman"/>
          <w:sz w:val="28"/>
          <w:szCs w:val="28"/>
        </w:rPr>
        <w:t xml:space="preserve"> города Барнаула</w:t>
      </w:r>
      <w:r w:rsidRPr="00577593">
        <w:rPr>
          <w:rFonts w:ascii="Times New Roman" w:eastAsia="Times New Roman" w:hAnsi="Times New Roman"/>
          <w:sz w:val="28"/>
          <w:szCs w:val="28"/>
        </w:rPr>
        <w:t xml:space="preserve"> должна быть активно включена в данный процесс путем содействия в использовании городских площадок для проведения мероприятий, а также организации мероприятий на базе площадки центра «Мой бизнес». Также администрацией </w:t>
      </w:r>
      <w:r w:rsidR="00C74B3C">
        <w:rPr>
          <w:rFonts w:ascii="Times New Roman" w:eastAsia="Times New Roman" w:hAnsi="Times New Roman"/>
          <w:sz w:val="28"/>
          <w:szCs w:val="28"/>
        </w:rPr>
        <w:t xml:space="preserve">города Барнаула </w:t>
      </w:r>
      <w:r w:rsidRPr="00577593">
        <w:rPr>
          <w:rFonts w:ascii="Times New Roman" w:eastAsia="Times New Roman" w:hAnsi="Times New Roman"/>
          <w:sz w:val="28"/>
          <w:szCs w:val="28"/>
        </w:rPr>
        <w:t xml:space="preserve">проводятся, и данная практика будет продолжаться, заседания Координационного совета предпринимателей города Барнаула, в том числе выездных заседаний на площадках предприятий города. В рамках таких </w:t>
      </w:r>
      <w:r w:rsidRPr="00577593">
        <w:rPr>
          <w:rFonts w:ascii="Times New Roman" w:eastAsia="Times New Roman" w:hAnsi="Times New Roman"/>
          <w:sz w:val="28"/>
          <w:szCs w:val="28"/>
        </w:rPr>
        <w:lastRenderedPageBreak/>
        <w:t>мероприятий</w:t>
      </w:r>
      <w:r w:rsidR="00C74B3C">
        <w:rPr>
          <w:rFonts w:ascii="Times New Roman" w:eastAsia="Times New Roman" w:hAnsi="Times New Roman"/>
          <w:sz w:val="28"/>
          <w:szCs w:val="28"/>
        </w:rPr>
        <w:t xml:space="preserve"> </w:t>
      </w:r>
      <w:r w:rsidRPr="00577593">
        <w:rPr>
          <w:rFonts w:ascii="Times New Roman" w:eastAsia="Times New Roman" w:hAnsi="Times New Roman"/>
          <w:sz w:val="28"/>
          <w:szCs w:val="28"/>
        </w:rPr>
        <w:t>заинтересованные жители города смогут получить информационную поддержку, пообщаться с представителями бизнеса лично, найти единомышленников и т.д. На базе таких площадок также предполагается возможность проведения встреч предпринимателей с инвесторами, бизнес-завтраков, выставок продукции.</w:t>
      </w:r>
    </w:p>
    <w:p w:rsidR="00FC41F4" w:rsidRPr="00577593" w:rsidRDefault="008925FA" w:rsidP="00C74B3C">
      <w:pPr>
        <w:pStyle w:val="3"/>
        <w:spacing w:before="0" w:line="330" w:lineRule="exact"/>
        <w:ind w:firstLine="709"/>
        <w:jc w:val="both"/>
        <w:rPr>
          <w:rFonts w:ascii="Times New Roman" w:eastAsia="Times New Roman" w:hAnsi="Times New Roman"/>
          <w:b/>
          <w:color w:val="auto"/>
          <w:sz w:val="28"/>
          <w:szCs w:val="28"/>
        </w:rPr>
      </w:pPr>
      <w:bookmarkStart w:id="264" w:name="_Toc204923033"/>
      <w:bookmarkStart w:id="265" w:name="_Toc204933367"/>
      <w:bookmarkStart w:id="266" w:name="_Toc208496674"/>
      <w:bookmarkStart w:id="267" w:name="_Toc208668956"/>
      <w:bookmarkStart w:id="268" w:name="_Toc212804305"/>
      <w:r w:rsidRPr="00577593">
        <w:rPr>
          <w:rFonts w:ascii="Times New Roman" w:eastAsia="Times New Roman" w:hAnsi="Times New Roman"/>
          <w:b/>
          <w:color w:val="auto"/>
          <w:sz w:val="28"/>
          <w:szCs w:val="28"/>
        </w:rPr>
        <w:t>9.1.3</w:t>
      </w:r>
      <w:r w:rsidR="00303207">
        <w:rPr>
          <w:rFonts w:ascii="Times New Roman" w:eastAsia="Times New Roman" w:hAnsi="Times New Roman"/>
          <w:b/>
          <w:color w:val="auto"/>
          <w:sz w:val="28"/>
          <w:szCs w:val="28"/>
        </w:rPr>
        <w:t>.</w:t>
      </w:r>
      <w:r w:rsidRPr="00577593">
        <w:rPr>
          <w:rFonts w:ascii="Times New Roman" w:eastAsia="Times New Roman" w:hAnsi="Times New Roman"/>
          <w:b/>
          <w:color w:val="auto"/>
          <w:sz w:val="28"/>
          <w:szCs w:val="28"/>
        </w:rPr>
        <w:t xml:space="preserve"> Повышение инвестиционной привлекательности города</w:t>
      </w:r>
      <w:bookmarkEnd w:id="264"/>
      <w:bookmarkEnd w:id="265"/>
      <w:bookmarkEnd w:id="266"/>
      <w:bookmarkEnd w:id="267"/>
      <w:bookmarkEnd w:id="268"/>
    </w:p>
    <w:p w:rsidR="00FC41F4" w:rsidRPr="00577593" w:rsidRDefault="008925FA" w:rsidP="00C74B3C">
      <w:pPr>
        <w:pBdr>
          <w:top w:val="none" w:sz="4" w:space="0" w:color="000000"/>
          <w:left w:val="none" w:sz="4" w:space="0" w:color="000000"/>
          <w:bottom w:val="none" w:sz="4" w:space="0" w:color="000000"/>
          <w:right w:val="none" w:sz="4" w:space="0" w:color="000000"/>
        </w:pBdr>
        <w:spacing w:after="0" w:line="330" w:lineRule="exact"/>
        <w:ind w:firstLine="709"/>
        <w:jc w:val="both"/>
        <w:rPr>
          <w:rFonts w:ascii="Times New Roman" w:hAnsi="Times New Roman"/>
          <w:sz w:val="28"/>
          <w:szCs w:val="28"/>
        </w:rPr>
      </w:pPr>
      <w:r w:rsidRPr="00577593">
        <w:rPr>
          <w:rFonts w:ascii="Times New Roman" w:eastAsia="Times New Roman" w:hAnsi="Times New Roman"/>
          <w:sz w:val="28"/>
          <w:szCs w:val="28"/>
        </w:rPr>
        <w:t>Повышение инвестиционной привлекательности является одним из драйверов экономического развития города Барнаула. В рамках национальной цели развития Российской Федерации на период до 2030 года и на перспективу до 2036 года «Устойчивая и динамичная экономика» определен следующий целевой показатель в области инвестиционного развития:</w:t>
      </w:r>
    </w:p>
    <w:p w:rsidR="00FC41F4" w:rsidRPr="00577593" w:rsidRDefault="008925FA" w:rsidP="00C74B3C">
      <w:pPr>
        <w:pStyle w:val="af5"/>
        <w:numPr>
          <w:ilvl w:val="0"/>
          <w:numId w:val="23"/>
        </w:numPr>
        <w:tabs>
          <w:tab w:val="left" w:pos="993"/>
        </w:tabs>
        <w:spacing w:after="0" w:line="330" w:lineRule="exact"/>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увеличение к 2030 году объема инвестиций в основной капитал не менее чем на 60 процентов по сравнению с уровнем 2020 года за счет постоянного улучшения инвестиционного климата.</w:t>
      </w:r>
    </w:p>
    <w:p w:rsidR="00FC41F4" w:rsidRPr="00577593" w:rsidRDefault="008925FA" w:rsidP="00C74B3C">
      <w:pPr>
        <w:pBdr>
          <w:top w:val="none" w:sz="4" w:space="0" w:color="000000"/>
          <w:left w:val="none" w:sz="4" w:space="0" w:color="000000"/>
          <w:bottom w:val="none" w:sz="4" w:space="0" w:color="000000"/>
          <w:right w:val="none" w:sz="4" w:space="0" w:color="000000"/>
        </w:pBdr>
        <w:spacing w:after="0" w:line="330" w:lineRule="exact"/>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Для реализации на</w:t>
      </w:r>
      <w:r w:rsidR="00E34E37" w:rsidRPr="00577593">
        <w:rPr>
          <w:rFonts w:ascii="Times New Roman" w:eastAsia="Times New Roman" w:hAnsi="Times New Roman"/>
          <w:sz w:val="28"/>
          <w:szCs w:val="28"/>
        </w:rPr>
        <w:t>циональных целей в 2025–2030 годы</w:t>
      </w:r>
      <w:r w:rsidRPr="00577593">
        <w:rPr>
          <w:rFonts w:ascii="Times New Roman" w:eastAsia="Times New Roman" w:hAnsi="Times New Roman"/>
          <w:sz w:val="28"/>
          <w:szCs w:val="28"/>
        </w:rPr>
        <w:t xml:space="preserve"> в рамках национального проекта «Эффективная и конкурентная экономика» действует федеральный проект «Повышение инвестиционной активности».</w:t>
      </w:r>
    </w:p>
    <w:p w:rsidR="00FC41F4" w:rsidRPr="00577593" w:rsidRDefault="008925FA" w:rsidP="00C74B3C">
      <w:pPr>
        <w:pBdr>
          <w:top w:val="none" w:sz="4" w:space="0" w:color="000000"/>
          <w:left w:val="none" w:sz="4" w:space="0" w:color="000000"/>
          <w:bottom w:val="none" w:sz="4" w:space="0" w:color="000000"/>
          <w:right w:val="none" w:sz="4" w:space="0" w:color="000000"/>
        </w:pBdr>
        <w:spacing w:after="0" w:line="330" w:lineRule="exact"/>
        <w:ind w:firstLine="709"/>
        <w:jc w:val="both"/>
        <w:rPr>
          <w:rFonts w:ascii="Times New Roman" w:hAnsi="Times New Roman"/>
          <w:sz w:val="28"/>
          <w:szCs w:val="28"/>
        </w:rPr>
      </w:pPr>
      <w:r w:rsidRPr="00577593">
        <w:rPr>
          <w:rFonts w:ascii="Times New Roman" w:hAnsi="Times New Roman"/>
          <w:sz w:val="28"/>
          <w:szCs w:val="28"/>
        </w:rPr>
        <w:t>В целях создания благоприятных условий для развития инвестиционной деятельности в регионах внедрена система поддержки новых инвестиционных проектов (Региональный инвестиционный стандарт).</w:t>
      </w:r>
    </w:p>
    <w:p w:rsidR="00FC41F4" w:rsidRPr="00577593" w:rsidRDefault="008925FA" w:rsidP="00C74B3C">
      <w:pPr>
        <w:pBdr>
          <w:top w:val="none" w:sz="4" w:space="0" w:color="000000"/>
          <w:left w:val="none" w:sz="4" w:space="0" w:color="000000"/>
          <w:bottom w:val="none" w:sz="4" w:space="0" w:color="000000"/>
          <w:right w:val="none" w:sz="4" w:space="0" w:color="000000"/>
        </w:pBdr>
        <w:spacing w:after="0" w:line="330" w:lineRule="exact"/>
        <w:ind w:firstLine="709"/>
        <w:jc w:val="both"/>
        <w:rPr>
          <w:rFonts w:ascii="Times New Roman" w:hAnsi="Times New Roman"/>
          <w:sz w:val="28"/>
          <w:szCs w:val="28"/>
        </w:rPr>
      </w:pPr>
      <w:r w:rsidRPr="00577593">
        <w:rPr>
          <w:rFonts w:ascii="Times New Roman" w:eastAsia="Times New Roman" w:hAnsi="Times New Roman"/>
          <w:sz w:val="28"/>
          <w:szCs w:val="28"/>
        </w:rPr>
        <w:t>Стратегия социально-экономического развития Алтайского края до 2035 года включает инвестиционную стратегию в рамках раздела «Институциональное обеспечение реализации стратегии», целью которой является «Дальнейшее совершенствование инвестиционной среды для гармоничного развития региональной экономики за счет повышения эффективности управления инвестиционными процессами в Алтайском крае».</w:t>
      </w:r>
    </w:p>
    <w:p w:rsidR="00FC41F4" w:rsidRPr="00577593" w:rsidRDefault="008925FA" w:rsidP="00C74B3C">
      <w:pPr>
        <w:pBdr>
          <w:top w:val="none" w:sz="4" w:space="0" w:color="000000"/>
          <w:left w:val="none" w:sz="4" w:space="0" w:color="000000"/>
          <w:bottom w:val="none" w:sz="4" w:space="0" w:color="000000"/>
          <w:right w:val="none" w:sz="4" w:space="0" w:color="000000"/>
        </w:pBdr>
        <w:spacing w:after="0" w:line="330" w:lineRule="exact"/>
        <w:ind w:firstLine="709"/>
        <w:jc w:val="both"/>
        <w:rPr>
          <w:rFonts w:ascii="Times New Roman" w:hAnsi="Times New Roman"/>
          <w:sz w:val="28"/>
          <w:szCs w:val="28"/>
        </w:rPr>
      </w:pPr>
      <w:r w:rsidRPr="00577593">
        <w:rPr>
          <w:rFonts w:ascii="Times New Roman" w:eastAsia="Times New Roman" w:hAnsi="Times New Roman"/>
          <w:sz w:val="28"/>
          <w:szCs w:val="28"/>
        </w:rPr>
        <w:t>В числе стратегических задач обозначены:</w:t>
      </w:r>
    </w:p>
    <w:p w:rsidR="00FC41F4" w:rsidRPr="00577593" w:rsidRDefault="00303207" w:rsidP="00C74B3C">
      <w:pPr>
        <w:pStyle w:val="af5"/>
        <w:numPr>
          <w:ilvl w:val="0"/>
          <w:numId w:val="23"/>
        </w:numPr>
        <w:tabs>
          <w:tab w:val="left" w:pos="993"/>
        </w:tabs>
        <w:spacing w:after="0" w:line="330" w:lineRule="exact"/>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 xml:space="preserve">повышение инвестиционной конкурентоспособности </w:t>
      </w:r>
      <w:r>
        <w:rPr>
          <w:rFonts w:ascii="Times New Roman" w:eastAsia="Times New Roman" w:hAnsi="Times New Roman"/>
          <w:sz w:val="28"/>
          <w:szCs w:val="28"/>
          <w:lang w:eastAsia="ru-RU"/>
        </w:rPr>
        <w:t>А</w:t>
      </w:r>
      <w:r w:rsidRPr="00577593">
        <w:rPr>
          <w:rFonts w:ascii="Times New Roman" w:eastAsia="Times New Roman" w:hAnsi="Times New Roman"/>
          <w:sz w:val="28"/>
          <w:szCs w:val="28"/>
          <w:lang w:eastAsia="ru-RU"/>
        </w:rPr>
        <w:t>лтайского края;</w:t>
      </w:r>
    </w:p>
    <w:p w:rsidR="00FC41F4" w:rsidRPr="00577593" w:rsidRDefault="00303207" w:rsidP="00C74B3C">
      <w:pPr>
        <w:pStyle w:val="af5"/>
        <w:numPr>
          <w:ilvl w:val="0"/>
          <w:numId w:val="23"/>
        </w:numPr>
        <w:tabs>
          <w:tab w:val="left" w:pos="993"/>
        </w:tabs>
        <w:spacing w:after="0" w:line="330" w:lineRule="exact"/>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развитие системы государственной поддержки инвестиционных проектов;</w:t>
      </w:r>
    </w:p>
    <w:p w:rsidR="00FC41F4" w:rsidRPr="00577593" w:rsidRDefault="00303207" w:rsidP="00C74B3C">
      <w:pPr>
        <w:pStyle w:val="af5"/>
        <w:numPr>
          <w:ilvl w:val="0"/>
          <w:numId w:val="23"/>
        </w:numPr>
        <w:tabs>
          <w:tab w:val="left" w:pos="993"/>
        </w:tabs>
        <w:spacing w:after="0" w:line="330" w:lineRule="exact"/>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применение и расширение инструментов государственно-частного партнерства для развития социальной инфраструктуры региона;</w:t>
      </w:r>
    </w:p>
    <w:p w:rsidR="00FC41F4" w:rsidRPr="00577593" w:rsidRDefault="00303207" w:rsidP="00C74B3C">
      <w:pPr>
        <w:pStyle w:val="af5"/>
        <w:numPr>
          <w:ilvl w:val="0"/>
          <w:numId w:val="23"/>
        </w:numPr>
        <w:tabs>
          <w:tab w:val="left" w:pos="993"/>
        </w:tabs>
        <w:spacing w:after="0" w:line="330" w:lineRule="exact"/>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снижение административных барьеров и упрощение процедур ведения бизнеса;</w:t>
      </w:r>
    </w:p>
    <w:p w:rsidR="00FC41F4" w:rsidRPr="00577593" w:rsidRDefault="00303207" w:rsidP="00C74B3C">
      <w:pPr>
        <w:pStyle w:val="af5"/>
        <w:numPr>
          <w:ilvl w:val="0"/>
          <w:numId w:val="23"/>
        </w:numPr>
        <w:tabs>
          <w:tab w:val="left" w:pos="993"/>
        </w:tabs>
        <w:spacing w:after="0" w:line="330" w:lineRule="exact"/>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 xml:space="preserve">совершенствование системы продвижения конкурентных преимуществ </w:t>
      </w:r>
      <w:r>
        <w:rPr>
          <w:rFonts w:ascii="Times New Roman" w:eastAsia="Times New Roman" w:hAnsi="Times New Roman"/>
          <w:sz w:val="28"/>
          <w:szCs w:val="28"/>
          <w:lang w:eastAsia="ru-RU"/>
        </w:rPr>
        <w:t>А</w:t>
      </w:r>
      <w:r w:rsidRPr="00577593">
        <w:rPr>
          <w:rFonts w:ascii="Times New Roman" w:eastAsia="Times New Roman" w:hAnsi="Times New Roman"/>
          <w:sz w:val="28"/>
          <w:szCs w:val="28"/>
          <w:lang w:eastAsia="ru-RU"/>
        </w:rPr>
        <w:t xml:space="preserve">лтайского края и целенаправленного привлечения потенциальных инвесторов на основе использования передовых маркетинговых </w:t>
      </w:r>
      <w:r w:rsidR="008925FA" w:rsidRPr="00577593">
        <w:rPr>
          <w:rFonts w:ascii="Times New Roman" w:eastAsia="Times New Roman" w:hAnsi="Times New Roman"/>
          <w:sz w:val="28"/>
          <w:szCs w:val="28"/>
          <w:lang w:eastAsia="ru-RU"/>
        </w:rPr>
        <w:t>технологий.</w:t>
      </w:r>
    </w:p>
    <w:p w:rsidR="00C74B3C" w:rsidRDefault="00C74B3C"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sz w:val="28"/>
          <w:szCs w:val="28"/>
        </w:rPr>
      </w:pP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lastRenderedPageBreak/>
        <w:t xml:space="preserve">Направления реализации задач по повышению инвестиционной привлекательности города </w:t>
      </w:r>
      <w:r w:rsidR="00FC0178" w:rsidRPr="00577593">
        <w:rPr>
          <w:rFonts w:ascii="Times New Roman" w:eastAsia="Times New Roman" w:hAnsi="Times New Roman"/>
          <w:sz w:val="28"/>
          <w:szCs w:val="28"/>
        </w:rPr>
        <w:t xml:space="preserve">Барнаула </w:t>
      </w:r>
      <w:r w:rsidRPr="00577593">
        <w:rPr>
          <w:rFonts w:ascii="Times New Roman" w:eastAsia="Times New Roman" w:hAnsi="Times New Roman"/>
          <w:sz w:val="28"/>
          <w:szCs w:val="28"/>
        </w:rPr>
        <w:t>до 2036 года:</w:t>
      </w:r>
    </w:p>
    <w:p w:rsidR="00FC41F4" w:rsidRPr="00303207" w:rsidRDefault="00303207" w:rsidP="00303207">
      <w:pPr>
        <w:pBdr>
          <w:top w:val="none" w:sz="4" w:space="0" w:color="000000"/>
          <w:left w:val="none" w:sz="4" w:space="0" w:color="000000"/>
          <w:bottom w:val="none" w:sz="4" w:space="0" w:color="000000"/>
          <w:right w:val="none" w:sz="4" w:space="0" w:color="000000"/>
        </w:pBdr>
        <w:tabs>
          <w:tab w:val="left" w:pos="993"/>
        </w:tabs>
        <w:spacing w:after="0" w:line="240" w:lineRule="auto"/>
        <w:ind w:firstLine="709"/>
        <w:jc w:val="both"/>
        <w:rPr>
          <w:rFonts w:ascii="Times New Roman" w:eastAsia="Times New Roman" w:hAnsi="Times New Roman"/>
          <w:sz w:val="28"/>
          <w:szCs w:val="28"/>
        </w:rPr>
      </w:pPr>
      <w:r w:rsidRPr="00303207">
        <w:rPr>
          <w:rFonts w:ascii="Times New Roman" w:eastAsia="Times New Roman" w:hAnsi="Times New Roman"/>
          <w:sz w:val="28"/>
          <w:szCs w:val="28"/>
        </w:rPr>
        <w:t>– усовершенствование коммуникации с существующими и потенциальными инвесторами;</w:t>
      </w:r>
    </w:p>
    <w:p w:rsidR="00FC41F4" w:rsidRPr="00303207" w:rsidRDefault="00303207" w:rsidP="00303207">
      <w:pPr>
        <w:pBdr>
          <w:top w:val="none" w:sz="4" w:space="0" w:color="000000"/>
          <w:left w:val="none" w:sz="4" w:space="0" w:color="000000"/>
          <w:bottom w:val="none" w:sz="4" w:space="0" w:color="000000"/>
          <w:right w:val="none" w:sz="4" w:space="0" w:color="000000"/>
        </w:pBdr>
        <w:tabs>
          <w:tab w:val="left" w:pos="993"/>
        </w:tabs>
        <w:spacing w:after="0" w:line="240" w:lineRule="auto"/>
        <w:ind w:firstLine="709"/>
        <w:jc w:val="both"/>
        <w:rPr>
          <w:rFonts w:ascii="Times New Roman" w:eastAsia="Times New Roman" w:hAnsi="Times New Roman"/>
          <w:sz w:val="28"/>
          <w:szCs w:val="28"/>
        </w:rPr>
      </w:pPr>
      <w:r w:rsidRPr="00303207">
        <w:rPr>
          <w:rFonts w:ascii="Times New Roman" w:eastAsia="Times New Roman" w:hAnsi="Times New Roman"/>
          <w:sz w:val="28"/>
          <w:szCs w:val="28"/>
        </w:rPr>
        <w:t>– развитие системы работы с земельными участками под инвестиционные проекты;</w:t>
      </w:r>
    </w:p>
    <w:p w:rsidR="00FC41F4" w:rsidRPr="00303207" w:rsidRDefault="00303207" w:rsidP="00303207">
      <w:pPr>
        <w:pBdr>
          <w:top w:val="none" w:sz="4" w:space="0" w:color="000000"/>
          <w:left w:val="none" w:sz="4" w:space="0" w:color="000000"/>
          <w:bottom w:val="none" w:sz="4" w:space="0" w:color="000000"/>
          <w:right w:val="none" w:sz="4" w:space="0" w:color="000000"/>
        </w:pBdr>
        <w:tabs>
          <w:tab w:val="left" w:pos="993"/>
        </w:tabs>
        <w:spacing w:after="0" w:line="240" w:lineRule="auto"/>
        <w:ind w:firstLine="709"/>
        <w:jc w:val="both"/>
        <w:rPr>
          <w:rFonts w:ascii="Times New Roman" w:eastAsia="Times New Roman" w:hAnsi="Times New Roman"/>
          <w:sz w:val="28"/>
          <w:szCs w:val="28"/>
        </w:rPr>
      </w:pPr>
      <w:r w:rsidRPr="00303207">
        <w:rPr>
          <w:rFonts w:ascii="Times New Roman" w:eastAsia="Times New Roman" w:hAnsi="Times New Roman"/>
          <w:sz w:val="28"/>
          <w:szCs w:val="28"/>
        </w:rPr>
        <w:t>– поиск инвестиционных ниш и формирование инвестиционных предложений.</w:t>
      </w:r>
    </w:p>
    <w:p w:rsidR="00FC41F4" w:rsidRPr="00577593" w:rsidRDefault="008925FA" w:rsidP="008D738C">
      <w:pPr>
        <w:pStyle w:val="3"/>
        <w:pBdr>
          <w:top w:val="none" w:sz="4" w:space="0" w:color="000000"/>
          <w:left w:val="none" w:sz="4" w:space="0" w:color="000000"/>
          <w:bottom w:val="none" w:sz="4" w:space="0" w:color="000000"/>
          <w:right w:val="none" w:sz="4" w:space="0" w:color="000000"/>
        </w:pBdr>
        <w:spacing w:before="0" w:line="240" w:lineRule="auto"/>
        <w:ind w:firstLine="709"/>
        <w:jc w:val="both"/>
        <w:rPr>
          <w:rFonts w:ascii="Times New Roman" w:eastAsia="Times New Roman" w:hAnsi="Times New Roman"/>
          <w:color w:val="auto"/>
          <w:sz w:val="28"/>
          <w:szCs w:val="28"/>
        </w:rPr>
      </w:pPr>
      <w:bookmarkStart w:id="269" w:name="_Toc208496675"/>
      <w:bookmarkStart w:id="270" w:name="_Toc208668957"/>
      <w:bookmarkStart w:id="271" w:name="_Toc212804306"/>
      <w:r w:rsidRPr="00577593">
        <w:rPr>
          <w:rFonts w:ascii="Times New Roman" w:eastAsia="Times New Roman" w:hAnsi="Times New Roman"/>
          <w:color w:val="auto"/>
          <w:sz w:val="28"/>
          <w:szCs w:val="28"/>
        </w:rPr>
        <w:t>9.1.3.1</w:t>
      </w:r>
      <w:r w:rsidR="00303207">
        <w:rPr>
          <w:rFonts w:ascii="Times New Roman" w:eastAsia="Times New Roman" w:hAnsi="Times New Roman"/>
          <w:color w:val="auto"/>
          <w:sz w:val="28"/>
          <w:szCs w:val="28"/>
        </w:rPr>
        <w:t>.</w:t>
      </w:r>
      <w:r w:rsidRPr="00577593">
        <w:rPr>
          <w:rFonts w:ascii="Times New Roman" w:eastAsia="Times New Roman" w:hAnsi="Times New Roman"/>
          <w:color w:val="auto"/>
          <w:sz w:val="28"/>
          <w:szCs w:val="28"/>
        </w:rPr>
        <w:t xml:space="preserve"> Усовершенствование коммуникации с существующими </w:t>
      </w:r>
      <w:r w:rsidR="00AA69D2" w:rsidRPr="00577593">
        <w:rPr>
          <w:rFonts w:ascii="Times New Roman" w:eastAsia="Times New Roman" w:hAnsi="Times New Roman"/>
          <w:color w:val="auto"/>
          <w:sz w:val="28"/>
          <w:szCs w:val="28"/>
        </w:rPr>
        <w:br/>
      </w:r>
      <w:r w:rsidRPr="00577593">
        <w:rPr>
          <w:rFonts w:ascii="Times New Roman" w:eastAsia="Times New Roman" w:hAnsi="Times New Roman"/>
          <w:color w:val="auto"/>
          <w:sz w:val="28"/>
          <w:szCs w:val="28"/>
        </w:rPr>
        <w:t>и потенциальными инвесторами</w:t>
      </w:r>
      <w:bookmarkEnd w:id="269"/>
      <w:bookmarkEnd w:id="270"/>
      <w:bookmarkEnd w:id="271"/>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Ресурсом развития города являются как потенциальные инвесторы, рассматривающие возможность создания новых предприятий, так и владельцы существующих производств, заинтересованные в расширении и модернизации. Для привлечения капитала в город необходимо предоставить интересующую инвесторов информацию в доступном формате с соблюдением методических рекомендаций Регионального инвестиционного стандарта.</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Целесообразна регулярная модернизация инвестиционного портала </w:t>
      </w:r>
      <w:r w:rsidR="00BC7F8B">
        <w:rPr>
          <w:rFonts w:ascii="Times New Roman" w:eastAsia="Times New Roman" w:hAnsi="Times New Roman"/>
          <w:sz w:val="28"/>
          <w:szCs w:val="28"/>
        </w:rPr>
        <w:t xml:space="preserve">города </w:t>
      </w:r>
      <w:r w:rsidRPr="00577593">
        <w:rPr>
          <w:rFonts w:ascii="Times New Roman" w:eastAsia="Times New Roman" w:hAnsi="Times New Roman"/>
          <w:sz w:val="28"/>
          <w:szCs w:val="28"/>
        </w:rPr>
        <w:t>Барнаула, оперативное обновление информации и внедрение интуитивной системы навигации. Данные портала должны частично дублировать информацию на региональных и федеральных порталах, чтобы инвестор мог получить полную информацию, не посещая несколько сайтов.</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Инвестиционный портал должен содержать информацию о доступных муниципальных, региональных и федеральных мерах поддержки, включая поддержку специфических отраслей и предприятий, ориентированных на экспорт. Должен быть представлен </w:t>
      </w:r>
      <w:r w:rsidR="00C74B3C">
        <w:rPr>
          <w:rFonts w:ascii="Times New Roman" w:eastAsia="Times New Roman" w:hAnsi="Times New Roman"/>
          <w:sz w:val="28"/>
          <w:szCs w:val="28"/>
        </w:rPr>
        <w:t>перечень</w:t>
      </w:r>
      <w:r w:rsidRPr="00577593">
        <w:rPr>
          <w:rFonts w:ascii="Times New Roman" w:eastAsia="Times New Roman" w:hAnsi="Times New Roman"/>
          <w:sz w:val="28"/>
          <w:szCs w:val="28"/>
        </w:rPr>
        <w:t xml:space="preserve"> земельных участков и помещений, пригодных для организации производств, со всеми релевантными параметрами. В среднесрочной перспективе необходимо сформировать </w:t>
      </w:r>
      <w:r w:rsidR="00C74B3C">
        <w:rPr>
          <w:rFonts w:ascii="Times New Roman" w:eastAsia="Times New Roman" w:hAnsi="Times New Roman"/>
          <w:sz w:val="28"/>
          <w:szCs w:val="28"/>
        </w:rPr>
        <w:t>перечень</w:t>
      </w:r>
      <w:r w:rsidRPr="00577593">
        <w:rPr>
          <w:rFonts w:ascii="Times New Roman" w:eastAsia="Times New Roman" w:hAnsi="Times New Roman"/>
          <w:sz w:val="28"/>
          <w:szCs w:val="28"/>
        </w:rPr>
        <w:t xml:space="preserve"> участков, находящихся в государственной собственности, с возможным дополнением участками, выставляемыми на торгах (см. раздел 9.1.3.2</w:t>
      </w:r>
      <w:r w:rsidR="00303207">
        <w:rPr>
          <w:rFonts w:ascii="Times New Roman" w:eastAsia="Times New Roman" w:hAnsi="Times New Roman"/>
          <w:sz w:val="28"/>
          <w:szCs w:val="28"/>
        </w:rPr>
        <w:t>.</w:t>
      </w:r>
      <w:r w:rsidRPr="00577593">
        <w:rPr>
          <w:rFonts w:ascii="Times New Roman" w:eastAsia="Times New Roman" w:hAnsi="Times New Roman"/>
          <w:sz w:val="28"/>
          <w:szCs w:val="28"/>
        </w:rPr>
        <w:t xml:space="preserve">). Также необходимо информировать инвесторов о появляющихся производственных площадках индустриальных парков, о бизнес-парках на территории города и о преимуществах для их резидентов, вне зависимости от собственника индустриального/бизнес-парка. </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В форме обратной связи возможен запрос на выбор «темы обращения», для максимально оперативной и адресной обработки запроса. Целесообразно формирование раздела «Часто задаваемые вопросы» на основе поступающих обращений.</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Для продвижения </w:t>
      </w:r>
      <w:r w:rsidR="00303207">
        <w:rPr>
          <w:rFonts w:ascii="Times New Roman" w:eastAsia="Times New Roman" w:hAnsi="Times New Roman"/>
          <w:sz w:val="28"/>
          <w:szCs w:val="28"/>
        </w:rPr>
        <w:t xml:space="preserve">города </w:t>
      </w:r>
      <w:r w:rsidRPr="00577593">
        <w:rPr>
          <w:rFonts w:ascii="Times New Roman" w:eastAsia="Times New Roman" w:hAnsi="Times New Roman"/>
          <w:sz w:val="28"/>
          <w:szCs w:val="28"/>
        </w:rPr>
        <w:t>Барнаула как площадки для инвестиций необходимо регулярно обновлять и распространять инвестиционный профиль города. Материалы необходимо распространять в физической форме на релевантных отраслевых, коммерческих и управленческих мероприятиях, в электронном виде с использованием таргетированной рекламы в социальных сетях.</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lastRenderedPageBreak/>
        <w:t>Создание новых предприятий и расширение существующих создаст спрос на рабочую силу, потенциально превышающий доступные трудовые ресурсы. Параллельно с работой по привлечению инвестиций, необходимы действия, направленные на подготовку квалифицированных кадров (см. раздел 9.2.3</w:t>
      </w:r>
      <w:r w:rsidR="00303207">
        <w:rPr>
          <w:rFonts w:ascii="Times New Roman" w:eastAsia="Times New Roman" w:hAnsi="Times New Roman"/>
          <w:sz w:val="28"/>
          <w:szCs w:val="28"/>
        </w:rPr>
        <w:t>.</w:t>
      </w:r>
      <w:r w:rsidRPr="00577593">
        <w:rPr>
          <w:rFonts w:ascii="Times New Roman" w:eastAsia="Times New Roman" w:hAnsi="Times New Roman"/>
          <w:sz w:val="28"/>
          <w:szCs w:val="28"/>
        </w:rPr>
        <w:t>), внедрение инновационных технологий на существующих предприятиях для высвобождения трудовых ресурсов (см. раздел 9.1.2.2</w:t>
      </w:r>
      <w:r w:rsidR="00303207">
        <w:rPr>
          <w:rFonts w:ascii="Times New Roman" w:eastAsia="Times New Roman" w:hAnsi="Times New Roman"/>
          <w:sz w:val="28"/>
          <w:szCs w:val="28"/>
        </w:rPr>
        <w:t>.</w:t>
      </w:r>
      <w:r w:rsidRPr="00577593">
        <w:rPr>
          <w:rFonts w:ascii="Times New Roman" w:eastAsia="Times New Roman" w:hAnsi="Times New Roman"/>
          <w:sz w:val="28"/>
          <w:szCs w:val="28"/>
        </w:rPr>
        <w:t>) и общего повышения привлекательности города для жителей, трудящихся вахтовым методом, и их возвращения на местный рынок труда.</w:t>
      </w:r>
    </w:p>
    <w:p w:rsidR="00FC41F4" w:rsidRPr="00577593" w:rsidRDefault="008925FA" w:rsidP="008D738C">
      <w:pPr>
        <w:pStyle w:val="3"/>
        <w:pBdr>
          <w:top w:val="none" w:sz="4" w:space="0" w:color="000000"/>
          <w:left w:val="none" w:sz="4" w:space="0" w:color="000000"/>
          <w:bottom w:val="none" w:sz="4" w:space="0" w:color="000000"/>
          <w:right w:val="none" w:sz="4" w:space="0" w:color="000000"/>
        </w:pBdr>
        <w:spacing w:before="0" w:line="240" w:lineRule="auto"/>
        <w:ind w:firstLine="709"/>
        <w:jc w:val="both"/>
        <w:rPr>
          <w:rFonts w:ascii="Times New Roman" w:eastAsia="Times New Roman" w:hAnsi="Times New Roman"/>
          <w:color w:val="auto"/>
          <w:sz w:val="28"/>
          <w:szCs w:val="28"/>
        </w:rPr>
      </w:pPr>
      <w:bookmarkStart w:id="272" w:name="_Toc208496676"/>
      <w:bookmarkStart w:id="273" w:name="_Toc208668958"/>
      <w:bookmarkStart w:id="274" w:name="_Toc212804307"/>
      <w:r w:rsidRPr="00577593">
        <w:rPr>
          <w:rFonts w:ascii="Times New Roman" w:eastAsia="Times New Roman" w:hAnsi="Times New Roman"/>
          <w:color w:val="auto"/>
          <w:sz w:val="28"/>
          <w:szCs w:val="28"/>
        </w:rPr>
        <w:t>9.1.3.2</w:t>
      </w:r>
      <w:r w:rsidR="00303207">
        <w:rPr>
          <w:rFonts w:ascii="Times New Roman" w:eastAsia="Times New Roman" w:hAnsi="Times New Roman"/>
          <w:color w:val="auto"/>
          <w:sz w:val="28"/>
          <w:szCs w:val="28"/>
        </w:rPr>
        <w:t>.</w:t>
      </w:r>
      <w:r w:rsidRPr="00577593">
        <w:rPr>
          <w:rFonts w:ascii="Times New Roman" w:eastAsia="Times New Roman" w:hAnsi="Times New Roman"/>
          <w:color w:val="auto"/>
          <w:sz w:val="28"/>
          <w:szCs w:val="28"/>
        </w:rPr>
        <w:t xml:space="preserve"> Развитие системы работы с земельными участками под инвестиционные проекты</w:t>
      </w:r>
      <w:bookmarkEnd w:id="272"/>
      <w:bookmarkEnd w:id="273"/>
      <w:bookmarkEnd w:id="274"/>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Основным препятствием для привлечения инвестиционных проектов на территорию </w:t>
      </w:r>
      <w:r w:rsidR="00303207">
        <w:rPr>
          <w:rFonts w:ascii="Times New Roman" w:eastAsia="Times New Roman" w:hAnsi="Times New Roman"/>
          <w:sz w:val="28"/>
          <w:szCs w:val="28"/>
        </w:rPr>
        <w:t xml:space="preserve">города </w:t>
      </w:r>
      <w:r w:rsidRPr="00577593">
        <w:rPr>
          <w:rFonts w:ascii="Times New Roman" w:eastAsia="Times New Roman" w:hAnsi="Times New Roman"/>
          <w:sz w:val="28"/>
          <w:szCs w:val="28"/>
        </w:rPr>
        <w:t xml:space="preserve">Барнаула является острый дефицит земельных участков, пригодных для организации производственных площадок. Спрос </w:t>
      </w:r>
      <w:r w:rsidR="00AA69D2" w:rsidRPr="00577593">
        <w:rPr>
          <w:rFonts w:ascii="Times New Roman" w:eastAsia="Times New Roman" w:hAnsi="Times New Roman"/>
          <w:sz w:val="28"/>
          <w:szCs w:val="28"/>
        </w:rPr>
        <w:br/>
      </w:r>
      <w:r w:rsidRPr="00577593">
        <w:rPr>
          <w:rFonts w:ascii="Times New Roman" w:eastAsia="Times New Roman" w:hAnsi="Times New Roman"/>
          <w:sz w:val="28"/>
          <w:szCs w:val="28"/>
        </w:rPr>
        <w:t xml:space="preserve">на размещение в индустриальном парке, сформированном на федеральных землях, переданных АО «ДОМ.РФ», значительно превышает количество доступных лотов. Участки в частной собственности заняты функционирующими промышленными предприятиями или, в случае неэффективного использования, выводятся на рынок по спекулятивно завышенной цене. Повышенные цены на землю значительно снижают конкурентоспособность </w:t>
      </w:r>
      <w:r w:rsidR="00303207">
        <w:rPr>
          <w:rFonts w:ascii="Times New Roman" w:eastAsia="Times New Roman" w:hAnsi="Times New Roman"/>
          <w:sz w:val="28"/>
          <w:szCs w:val="28"/>
        </w:rPr>
        <w:t>города в</w:t>
      </w:r>
      <w:r w:rsidRPr="00577593">
        <w:rPr>
          <w:rFonts w:ascii="Times New Roman" w:eastAsia="Times New Roman" w:hAnsi="Times New Roman"/>
          <w:sz w:val="28"/>
          <w:szCs w:val="28"/>
        </w:rPr>
        <w:t xml:space="preserve"> сравнении с другими городами СФО. </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Необходима апробация различных методов расширения предложения земельных участков. В частности, возможна интеграция в </w:t>
      </w:r>
      <w:r w:rsidR="00C74B3C">
        <w:rPr>
          <w:rFonts w:ascii="Times New Roman" w:eastAsia="Times New Roman" w:hAnsi="Times New Roman"/>
          <w:sz w:val="28"/>
          <w:szCs w:val="28"/>
        </w:rPr>
        <w:t>перечень</w:t>
      </w:r>
      <w:r w:rsidRPr="00577593">
        <w:rPr>
          <w:rFonts w:ascii="Times New Roman" w:eastAsia="Times New Roman" w:hAnsi="Times New Roman"/>
          <w:sz w:val="28"/>
          <w:szCs w:val="28"/>
        </w:rPr>
        <w:t xml:space="preserve"> земельных </w:t>
      </w:r>
      <w:r w:rsidR="00C74B3C">
        <w:rPr>
          <w:rFonts w:ascii="Times New Roman" w:eastAsia="Times New Roman" w:hAnsi="Times New Roman"/>
          <w:sz w:val="28"/>
          <w:szCs w:val="28"/>
        </w:rPr>
        <w:t>участков</w:t>
      </w:r>
      <w:r w:rsidRPr="00577593">
        <w:rPr>
          <w:rFonts w:ascii="Times New Roman" w:eastAsia="Times New Roman" w:hAnsi="Times New Roman"/>
          <w:sz w:val="28"/>
          <w:szCs w:val="28"/>
        </w:rPr>
        <w:t xml:space="preserve">, выставляемых на торги системообразующими банками (Сбербанк, ВТБ, Альфа-Банк). </w:t>
      </w:r>
      <w:r w:rsidR="00C74B3C">
        <w:rPr>
          <w:rFonts w:ascii="Times New Roman" w:eastAsia="Times New Roman" w:hAnsi="Times New Roman"/>
          <w:sz w:val="28"/>
          <w:szCs w:val="28"/>
        </w:rPr>
        <w:t>У</w:t>
      </w:r>
      <w:r w:rsidRPr="00577593">
        <w:rPr>
          <w:rFonts w:ascii="Times New Roman" w:eastAsia="Times New Roman" w:hAnsi="Times New Roman"/>
          <w:sz w:val="28"/>
          <w:szCs w:val="28"/>
        </w:rPr>
        <w:t xml:space="preserve">частки, ранее использованные в качестве долгового залога, становятся доступными для покупки в процессе банкротства. При этом параметры и собственность земельного участка верифицируются кредитными командами банка. После подтверждения информации Росреестром </w:t>
      </w:r>
      <w:r w:rsidR="00C74B3C">
        <w:rPr>
          <w:rFonts w:ascii="Times New Roman" w:eastAsia="Times New Roman" w:hAnsi="Times New Roman"/>
          <w:sz w:val="28"/>
          <w:szCs w:val="28"/>
        </w:rPr>
        <w:t xml:space="preserve">администрация города Барнаула </w:t>
      </w:r>
      <w:r w:rsidRPr="00577593">
        <w:rPr>
          <w:rFonts w:ascii="Times New Roman" w:eastAsia="Times New Roman" w:hAnsi="Times New Roman"/>
          <w:sz w:val="28"/>
          <w:szCs w:val="28"/>
        </w:rPr>
        <w:t xml:space="preserve">может добавлять продаваемые участки в </w:t>
      </w:r>
      <w:r w:rsidR="00C74B3C">
        <w:rPr>
          <w:rFonts w:ascii="Times New Roman" w:eastAsia="Times New Roman" w:hAnsi="Times New Roman"/>
          <w:sz w:val="28"/>
          <w:szCs w:val="28"/>
        </w:rPr>
        <w:t>перечень</w:t>
      </w:r>
      <w:r w:rsidRPr="00577593">
        <w:rPr>
          <w:rFonts w:ascii="Times New Roman" w:eastAsia="Times New Roman" w:hAnsi="Times New Roman"/>
          <w:sz w:val="28"/>
          <w:szCs w:val="28"/>
        </w:rPr>
        <w:t xml:space="preserve"> инвестиционного портала и оперативно информировать инвесторов о новых доступных участках.</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Также возможна точечная работа с небольшим запасом участков, находящихся в муниципальной собственности. Неразграниченные участки могут быть оформлены в разных конфигурациях, и подбор оптимальной конфигурации невозможен без детального понимания потребностей инвесторов. При получении детальных параметров необходимого объекта возможна организация межведомственного взаимодействия с участием комитета </w:t>
      </w:r>
      <w:r w:rsidR="00517E65" w:rsidRPr="00577593">
        <w:rPr>
          <w:rFonts w:ascii="Times New Roman" w:eastAsia="Times New Roman" w:hAnsi="Times New Roman"/>
          <w:sz w:val="28"/>
          <w:szCs w:val="28"/>
        </w:rPr>
        <w:t>экономического развития и инвестиционной деятельности администрации города</w:t>
      </w:r>
      <w:r w:rsidR="00303207">
        <w:rPr>
          <w:rFonts w:ascii="Times New Roman" w:eastAsia="Times New Roman" w:hAnsi="Times New Roman"/>
          <w:sz w:val="28"/>
          <w:szCs w:val="28"/>
        </w:rPr>
        <w:t xml:space="preserve"> Барнаула</w:t>
      </w:r>
      <w:r w:rsidRPr="00577593">
        <w:rPr>
          <w:rFonts w:ascii="Times New Roman" w:eastAsia="Times New Roman" w:hAnsi="Times New Roman"/>
          <w:sz w:val="28"/>
          <w:szCs w:val="28"/>
        </w:rPr>
        <w:t>, комитета по земельным ресурсам</w:t>
      </w:r>
      <w:r w:rsidR="00517E65" w:rsidRPr="00577593">
        <w:rPr>
          <w:rFonts w:ascii="Times New Roman" w:eastAsia="Times New Roman" w:hAnsi="Times New Roman"/>
          <w:sz w:val="28"/>
          <w:szCs w:val="28"/>
        </w:rPr>
        <w:t xml:space="preserve"> города</w:t>
      </w:r>
      <w:r w:rsidRPr="00577593">
        <w:rPr>
          <w:rFonts w:ascii="Times New Roman" w:eastAsia="Times New Roman" w:hAnsi="Times New Roman"/>
          <w:sz w:val="28"/>
          <w:szCs w:val="28"/>
        </w:rPr>
        <w:t xml:space="preserve"> </w:t>
      </w:r>
      <w:r w:rsidR="00303207">
        <w:rPr>
          <w:rFonts w:ascii="Times New Roman" w:eastAsia="Times New Roman" w:hAnsi="Times New Roman"/>
          <w:sz w:val="28"/>
          <w:szCs w:val="28"/>
        </w:rPr>
        <w:t xml:space="preserve">Барнаула </w:t>
      </w:r>
      <w:r w:rsidRPr="00577593">
        <w:rPr>
          <w:rFonts w:ascii="Times New Roman" w:eastAsia="Times New Roman" w:hAnsi="Times New Roman"/>
          <w:sz w:val="28"/>
          <w:szCs w:val="28"/>
        </w:rPr>
        <w:t xml:space="preserve">и комитета по управлению муниципальной собственностью </w:t>
      </w:r>
      <w:r w:rsidR="00517E65" w:rsidRPr="00577593">
        <w:rPr>
          <w:rFonts w:ascii="Times New Roman" w:eastAsia="Times New Roman" w:hAnsi="Times New Roman"/>
          <w:sz w:val="28"/>
          <w:szCs w:val="28"/>
        </w:rPr>
        <w:t xml:space="preserve">города </w:t>
      </w:r>
      <w:r w:rsidR="00303207">
        <w:rPr>
          <w:rFonts w:ascii="Times New Roman" w:eastAsia="Times New Roman" w:hAnsi="Times New Roman"/>
          <w:sz w:val="28"/>
          <w:szCs w:val="28"/>
        </w:rPr>
        <w:t xml:space="preserve">Барнаула </w:t>
      </w:r>
      <w:r w:rsidRPr="00577593">
        <w:rPr>
          <w:rFonts w:ascii="Times New Roman" w:eastAsia="Times New Roman" w:hAnsi="Times New Roman"/>
          <w:sz w:val="28"/>
          <w:szCs w:val="28"/>
        </w:rPr>
        <w:t xml:space="preserve">для поиска потенциального решения. </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Для проектов с потребностью в небольшом земельном участке необходима оперативная реакция и уточнение всех деталей запроса. Для налаживания такой коммуникации возможна организация регулярного сбора инвестиционных проектов с земельной потребностью ниже определенной площади. Инвесторы должны быть проинформированы, что </w:t>
      </w:r>
      <w:r w:rsidRPr="00577593">
        <w:rPr>
          <w:rFonts w:ascii="Times New Roman" w:eastAsia="Times New Roman" w:hAnsi="Times New Roman"/>
          <w:sz w:val="28"/>
          <w:szCs w:val="28"/>
        </w:rPr>
        <w:lastRenderedPageBreak/>
        <w:t>предоставление такой информации может позволить им получить земельный участок даже в условиях острого дефицита.</w:t>
      </w:r>
    </w:p>
    <w:p w:rsidR="00FC41F4" w:rsidRPr="00577593" w:rsidRDefault="008925FA" w:rsidP="008D738C">
      <w:pPr>
        <w:pStyle w:val="3"/>
        <w:pBdr>
          <w:top w:val="none" w:sz="4" w:space="0" w:color="000000"/>
          <w:left w:val="none" w:sz="4" w:space="0" w:color="000000"/>
          <w:bottom w:val="none" w:sz="4" w:space="0" w:color="000000"/>
          <w:right w:val="none" w:sz="4" w:space="0" w:color="000000"/>
        </w:pBdr>
        <w:spacing w:before="0" w:line="240" w:lineRule="auto"/>
        <w:ind w:firstLine="709"/>
        <w:jc w:val="both"/>
        <w:rPr>
          <w:rFonts w:ascii="Times New Roman" w:eastAsia="Times New Roman" w:hAnsi="Times New Roman"/>
          <w:color w:val="auto"/>
          <w:sz w:val="28"/>
          <w:szCs w:val="28"/>
        </w:rPr>
      </w:pPr>
      <w:bookmarkStart w:id="275" w:name="_Toc208496677"/>
      <w:bookmarkStart w:id="276" w:name="_Toc208668959"/>
      <w:bookmarkStart w:id="277" w:name="_Toc212804308"/>
      <w:r w:rsidRPr="00577593">
        <w:rPr>
          <w:rFonts w:ascii="Times New Roman" w:eastAsia="Times New Roman" w:hAnsi="Times New Roman"/>
          <w:color w:val="auto"/>
          <w:sz w:val="28"/>
          <w:szCs w:val="28"/>
        </w:rPr>
        <w:t>9.1.3.3</w:t>
      </w:r>
      <w:r w:rsidR="00303207">
        <w:rPr>
          <w:rFonts w:ascii="Times New Roman" w:eastAsia="Times New Roman" w:hAnsi="Times New Roman"/>
          <w:color w:val="auto"/>
          <w:sz w:val="28"/>
          <w:szCs w:val="28"/>
        </w:rPr>
        <w:t>.</w:t>
      </w:r>
      <w:r w:rsidRPr="00577593">
        <w:rPr>
          <w:rFonts w:ascii="Times New Roman" w:eastAsia="Times New Roman" w:hAnsi="Times New Roman"/>
          <w:color w:val="auto"/>
          <w:sz w:val="28"/>
          <w:szCs w:val="28"/>
        </w:rPr>
        <w:t xml:space="preserve"> Поиск инвестиционных ниш и формирование инвестиционных предложений</w:t>
      </w:r>
      <w:bookmarkEnd w:id="275"/>
      <w:bookmarkEnd w:id="276"/>
      <w:bookmarkEnd w:id="277"/>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Несмотря на ограниченные возможности для финансовой поддержки инвестиционных проектов, администрация</w:t>
      </w:r>
      <w:r w:rsidR="00425330" w:rsidRPr="00577593">
        <w:rPr>
          <w:rFonts w:ascii="Times New Roman" w:eastAsia="Times New Roman" w:hAnsi="Times New Roman"/>
          <w:sz w:val="28"/>
          <w:szCs w:val="28"/>
        </w:rPr>
        <w:t xml:space="preserve"> города Барнаула</w:t>
      </w:r>
      <w:r w:rsidRPr="00577593">
        <w:rPr>
          <w:rFonts w:ascii="Times New Roman" w:eastAsia="Times New Roman" w:hAnsi="Times New Roman"/>
          <w:sz w:val="28"/>
          <w:szCs w:val="28"/>
        </w:rPr>
        <w:t xml:space="preserve"> обладает стратегически важным информационным ресурсом. Включенность в деятельность </w:t>
      </w:r>
      <w:r w:rsidR="001C25E6" w:rsidRPr="00577593">
        <w:rPr>
          <w:rFonts w:ascii="Times New Roman" w:eastAsia="Times New Roman" w:hAnsi="Times New Roman"/>
          <w:sz w:val="28"/>
          <w:szCs w:val="28"/>
        </w:rPr>
        <w:t>исполнительны</w:t>
      </w:r>
      <w:r w:rsidR="00F8739C" w:rsidRPr="00577593">
        <w:rPr>
          <w:rFonts w:ascii="Times New Roman" w:eastAsia="Times New Roman" w:hAnsi="Times New Roman"/>
          <w:sz w:val="28"/>
          <w:szCs w:val="28"/>
        </w:rPr>
        <w:t>х</w:t>
      </w:r>
      <w:r w:rsidR="001C25E6" w:rsidRPr="00577593">
        <w:rPr>
          <w:rFonts w:ascii="Times New Roman" w:eastAsia="Times New Roman" w:hAnsi="Times New Roman"/>
          <w:sz w:val="28"/>
          <w:szCs w:val="28"/>
        </w:rPr>
        <w:t xml:space="preserve"> </w:t>
      </w:r>
      <w:r w:rsidRPr="00577593">
        <w:rPr>
          <w:rFonts w:ascii="Times New Roman" w:eastAsia="Times New Roman" w:hAnsi="Times New Roman"/>
          <w:sz w:val="28"/>
          <w:szCs w:val="28"/>
        </w:rPr>
        <w:t xml:space="preserve">органов </w:t>
      </w:r>
      <w:r w:rsidR="00F8739C" w:rsidRPr="00577593">
        <w:rPr>
          <w:rFonts w:ascii="Times New Roman" w:eastAsia="Times New Roman" w:hAnsi="Times New Roman"/>
          <w:sz w:val="28"/>
          <w:szCs w:val="28"/>
        </w:rPr>
        <w:t>Алтайского края</w:t>
      </w:r>
      <w:r w:rsidRPr="00577593">
        <w:rPr>
          <w:rFonts w:ascii="Times New Roman" w:eastAsia="Times New Roman" w:hAnsi="Times New Roman"/>
          <w:sz w:val="28"/>
          <w:szCs w:val="28"/>
        </w:rPr>
        <w:t xml:space="preserve"> и краевых институтов развития</w:t>
      </w:r>
      <w:r w:rsidR="00B534A4" w:rsidRPr="00577593">
        <w:rPr>
          <w:rFonts w:ascii="Times New Roman" w:eastAsia="Times New Roman" w:hAnsi="Times New Roman"/>
          <w:sz w:val="28"/>
          <w:szCs w:val="28"/>
        </w:rPr>
        <w:t>,</w:t>
      </w:r>
      <w:r w:rsidRPr="00577593">
        <w:rPr>
          <w:rFonts w:ascii="Times New Roman" w:eastAsia="Times New Roman" w:hAnsi="Times New Roman"/>
          <w:sz w:val="28"/>
          <w:szCs w:val="28"/>
        </w:rPr>
        <w:t xml:space="preserve"> </w:t>
      </w:r>
      <w:r w:rsidR="00F8739C" w:rsidRPr="00577593">
        <w:rPr>
          <w:rFonts w:ascii="Times New Roman" w:eastAsia="Times New Roman" w:hAnsi="Times New Roman"/>
          <w:sz w:val="28"/>
          <w:szCs w:val="28"/>
        </w:rPr>
        <w:t>с одной стороны</w:t>
      </w:r>
      <w:r w:rsidR="00B534A4" w:rsidRPr="00577593">
        <w:rPr>
          <w:rFonts w:ascii="Times New Roman" w:eastAsia="Times New Roman" w:hAnsi="Times New Roman"/>
          <w:sz w:val="28"/>
          <w:szCs w:val="28"/>
        </w:rPr>
        <w:t>,</w:t>
      </w:r>
      <w:r w:rsidR="00F8739C" w:rsidRPr="00577593">
        <w:rPr>
          <w:rFonts w:ascii="Times New Roman" w:eastAsia="Times New Roman" w:hAnsi="Times New Roman"/>
          <w:sz w:val="28"/>
          <w:szCs w:val="28"/>
        </w:rPr>
        <w:t xml:space="preserve"> </w:t>
      </w:r>
      <w:r w:rsidRPr="00577593">
        <w:rPr>
          <w:rFonts w:ascii="Times New Roman" w:eastAsia="Times New Roman" w:hAnsi="Times New Roman"/>
          <w:sz w:val="28"/>
          <w:szCs w:val="28"/>
        </w:rPr>
        <w:t>и</w:t>
      </w:r>
      <w:r w:rsidR="00B534A4" w:rsidRPr="00577593">
        <w:rPr>
          <w:rFonts w:ascii="Times New Roman" w:eastAsia="Times New Roman" w:hAnsi="Times New Roman"/>
          <w:sz w:val="28"/>
          <w:szCs w:val="28"/>
        </w:rPr>
        <w:t> </w:t>
      </w:r>
      <w:r w:rsidRPr="00577593">
        <w:rPr>
          <w:rFonts w:ascii="Times New Roman" w:eastAsia="Times New Roman" w:hAnsi="Times New Roman"/>
          <w:sz w:val="28"/>
          <w:szCs w:val="28"/>
        </w:rPr>
        <w:t>погруженность в оперативную обстановку на территории города</w:t>
      </w:r>
      <w:r w:rsidR="00B534A4" w:rsidRPr="00577593">
        <w:rPr>
          <w:rFonts w:ascii="Times New Roman" w:eastAsia="Times New Roman" w:hAnsi="Times New Roman"/>
          <w:sz w:val="28"/>
          <w:szCs w:val="28"/>
        </w:rPr>
        <w:t>,</w:t>
      </w:r>
      <w:r w:rsidR="00F8739C" w:rsidRPr="00577593">
        <w:rPr>
          <w:rFonts w:ascii="Times New Roman" w:eastAsia="Times New Roman" w:hAnsi="Times New Roman"/>
          <w:sz w:val="28"/>
          <w:szCs w:val="28"/>
        </w:rPr>
        <w:t xml:space="preserve"> с другой стороны</w:t>
      </w:r>
      <w:r w:rsidR="00B534A4" w:rsidRPr="00577593">
        <w:rPr>
          <w:rFonts w:ascii="Times New Roman" w:eastAsia="Times New Roman" w:hAnsi="Times New Roman"/>
          <w:sz w:val="28"/>
          <w:szCs w:val="28"/>
        </w:rPr>
        <w:t>,</w:t>
      </w:r>
      <w:r w:rsidRPr="00577593">
        <w:rPr>
          <w:rFonts w:ascii="Times New Roman" w:eastAsia="Times New Roman" w:hAnsi="Times New Roman"/>
          <w:sz w:val="28"/>
          <w:szCs w:val="28"/>
        </w:rPr>
        <w:t xml:space="preserve"> созда</w:t>
      </w:r>
      <w:r w:rsidR="00B534A4" w:rsidRPr="00577593">
        <w:rPr>
          <w:rFonts w:ascii="Times New Roman" w:eastAsia="Times New Roman" w:hAnsi="Times New Roman"/>
          <w:sz w:val="28"/>
          <w:szCs w:val="28"/>
        </w:rPr>
        <w:t>ю</w:t>
      </w:r>
      <w:r w:rsidRPr="00577593">
        <w:rPr>
          <w:rFonts w:ascii="Times New Roman" w:eastAsia="Times New Roman" w:hAnsi="Times New Roman"/>
          <w:sz w:val="28"/>
          <w:szCs w:val="28"/>
        </w:rPr>
        <w:t xml:space="preserve">т потенциал для генерации новых инвестиционных идей. Сильные стороны экономики </w:t>
      </w:r>
      <w:r w:rsidR="00BC7F8B">
        <w:rPr>
          <w:rFonts w:ascii="Times New Roman" w:eastAsia="Times New Roman" w:hAnsi="Times New Roman"/>
          <w:sz w:val="28"/>
          <w:szCs w:val="28"/>
        </w:rPr>
        <w:t xml:space="preserve">города </w:t>
      </w:r>
      <w:r w:rsidR="00D53DC9" w:rsidRPr="00577593">
        <w:rPr>
          <w:rFonts w:ascii="Times New Roman" w:eastAsia="Times New Roman" w:hAnsi="Times New Roman"/>
          <w:sz w:val="28"/>
          <w:szCs w:val="28"/>
        </w:rPr>
        <w:t>–</w:t>
      </w:r>
      <w:r w:rsidRPr="00577593">
        <w:rPr>
          <w:rFonts w:ascii="Times New Roman" w:eastAsia="Times New Roman" w:hAnsi="Times New Roman"/>
          <w:sz w:val="28"/>
          <w:szCs w:val="28"/>
        </w:rPr>
        <w:t xml:space="preserve"> </w:t>
      </w:r>
      <w:r w:rsidR="00F81707" w:rsidRPr="00577593">
        <w:rPr>
          <w:rFonts w:ascii="Times New Roman" w:eastAsia="Times New Roman" w:hAnsi="Times New Roman"/>
          <w:sz w:val="28"/>
          <w:szCs w:val="28"/>
        </w:rPr>
        <w:t xml:space="preserve">энергетическое, сельскохозяйственное и транспортное машиностроение, АПК, химическая промышленность </w:t>
      </w:r>
      <w:r w:rsidRPr="00577593">
        <w:rPr>
          <w:rFonts w:ascii="Times New Roman" w:eastAsia="Times New Roman" w:hAnsi="Times New Roman"/>
          <w:sz w:val="28"/>
          <w:szCs w:val="28"/>
        </w:rPr>
        <w:t xml:space="preserve">– являются необходимым фундаментом для развития новых отраслей, закрепленных в качестве национальных приоритетов </w:t>
      </w:r>
      <w:r w:rsidR="00D53DC9" w:rsidRPr="00577593">
        <w:rPr>
          <w:rFonts w:ascii="Times New Roman" w:eastAsia="Times New Roman" w:hAnsi="Times New Roman"/>
          <w:sz w:val="28"/>
          <w:szCs w:val="28"/>
        </w:rPr>
        <w:t>–</w:t>
      </w:r>
      <w:r w:rsidRPr="00577593">
        <w:rPr>
          <w:rFonts w:ascii="Times New Roman" w:eastAsia="Times New Roman" w:hAnsi="Times New Roman"/>
          <w:sz w:val="28"/>
          <w:szCs w:val="28"/>
        </w:rPr>
        <w:t xml:space="preserve"> биоэкономики, разработки новых материалов, цифрового земледелия и роботостроения. </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Наблюдение за деятельностью и коммуникация с крупными барнаульскими предприятиями, взаимодействие с малым бизнесом, предпринимателями, и проведение кооперативных мероприятий (см. пункт 9.1.1.3</w:t>
      </w:r>
      <w:r w:rsidR="00303207">
        <w:rPr>
          <w:rFonts w:ascii="Times New Roman" w:eastAsia="Times New Roman" w:hAnsi="Times New Roman"/>
          <w:sz w:val="28"/>
          <w:szCs w:val="28"/>
        </w:rPr>
        <w:t>.</w:t>
      </w:r>
      <w:r w:rsidRPr="00577593">
        <w:rPr>
          <w:rFonts w:ascii="Times New Roman" w:eastAsia="Times New Roman" w:hAnsi="Times New Roman"/>
          <w:sz w:val="28"/>
          <w:szCs w:val="28"/>
        </w:rPr>
        <w:t xml:space="preserve">) может натолкнуть </w:t>
      </w:r>
      <w:r w:rsidR="00C74B3C">
        <w:rPr>
          <w:rFonts w:ascii="Times New Roman" w:eastAsia="Times New Roman" w:hAnsi="Times New Roman"/>
          <w:sz w:val="28"/>
          <w:szCs w:val="28"/>
        </w:rPr>
        <w:t xml:space="preserve">специалистов </w:t>
      </w:r>
      <w:r w:rsidRPr="00577593">
        <w:rPr>
          <w:rFonts w:ascii="Times New Roman" w:eastAsia="Times New Roman" w:hAnsi="Times New Roman"/>
          <w:sz w:val="28"/>
          <w:szCs w:val="28"/>
        </w:rPr>
        <w:t xml:space="preserve">администрации </w:t>
      </w:r>
      <w:r w:rsidR="00C74B3C">
        <w:rPr>
          <w:rFonts w:ascii="Times New Roman" w:eastAsia="Times New Roman" w:hAnsi="Times New Roman"/>
          <w:sz w:val="28"/>
          <w:szCs w:val="28"/>
        </w:rPr>
        <w:t xml:space="preserve">города Барнаула </w:t>
      </w:r>
      <w:r w:rsidRPr="00577593">
        <w:rPr>
          <w:rFonts w:ascii="Times New Roman" w:eastAsia="Times New Roman" w:hAnsi="Times New Roman"/>
          <w:sz w:val="28"/>
          <w:szCs w:val="28"/>
        </w:rPr>
        <w:t>на идеи потенциальных инвестиционных ниш. Важно создание площадки для обсуждения подобных идей с привлечением Алтайского центра кластерного развития, Алтайского Фонда содействия инновациям, Алтайского фонда развитию малого и среднего предпринимательства и других институтов развития. Возможна организация ежеквартальных встреч для запуска дискуссии о потенциальных инвестиционных нишах и оформление отобранных идей в инвестиционные предложения.</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Инвестиционные предложения, оформленные согласно методическим рекомендациям Минэкономразвития Российской Федерации, должны размещаться на инвестиционном портале </w:t>
      </w:r>
      <w:r w:rsidR="00BC7F8B">
        <w:rPr>
          <w:rFonts w:ascii="Times New Roman" w:eastAsia="Times New Roman" w:hAnsi="Times New Roman"/>
          <w:sz w:val="28"/>
          <w:szCs w:val="28"/>
        </w:rPr>
        <w:t>города</w:t>
      </w:r>
      <w:r w:rsidRPr="00577593">
        <w:rPr>
          <w:rFonts w:ascii="Times New Roman" w:eastAsia="Times New Roman" w:hAnsi="Times New Roman"/>
          <w:sz w:val="28"/>
          <w:szCs w:val="28"/>
        </w:rPr>
        <w:t xml:space="preserve">. Эти предложения также могут быть дополнены инвестиционными лотами, уже размещенными на инвестиционном портале Алтайского края, при возможности локализации этих производств на территории </w:t>
      </w:r>
      <w:r w:rsidR="00303207">
        <w:rPr>
          <w:rFonts w:ascii="Times New Roman" w:eastAsia="Times New Roman" w:hAnsi="Times New Roman"/>
          <w:sz w:val="28"/>
          <w:szCs w:val="28"/>
        </w:rPr>
        <w:t xml:space="preserve">города </w:t>
      </w:r>
      <w:r w:rsidRPr="00577593">
        <w:rPr>
          <w:rFonts w:ascii="Times New Roman" w:eastAsia="Times New Roman" w:hAnsi="Times New Roman"/>
          <w:sz w:val="28"/>
          <w:szCs w:val="28"/>
        </w:rPr>
        <w:t>Барнаула.</w:t>
      </w:r>
    </w:p>
    <w:p w:rsidR="00FC41F4" w:rsidRPr="00577593" w:rsidRDefault="008925FA" w:rsidP="008D738C">
      <w:pPr>
        <w:pStyle w:val="3"/>
        <w:spacing w:before="0" w:line="240" w:lineRule="auto"/>
        <w:ind w:firstLine="709"/>
        <w:jc w:val="both"/>
        <w:rPr>
          <w:rFonts w:ascii="Times New Roman" w:eastAsia="Times New Roman" w:hAnsi="Times New Roman"/>
          <w:b/>
          <w:color w:val="auto"/>
          <w:sz w:val="28"/>
          <w:szCs w:val="28"/>
        </w:rPr>
      </w:pPr>
      <w:bookmarkStart w:id="278" w:name="_Toc204923039"/>
      <w:bookmarkStart w:id="279" w:name="_Toc204933373"/>
      <w:bookmarkStart w:id="280" w:name="_Toc208496678"/>
      <w:bookmarkStart w:id="281" w:name="_Toc208668960"/>
      <w:bookmarkStart w:id="282" w:name="_Toc212804309"/>
      <w:r w:rsidRPr="00577593">
        <w:rPr>
          <w:rFonts w:ascii="Times New Roman" w:eastAsia="Times New Roman" w:hAnsi="Times New Roman"/>
          <w:b/>
          <w:color w:val="auto"/>
          <w:sz w:val="28"/>
          <w:szCs w:val="28"/>
        </w:rPr>
        <w:t>9.1.4</w:t>
      </w:r>
      <w:r w:rsidR="00303207">
        <w:rPr>
          <w:rFonts w:ascii="Times New Roman" w:eastAsia="Times New Roman" w:hAnsi="Times New Roman"/>
          <w:b/>
          <w:color w:val="auto"/>
          <w:sz w:val="28"/>
          <w:szCs w:val="28"/>
        </w:rPr>
        <w:t>.</w:t>
      </w:r>
      <w:r w:rsidRPr="00577593">
        <w:rPr>
          <w:rFonts w:ascii="Times New Roman" w:eastAsia="Times New Roman" w:hAnsi="Times New Roman"/>
          <w:b/>
          <w:color w:val="auto"/>
          <w:sz w:val="28"/>
          <w:szCs w:val="28"/>
        </w:rPr>
        <w:t xml:space="preserve"> Развитие туризма</w:t>
      </w:r>
      <w:bookmarkEnd w:id="278"/>
      <w:bookmarkEnd w:id="279"/>
      <w:bookmarkEnd w:id="280"/>
      <w:bookmarkEnd w:id="281"/>
      <w:bookmarkEnd w:id="282"/>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В рамках национальной цели развития Российской Федерации на период до 2030 года и на перспективу до 2036 года «Устойчивая и динамичная экономика» определены следующие целевые показатели и задачи в сфере туризма:</w:t>
      </w:r>
    </w:p>
    <w:p w:rsidR="00FC41F4" w:rsidRPr="00577593" w:rsidRDefault="008925FA" w:rsidP="008D738C">
      <w:pPr>
        <w:pStyle w:val="af5"/>
        <w:numPr>
          <w:ilvl w:val="0"/>
          <w:numId w:val="23"/>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увеличение к 2030 году доли туристской отрасли в валовом внутреннем продукте до 5 процентов;</w:t>
      </w:r>
    </w:p>
    <w:p w:rsidR="00FC41F4" w:rsidRPr="00577593" w:rsidRDefault="008925FA" w:rsidP="008D738C">
      <w:pPr>
        <w:pStyle w:val="af5"/>
        <w:numPr>
          <w:ilvl w:val="0"/>
          <w:numId w:val="23"/>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 xml:space="preserve">увеличение к 2030 году экспорта туристских услуг в три раза </w:t>
      </w:r>
      <w:r w:rsidR="00AA69D2" w:rsidRPr="00577593">
        <w:rPr>
          <w:rFonts w:ascii="Times New Roman" w:eastAsia="Times New Roman" w:hAnsi="Times New Roman"/>
          <w:sz w:val="28"/>
          <w:szCs w:val="28"/>
          <w:lang w:eastAsia="ru-RU"/>
        </w:rPr>
        <w:br/>
      </w:r>
      <w:r w:rsidRPr="00577593">
        <w:rPr>
          <w:rFonts w:ascii="Times New Roman" w:eastAsia="Times New Roman" w:hAnsi="Times New Roman"/>
          <w:sz w:val="28"/>
          <w:szCs w:val="28"/>
          <w:lang w:eastAsia="ru-RU"/>
        </w:rPr>
        <w:t>по сравнению с уровнем 2023 года.</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В соответствии с национальными целями реализуется национальный проект «Туризм и гостеприимство», который к 2030 году ставит перед собой следующие задачи в развитии туризма:</w:t>
      </w:r>
    </w:p>
    <w:p w:rsidR="00FC41F4" w:rsidRPr="00577593" w:rsidRDefault="008925FA" w:rsidP="008D738C">
      <w:pPr>
        <w:pStyle w:val="af5"/>
        <w:numPr>
          <w:ilvl w:val="0"/>
          <w:numId w:val="23"/>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lastRenderedPageBreak/>
        <w:t xml:space="preserve">за счет создания и развития современной и качественной туристской инфраструктуры в регионах увеличивается количество туристических поездок по </w:t>
      </w:r>
      <w:r w:rsidR="00573781">
        <w:rPr>
          <w:rFonts w:ascii="Times New Roman" w:eastAsia="Times New Roman" w:hAnsi="Times New Roman"/>
          <w:sz w:val="28"/>
          <w:szCs w:val="28"/>
          <w:lang w:eastAsia="ru-RU"/>
        </w:rPr>
        <w:t>Российской Федерации</w:t>
      </w:r>
      <w:r w:rsidRPr="00577593">
        <w:rPr>
          <w:rFonts w:ascii="Times New Roman" w:eastAsia="Times New Roman" w:hAnsi="Times New Roman"/>
          <w:sz w:val="28"/>
          <w:szCs w:val="28"/>
          <w:lang w:eastAsia="ru-RU"/>
        </w:rPr>
        <w:t>;</w:t>
      </w:r>
    </w:p>
    <w:p w:rsidR="00FC41F4" w:rsidRPr="00577593" w:rsidRDefault="008925FA" w:rsidP="008D738C">
      <w:pPr>
        <w:pStyle w:val="af5"/>
        <w:numPr>
          <w:ilvl w:val="0"/>
          <w:numId w:val="23"/>
        </w:numPr>
        <w:tabs>
          <w:tab w:val="left" w:pos="993"/>
        </w:tabs>
        <w:spacing w:after="0" w:line="240" w:lineRule="auto"/>
        <w:ind w:left="0" w:firstLine="709"/>
        <w:jc w:val="both"/>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обеспечена туристическая привлекательность для иностранных граждан и граждан Российской Федерации.</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Стратегия социально-экономического развития Алтайского </w:t>
      </w:r>
      <w:r w:rsidR="00B4381E">
        <w:rPr>
          <w:rFonts w:ascii="Times New Roman" w:eastAsia="Times New Roman" w:hAnsi="Times New Roman"/>
          <w:sz w:val="28"/>
          <w:szCs w:val="28"/>
        </w:rPr>
        <w:t>края до 2035 года включает цель</w:t>
      </w:r>
      <w:r w:rsidRPr="00577593">
        <w:rPr>
          <w:rFonts w:ascii="Times New Roman" w:eastAsia="Times New Roman" w:hAnsi="Times New Roman"/>
          <w:sz w:val="28"/>
          <w:szCs w:val="28"/>
        </w:rPr>
        <w:t xml:space="preserve"> «Развитие туристско-рекреационного комплекса Алтайского края, внутреннего и въездного туризма в регионе, усиление социально-экономической роли туризма».</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К числу стратегических задач относятся:</w:t>
      </w:r>
    </w:p>
    <w:p w:rsidR="00FC41F4" w:rsidRPr="005F0B0B" w:rsidRDefault="005F0B0B" w:rsidP="005F0B0B">
      <w:pPr>
        <w:spacing w:after="0" w:line="240" w:lineRule="auto"/>
        <w:ind w:firstLine="709"/>
        <w:jc w:val="both"/>
        <w:rPr>
          <w:rFonts w:ascii="Times New Roman" w:eastAsia="Times New Roman" w:hAnsi="Times New Roman"/>
          <w:sz w:val="28"/>
          <w:szCs w:val="28"/>
          <w:lang w:eastAsia="ru-RU"/>
        </w:rPr>
      </w:pPr>
      <w:r w:rsidRPr="005F0B0B">
        <w:rPr>
          <w:rFonts w:ascii="Times New Roman" w:eastAsia="Times New Roman" w:hAnsi="Times New Roman"/>
          <w:sz w:val="28"/>
          <w:szCs w:val="28"/>
          <w:lang w:eastAsia="ru-RU"/>
        </w:rPr>
        <w:t>– </w:t>
      </w:r>
      <w:r>
        <w:rPr>
          <w:rFonts w:ascii="Times New Roman" w:eastAsia="Times New Roman" w:hAnsi="Times New Roman"/>
          <w:sz w:val="28"/>
          <w:szCs w:val="28"/>
          <w:lang w:eastAsia="ru-RU"/>
        </w:rPr>
        <w:t>п</w:t>
      </w:r>
      <w:r w:rsidR="008925FA" w:rsidRPr="005F0B0B">
        <w:rPr>
          <w:rFonts w:ascii="Times New Roman" w:eastAsia="Times New Roman" w:hAnsi="Times New Roman"/>
          <w:sz w:val="28"/>
          <w:szCs w:val="28"/>
          <w:lang w:eastAsia="ru-RU"/>
        </w:rPr>
        <w:t>овышение конкурентоспособности и доступности туристского продукта на российском и зарубежном рынках;</w:t>
      </w:r>
    </w:p>
    <w:p w:rsidR="00FC41F4" w:rsidRPr="005F0B0B" w:rsidRDefault="005F0B0B" w:rsidP="005F0B0B">
      <w:pPr>
        <w:spacing w:after="0" w:line="240" w:lineRule="auto"/>
        <w:ind w:firstLine="709"/>
        <w:jc w:val="both"/>
        <w:rPr>
          <w:rFonts w:ascii="Times New Roman" w:eastAsia="Times New Roman" w:hAnsi="Times New Roman"/>
          <w:sz w:val="28"/>
          <w:szCs w:val="28"/>
          <w:lang w:eastAsia="ru-RU"/>
        </w:rPr>
      </w:pPr>
      <w:r w:rsidRPr="005F0B0B">
        <w:rPr>
          <w:rFonts w:ascii="Times New Roman" w:eastAsia="Times New Roman" w:hAnsi="Times New Roman"/>
          <w:sz w:val="28"/>
          <w:szCs w:val="28"/>
          <w:lang w:eastAsia="ru-RU"/>
        </w:rPr>
        <w:t>– </w:t>
      </w:r>
      <w:r>
        <w:rPr>
          <w:rFonts w:ascii="Times New Roman" w:eastAsia="Times New Roman" w:hAnsi="Times New Roman"/>
          <w:sz w:val="28"/>
          <w:szCs w:val="28"/>
          <w:lang w:eastAsia="ru-RU"/>
        </w:rPr>
        <w:t>с</w:t>
      </w:r>
      <w:r w:rsidR="008925FA" w:rsidRPr="005F0B0B">
        <w:rPr>
          <w:rFonts w:ascii="Times New Roman" w:eastAsia="Times New Roman" w:hAnsi="Times New Roman"/>
          <w:sz w:val="28"/>
          <w:szCs w:val="28"/>
          <w:lang w:eastAsia="ru-RU"/>
        </w:rPr>
        <w:t>тимулирование предпринимательских и общественных инициатив, инвестиционной деятельности в сфере туризма;</w:t>
      </w:r>
    </w:p>
    <w:p w:rsidR="00FC41F4" w:rsidRPr="005F0B0B" w:rsidRDefault="005F0B0B" w:rsidP="005F0B0B">
      <w:pPr>
        <w:spacing w:after="0" w:line="240" w:lineRule="auto"/>
        <w:ind w:firstLine="709"/>
        <w:jc w:val="both"/>
        <w:rPr>
          <w:rFonts w:ascii="Times New Roman" w:eastAsia="Times New Roman" w:hAnsi="Times New Roman"/>
          <w:sz w:val="28"/>
          <w:szCs w:val="28"/>
          <w:lang w:eastAsia="ru-RU"/>
        </w:rPr>
      </w:pPr>
      <w:r w:rsidRPr="005F0B0B">
        <w:rPr>
          <w:rFonts w:ascii="Times New Roman" w:eastAsia="Times New Roman" w:hAnsi="Times New Roman"/>
          <w:sz w:val="28"/>
          <w:szCs w:val="28"/>
          <w:lang w:eastAsia="ru-RU"/>
        </w:rPr>
        <w:t>– </w:t>
      </w:r>
      <w:r>
        <w:rPr>
          <w:rFonts w:ascii="Times New Roman" w:eastAsia="Times New Roman" w:hAnsi="Times New Roman"/>
          <w:sz w:val="28"/>
          <w:szCs w:val="28"/>
          <w:lang w:eastAsia="ru-RU"/>
        </w:rPr>
        <w:t>п</w:t>
      </w:r>
      <w:r w:rsidR="008925FA" w:rsidRPr="005F0B0B">
        <w:rPr>
          <w:rFonts w:ascii="Times New Roman" w:eastAsia="Times New Roman" w:hAnsi="Times New Roman"/>
          <w:sz w:val="28"/>
          <w:szCs w:val="28"/>
          <w:lang w:eastAsia="ru-RU"/>
        </w:rPr>
        <w:t>родвижение туристского продукта Алтайского края на российский и зарубежный рынки, формирование имиджа Алтайского края как центра всесезонного туризма, развитие межрегионального и международного сотрудничества.</w:t>
      </w:r>
    </w:p>
    <w:p w:rsidR="00FC41F4" w:rsidRPr="00577593" w:rsidRDefault="008925FA" w:rsidP="00573781">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Ключевой целью развития туристической сферы </w:t>
      </w:r>
      <w:r w:rsidR="00BC7F8B">
        <w:rPr>
          <w:rFonts w:ascii="Times New Roman" w:eastAsia="Times New Roman" w:hAnsi="Times New Roman"/>
          <w:sz w:val="28"/>
          <w:szCs w:val="28"/>
        </w:rPr>
        <w:t>города</w:t>
      </w:r>
      <w:r w:rsidRPr="00577593">
        <w:rPr>
          <w:rFonts w:ascii="Times New Roman" w:eastAsia="Times New Roman" w:hAnsi="Times New Roman"/>
          <w:sz w:val="28"/>
          <w:szCs w:val="28"/>
        </w:rPr>
        <w:t xml:space="preserve"> является формирование современного, конкурентоспособного и многопрофильного туристического центра юга Сибири, который гармонично объединяет культурно-познавательное, деловое, оздоровительное, промышленное и событийное направления.</w:t>
      </w:r>
    </w:p>
    <w:p w:rsidR="00FC41F4" w:rsidRPr="00577593" w:rsidRDefault="008925FA" w:rsidP="00573781">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Направления реализации задачи «Развитие туризма»</w:t>
      </w:r>
      <w:r w:rsidR="00FC0178" w:rsidRPr="00577593">
        <w:rPr>
          <w:rFonts w:ascii="Times New Roman" w:eastAsia="Times New Roman" w:hAnsi="Times New Roman"/>
          <w:sz w:val="28"/>
          <w:szCs w:val="28"/>
        </w:rPr>
        <w:t xml:space="preserve"> на городском уровне</w:t>
      </w:r>
      <w:r w:rsidRPr="00577593">
        <w:rPr>
          <w:rFonts w:ascii="Times New Roman" w:eastAsia="Times New Roman" w:hAnsi="Times New Roman"/>
          <w:sz w:val="28"/>
          <w:szCs w:val="28"/>
        </w:rPr>
        <w:t>:</w:t>
      </w:r>
    </w:p>
    <w:p w:rsidR="00FC41F4" w:rsidRPr="005F0B0B" w:rsidRDefault="00573781" w:rsidP="00573781">
      <w:pPr>
        <w:spacing w:after="0" w:line="240" w:lineRule="auto"/>
        <w:ind w:firstLine="709"/>
        <w:jc w:val="both"/>
        <w:rPr>
          <w:rFonts w:ascii="Times New Roman" w:eastAsia="Times New Roman" w:hAnsi="Times New Roman"/>
          <w:sz w:val="28"/>
          <w:szCs w:val="28"/>
          <w:lang w:eastAsia="ru-RU"/>
        </w:rPr>
      </w:pPr>
      <w:r w:rsidRPr="00573781">
        <w:rPr>
          <w:rFonts w:ascii="Times New Roman" w:eastAsia="Times New Roman" w:hAnsi="Times New Roman"/>
          <w:sz w:val="28"/>
          <w:szCs w:val="28"/>
          <w:lang w:eastAsia="ru-RU"/>
        </w:rPr>
        <w:t>– </w:t>
      </w:r>
      <w:r w:rsidR="005F0B0B" w:rsidRPr="005F0B0B">
        <w:rPr>
          <w:rFonts w:ascii="Times New Roman" w:eastAsia="Times New Roman" w:hAnsi="Times New Roman"/>
          <w:sz w:val="28"/>
          <w:szCs w:val="28"/>
          <w:lang w:eastAsia="ru-RU"/>
        </w:rPr>
        <w:t>диверсификация туристического предложения за счет развития культурно-познавательного, делового, пром</w:t>
      </w:r>
      <w:r>
        <w:rPr>
          <w:rFonts w:ascii="Times New Roman" w:eastAsia="Times New Roman" w:hAnsi="Times New Roman"/>
          <w:sz w:val="28"/>
          <w:szCs w:val="28"/>
          <w:lang w:eastAsia="ru-RU"/>
        </w:rPr>
        <w:t>ышленного и событийного туризма;</w:t>
      </w:r>
    </w:p>
    <w:p w:rsidR="00FC41F4" w:rsidRPr="005F0B0B" w:rsidRDefault="005F0B0B" w:rsidP="005F0B0B">
      <w:pPr>
        <w:spacing w:after="0" w:line="240" w:lineRule="auto"/>
        <w:ind w:firstLine="709"/>
        <w:jc w:val="both"/>
        <w:rPr>
          <w:rFonts w:ascii="Times New Roman" w:eastAsia="Times New Roman" w:hAnsi="Times New Roman"/>
          <w:sz w:val="28"/>
          <w:szCs w:val="28"/>
          <w:lang w:eastAsia="ru-RU"/>
        </w:rPr>
      </w:pPr>
      <w:r w:rsidRPr="005F0B0B">
        <w:rPr>
          <w:rFonts w:ascii="Times New Roman" w:eastAsia="Times New Roman" w:hAnsi="Times New Roman"/>
          <w:sz w:val="28"/>
          <w:szCs w:val="28"/>
          <w:lang w:eastAsia="ru-RU"/>
        </w:rPr>
        <w:t>– развитие лечебно-оздоровительного туризма, в том числе медицин</w:t>
      </w:r>
      <w:r w:rsidR="00573781">
        <w:rPr>
          <w:rFonts w:ascii="Times New Roman" w:eastAsia="Times New Roman" w:hAnsi="Times New Roman"/>
          <w:sz w:val="28"/>
          <w:szCs w:val="28"/>
          <w:lang w:eastAsia="ru-RU"/>
        </w:rPr>
        <w:t>ского туризма;</w:t>
      </w:r>
    </w:p>
    <w:p w:rsidR="00FC41F4" w:rsidRPr="005F0B0B" w:rsidRDefault="005F0B0B" w:rsidP="005F0B0B">
      <w:pPr>
        <w:spacing w:after="0" w:line="240" w:lineRule="auto"/>
        <w:ind w:firstLine="709"/>
        <w:jc w:val="both"/>
        <w:rPr>
          <w:rFonts w:ascii="Times New Roman" w:eastAsia="Times New Roman" w:hAnsi="Times New Roman"/>
          <w:sz w:val="28"/>
          <w:szCs w:val="28"/>
          <w:lang w:eastAsia="ru-RU"/>
        </w:rPr>
      </w:pPr>
      <w:r w:rsidRPr="005F0B0B">
        <w:rPr>
          <w:rFonts w:ascii="Times New Roman" w:eastAsia="Times New Roman" w:hAnsi="Times New Roman"/>
          <w:sz w:val="28"/>
          <w:szCs w:val="28"/>
          <w:lang w:eastAsia="ru-RU"/>
        </w:rPr>
        <w:t>– повышение качест</w:t>
      </w:r>
      <w:r w:rsidR="00573781">
        <w:rPr>
          <w:rFonts w:ascii="Times New Roman" w:eastAsia="Times New Roman" w:hAnsi="Times New Roman"/>
          <w:sz w:val="28"/>
          <w:szCs w:val="28"/>
          <w:lang w:eastAsia="ru-RU"/>
        </w:rPr>
        <w:t>ва туристической инфраструктуры;</w:t>
      </w:r>
    </w:p>
    <w:p w:rsidR="00FC41F4" w:rsidRPr="005F0B0B" w:rsidRDefault="005F0B0B" w:rsidP="005F0B0B">
      <w:pPr>
        <w:spacing w:after="0" w:line="240" w:lineRule="auto"/>
        <w:ind w:firstLine="709"/>
        <w:jc w:val="both"/>
        <w:rPr>
          <w:rFonts w:ascii="Times New Roman" w:eastAsia="Times New Roman" w:hAnsi="Times New Roman"/>
          <w:sz w:val="28"/>
          <w:szCs w:val="28"/>
          <w:lang w:eastAsia="ru-RU"/>
        </w:rPr>
      </w:pPr>
      <w:r w:rsidRPr="005F0B0B">
        <w:rPr>
          <w:rFonts w:ascii="Times New Roman" w:eastAsia="Times New Roman" w:hAnsi="Times New Roman"/>
          <w:sz w:val="28"/>
          <w:szCs w:val="28"/>
          <w:lang w:eastAsia="ru-RU"/>
        </w:rPr>
        <w:t>– развит</w:t>
      </w:r>
      <w:r w:rsidR="00573781">
        <w:rPr>
          <w:rFonts w:ascii="Times New Roman" w:eastAsia="Times New Roman" w:hAnsi="Times New Roman"/>
          <w:sz w:val="28"/>
          <w:szCs w:val="28"/>
          <w:lang w:eastAsia="ru-RU"/>
        </w:rPr>
        <w:t>ие кадрового потенциала отрасли;</w:t>
      </w:r>
    </w:p>
    <w:p w:rsidR="00FC41F4" w:rsidRPr="005F0B0B" w:rsidRDefault="005F0B0B" w:rsidP="005F0B0B">
      <w:pPr>
        <w:spacing w:after="0" w:line="240" w:lineRule="auto"/>
        <w:ind w:firstLine="709"/>
        <w:jc w:val="both"/>
        <w:rPr>
          <w:rFonts w:ascii="Times New Roman" w:eastAsia="Times New Roman" w:hAnsi="Times New Roman"/>
          <w:sz w:val="28"/>
          <w:szCs w:val="28"/>
          <w:lang w:eastAsia="ru-RU"/>
        </w:rPr>
      </w:pPr>
      <w:r w:rsidRPr="005F0B0B">
        <w:rPr>
          <w:rFonts w:ascii="Times New Roman" w:eastAsia="Times New Roman" w:hAnsi="Times New Roman"/>
          <w:sz w:val="28"/>
          <w:szCs w:val="28"/>
          <w:lang w:eastAsia="ru-RU"/>
        </w:rPr>
        <w:t>– развитие механизмов информирования о событийной программе города.</w:t>
      </w:r>
    </w:p>
    <w:p w:rsidR="00FC41F4" w:rsidRPr="00577593" w:rsidRDefault="008925FA" w:rsidP="008D738C">
      <w:pPr>
        <w:pStyle w:val="3"/>
        <w:pBdr>
          <w:top w:val="none" w:sz="4" w:space="0" w:color="000000"/>
          <w:left w:val="none" w:sz="4" w:space="0" w:color="000000"/>
          <w:bottom w:val="none" w:sz="4" w:space="0" w:color="000000"/>
          <w:right w:val="none" w:sz="4" w:space="0" w:color="000000"/>
        </w:pBdr>
        <w:spacing w:before="0" w:line="240" w:lineRule="auto"/>
        <w:ind w:firstLine="709"/>
        <w:jc w:val="both"/>
        <w:rPr>
          <w:rFonts w:ascii="Times New Roman" w:hAnsi="Times New Roman"/>
          <w:color w:val="auto"/>
          <w:sz w:val="28"/>
          <w:szCs w:val="28"/>
        </w:rPr>
      </w:pPr>
      <w:bookmarkStart w:id="283" w:name="_Toc208496679"/>
      <w:bookmarkStart w:id="284" w:name="_Toc208668961"/>
      <w:bookmarkStart w:id="285" w:name="_Toc212804310"/>
      <w:r w:rsidRPr="00577593">
        <w:rPr>
          <w:rFonts w:ascii="Times New Roman" w:eastAsia="Times New Roman" w:hAnsi="Times New Roman"/>
          <w:color w:val="auto"/>
          <w:sz w:val="28"/>
          <w:szCs w:val="28"/>
        </w:rPr>
        <w:t>9.1.4.1</w:t>
      </w:r>
      <w:r w:rsidR="005F0B0B">
        <w:rPr>
          <w:rFonts w:ascii="Times New Roman" w:eastAsia="Times New Roman" w:hAnsi="Times New Roman"/>
          <w:color w:val="auto"/>
          <w:sz w:val="28"/>
          <w:szCs w:val="28"/>
        </w:rPr>
        <w:t>.</w:t>
      </w:r>
      <w:r w:rsidRPr="00577593">
        <w:rPr>
          <w:rFonts w:ascii="Times New Roman" w:eastAsia="Times New Roman" w:hAnsi="Times New Roman"/>
          <w:color w:val="auto"/>
          <w:sz w:val="28"/>
          <w:szCs w:val="28"/>
        </w:rPr>
        <w:t xml:space="preserve"> Диверсификация туристического предложения за счет развития культурно-познавательного, делового, промышленного и событийного туризма</w:t>
      </w:r>
      <w:bookmarkEnd w:id="283"/>
      <w:bookmarkEnd w:id="284"/>
      <w:bookmarkEnd w:id="285"/>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Расширение туристического потенциала позволит сделать </w:t>
      </w:r>
      <w:r w:rsidR="00573781">
        <w:rPr>
          <w:rFonts w:ascii="Times New Roman" w:eastAsia="Times New Roman" w:hAnsi="Times New Roman"/>
          <w:sz w:val="28"/>
          <w:szCs w:val="28"/>
        </w:rPr>
        <w:t xml:space="preserve">город </w:t>
      </w:r>
      <w:r w:rsidRPr="00577593">
        <w:rPr>
          <w:rFonts w:ascii="Times New Roman" w:eastAsia="Times New Roman" w:hAnsi="Times New Roman"/>
          <w:sz w:val="28"/>
          <w:szCs w:val="28"/>
        </w:rPr>
        <w:t xml:space="preserve">привлекательным для разных категорий путешественников, продлить пребывание гостей и нарастить туристический поток. Важно позиционирование </w:t>
      </w:r>
      <w:r w:rsidR="00573781">
        <w:rPr>
          <w:rFonts w:ascii="Times New Roman" w:eastAsia="Times New Roman" w:hAnsi="Times New Roman"/>
          <w:sz w:val="28"/>
          <w:szCs w:val="28"/>
        </w:rPr>
        <w:t xml:space="preserve">города </w:t>
      </w:r>
      <w:r w:rsidRPr="00577593">
        <w:rPr>
          <w:rFonts w:ascii="Times New Roman" w:eastAsia="Times New Roman" w:hAnsi="Times New Roman"/>
          <w:sz w:val="28"/>
          <w:szCs w:val="28"/>
        </w:rPr>
        <w:t xml:space="preserve">Барнаула как самостоятельного центра туризма, чему в том числе будет способствовать повышение разнообразия туристического предложения на территории города. Важным направлением в продвижении как разных видов туризма, так и города в целом, должно стать формирование бренда города, что будет отличать </w:t>
      </w:r>
      <w:r w:rsidR="00BC7F8B">
        <w:rPr>
          <w:rFonts w:ascii="Times New Roman" w:eastAsia="Times New Roman" w:hAnsi="Times New Roman"/>
          <w:sz w:val="28"/>
          <w:szCs w:val="28"/>
        </w:rPr>
        <w:t>его</w:t>
      </w:r>
      <w:r w:rsidRPr="00577593">
        <w:rPr>
          <w:rFonts w:ascii="Times New Roman" w:eastAsia="Times New Roman" w:hAnsi="Times New Roman"/>
          <w:sz w:val="28"/>
          <w:szCs w:val="28"/>
        </w:rPr>
        <w:t xml:space="preserve"> от других </w:t>
      </w:r>
      <w:r w:rsidRPr="00577593">
        <w:rPr>
          <w:rFonts w:ascii="Times New Roman" w:eastAsia="Times New Roman" w:hAnsi="Times New Roman"/>
          <w:sz w:val="28"/>
          <w:szCs w:val="28"/>
        </w:rPr>
        <w:lastRenderedPageBreak/>
        <w:t>городов. Данное направление подразумевает развитие собственной айдентики, логотипов, фирменных цветов и шрифтов, которые могут распространяться на различных городских площадках, в том числе онлайн-платформах, мероприятиях, товарах и услугах, а также отражаться в элементах городской среды, подчеркивающих идентичность города.</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В </w:t>
      </w:r>
      <w:r w:rsidR="00BC7F8B">
        <w:rPr>
          <w:rFonts w:ascii="Times New Roman" w:eastAsia="Times New Roman" w:hAnsi="Times New Roman"/>
          <w:sz w:val="28"/>
          <w:szCs w:val="28"/>
        </w:rPr>
        <w:t xml:space="preserve">городе </w:t>
      </w:r>
      <w:r w:rsidRPr="00577593">
        <w:rPr>
          <w:rFonts w:ascii="Times New Roman" w:eastAsia="Times New Roman" w:hAnsi="Times New Roman"/>
          <w:sz w:val="28"/>
          <w:szCs w:val="28"/>
        </w:rPr>
        <w:t>Барнауле уже получили широкое развитие различные направления культурно-познавательного туризма, которые могут расширяться и дополняться. На территории города проводятся различные культурные мероприятия, фестивали, работают музеи, театры, проводятся спортивные мероприятия. Активно развивается исторический центр города, планируется реконструировать Сереброплавильный завод, продолжится работа по благоустройству набережной реки Оби. Одним из перспективных направлений в рамках культурно-познавательного туризма является развитие гастротуризма. Развитие на территории города объектов общественного питания, в том числе специализирующихся на кухне народов Алтайского края, магазинов с продуктами местных производителей, ярмарок, гастрофестивалей будет способствовать развитию данного направления.</w:t>
      </w:r>
    </w:p>
    <w:p w:rsidR="00FC41F4" w:rsidRPr="00577593" w:rsidRDefault="00BC7F8B"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Pr>
          <w:rFonts w:ascii="Times New Roman" w:eastAsia="Times New Roman" w:hAnsi="Times New Roman"/>
          <w:sz w:val="28"/>
          <w:szCs w:val="28"/>
        </w:rPr>
        <w:t xml:space="preserve">Город </w:t>
      </w:r>
      <w:r w:rsidR="008925FA" w:rsidRPr="00577593">
        <w:rPr>
          <w:rFonts w:ascii="Times New Roman" w:eastAsia="Times New Roman" w:hAnsi="Times New Roman"/>
          <w:sz w:val="28"/>
          <w:szCs w:val="28"/>
        </w:rPr>
        <w:t>Барнаул обладает значительным потенциалом для развития делового туризма благодаря своему статусу административного, научного и промышленного центра Алтайского края. В настоящее время в городе проводятся конференции и бизнес-встречи, однако отсутствие современной конгрессной инфраструктуры ограничивает возможности для масштабных мероприятий. В связи с этим предлагается строительство конгресс-центра с многофункциональными залами, выставочными пространствами и современным техническим оснащением, а также развитие гостиничной базы с конференц-залами и коворкинг-зонами.</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Событийный туризм является одним из самых динамично растущих направлений, привлекающим как российских, так и иностранных туристов. </w:t>
      </w:r>
      <w:r w:rsidR="00BC7F8B">
        <w:rPr>
          <w:rFonts w:ascii="Times New Roman" w:eastAsia="Times New Roman" w:hAnsi="Times New Roman"/>
          <w:sz w:val="28"/>
          <w:szCs w:val="28"/>
        </w:rPr>
        <w:t>город</w:t>
      </w:r>
      <w:r w:rsidRPr="00577593">
        <w:rPr>
          <w:rFonts w:ascii="Times New Roman" w:eastAsia="Times New Roman" w:hAnsi="Times New Roman"/>
          <w:sz w:val="28"/>
          <w:szCs w:val="28"/>
        </w:rPr>
        <w:t xml:space="preserve"> обладает значительным потенциалом для проведения фестивалей, выставок, спортивных и</w:t>
      </w:r>
      <w:r w:rsidR="002E1981" w:rsidRPr="00577593">
        <w:rPr>
          <w:rFonts w:ascii="Times New Roman" w:eastAsia="Times New Roman" w:hAnsi="Times New Roman"/>
          <w:sz w:val="28"/>
          <w:szCs w:val="28"/>
        </w:rPr>
        <w:t> </w:t>
      </w:r>
      <w:r w:rsidRPr="00577593">
        <w:rPr>
          <w:rFonts w:ascii="Times New Roman" w:eastAsia="Times New Roman" w:hAnsi="Times New Roman"/>
          <w:sz w:val="28"/>
          <w:szCs w:val="28"/>
        </w:rPr>
        <w:t>культурных мероприятий. Для этого необходимо создание условий для проведения крупных федеральных и международных мероприятий, разработка ежегодного календаря ключевых событий, а также продвижение города как площадки для культурных, корпоративных и спортивных мероприятий. В частности, в силу промышленной специфики города и размещения на его территории ведущих крупных промышленных предприятий перспективным является расширение возможностей для событийного туризма, содействие в организации отраслевых мероприятий, в том числе для представителей сельскохозяйственного машиностроения, энергетического машиностроения и прочих отраслей.</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Промышленный туризм </w:t>
      </w:r>
      <w:r w:rsidR="00D53DC9" w:rsidRPr="00577593">
        <w:rPr>
          <w:rFonts w:ascii="Times New Roman" w:eastAsia="Times New Roman" w:hAnsi="Times New Roman"/>
          <w:sz w:val="28"/>
          <w:szCs w:val="28"/>
        </w:rPr>
        <w:t>–</w:t>
      </w:r>
      <w:r w:rsidRPr="00577593">
        <w:rPr>
          <w:rFonts w:ascii="Times New Roman" w:eastAsia="Times New Roman" w:hAnsi="Times New Roman"/>
          <w:sz w:val="28"/>
          <w:szCs w:val="28"/>
        </w:rPr>
        <w:t xml:space="preserve"> это перспективное направление, позволяющее познакомить гостей города с историей промышленности, инновационными технологиями и производственными мощностями. Для развития этого направления потребуется разработка специализированных </w:t>
      </w:r>
      <w:r w:rsidRPr="00577593">
        <w:rPr>
          <w:rFonts w:ascii="Times New Roman" w:eastAsia="Times New Roman" w:hAnsi="Times New Roman"/>
          <w:sz w:val="28"/>
          <w:szCs w:val="28"/>
        </w:rPr>
        <w:lastRenderedPageBreak/>
        <w:t>экскурсионных программ на предприятия и создание интерактивных музеев при заводах с демонстрацией технологических процессов.</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Предполагается также, что по всем развивающимся на территории </w:t>
      </w:r>
      <w:r w:rsidR="00BC7F8B">
        <w:rPr>
          <w:rFonts w:ascii="Times New Roman" w:eastAsia="Times New Roman" w:hAnsi="Times New Roman"/>
          <w:sz w:val="28"/>
          <w:szCs w:val="28"/>
        </w:rPr>
        <w:t>города</w:t>
      </w:r>
      <w:r w:rsidRPr="00577593">
        <w:rPr>
          <w:rFonts w:ascii="Times New Roman" w:eastAsia="Times New Roman" w:hAnsi="Times New Roman"/>
          <w:sz w:val="28"/>
          <w:szCs w:val="28"/>
        </w:rPr>
        <w:t xml:space="preserve"> видам туризма могут быть сформированы специализированные предложения и краткосрочные туры для жителей других муниципальных образований Алтайского края.</w:t>
      </w:r>
    </w:p>
    <w:p w:rsidR="00FC41F4" w:rsidRPr="00577593" w:rsidRDefault="008925FA" w:rsidP="008D738C">
      <w:pPr>
        <w:pStyle w:val="3"/>
        <w:pBdr>
          <w:top w:val="none" w:sz="4" w:space="0" w:color="000000"/>
          <w:left w:val="none" w:sz="4" w:space="0" w:color="000000"/>
          <w:bottom w:val="none" w:sz="4" w:space="0" w:color="000000"/>
          <w:right w:val="none" w:sz="4" w:space="0" w:color="000000"/>
        </w:pBdr>
        <w:spacing w:before="0" w:line="240" w:lineRule="auto"/>
        <w:ind w:firstLine="709"/>
        <w:jc w:val="both"/>
        <w:rPr>
          <w:rFonts w:ascii="Times New Roman" w:hAnsi="Times New Roman"/>
          <w:color w:val="auto"/>
          <w:sz w:val="28"/>
          <w:szCs w:val="28"/>
        </w:rPr>
      </w:pPr>
      <w:bookmarkStart w:id="286" w:name="_Toc208496680"/>
      <w:bookmarkStart w:id="287" w:name="_Toc208668962"/>
      <w:bookmarkStart w:id="288" w:name="_Toc212804311"/>
      <w:r w:rsidRPr="00577593">
        <w:rPr>
          <w:rFonts w:ascii="Times New Roman" w:eastAsia="Times New Roman" w:hAnsi="Times New Roman"/>
          <w:color w:val="auto"/>
          <w:sz w:val="28"/>
          <w:szCs w:val="28"/>
        </w:rPr>
        <w:t>9.1.4.2</w:t>
      </w:r>
      <w:r w:rsidR="00573781">
        <w:rPr>
          <w:rFonts w:ascii="Times New Roman" w:eastAsia="Times New Roman" w:hAnsi="Times New Roman"/>
          <w:color w:val="auto"/>
          <w:sz w:val="28"/>
          <w:szCs w:val="28"/>
        </w:rPr>
        <w:t>.</w:t>
      </w:r>
      <w:r w:rsidRPr="00577593">
        <w:rPr>
          <w:rFonts w:ascii="Times New Roman" w:eastAsia="Times New Roman" w:hAnsi="Times New Roman"/>
          <w:color w:val="auto"/>
          <w:sz w:val="28"/>
          <w:szCs w:val="28"/>
        </w:rPr>
        <w:t xml:space="preserve"> Развитие лечебно-оздоровительного туризма, в том числе медицинского туризма</w:t>
      </w:r>
      <w:bookmarkEnd w:id="286"/>
      <w:bookmarkEnd w:id="287"/>
      <w:bookmarkEnd w:id="288"/>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В </w:t>
      </w:r>
      <w:r w:rsidR="00573781">
        <w:rPr>
          <w:rFonts w:ascii="Times New Roman" w:eastAsia="Times New Roman" w:hAnsi="Times New Roman"/>
          <w:sz w:val="28"/>
          <w:szCs w:val="28"/>
        </w:rPr>
        <w:t xml:space="preserve">городе </w:t>
      </w:r>
      <w:r w:rsidRPr="00577593">
        <w:rPr>
          <w:rFonts w:ascii="Times New Roman" w:eastAsia="Times New Roman" w:hAnsi="Times New Roman"/>
          <w:sz w:val="28"/>
          <w:szCs w:val="28"/>
        </w:rPr>
        <w:t xml:space="preserve">Барнауле сформирован высокий потенциал развития лечебно-оздоровительного направления туризма, при этом город обладает значительным потенциалом для дальнейшего развития медицинского туризма благодаря наличию современных медицинских учреждений, образующих медицинский кластер, и природных лечебных ресурсов Алтайского края. Для формирования конкурентоспособного предложения на российском и международном рынках требуется комплексное развитие этого направления. Необходимо развивать позиционирование </w:t>
      </w:r>
      <w:r w:rsidR="00BC7F8B">
        <w:rPr>
          <w:rFonts w:ascii="Times New Roman" w:eastAsia="Times New Roman" w:hAnsi="Times New Roman"/>
          <w:sz w:val="28"/>
          <w:szCs w:val="28"/>
        </w:rPr>
        <w:t>города</w:t>
      </w:r>
      <w:r w:rsidRPr="00577593">
        <w:rPr>
          <w:rFonts w:ascii="Times New Roman" w:eastAsia="Times New Roman" w:hAnsi="Times New Roman"/>
          <w:sz w:val="28"/>
          <w:szCs w:val="28"/>
        </w:rPr>
        <w:t xml:space="preserve"> как центра и точки входа лечебно-оздоровительного туризма Алтайского края. При этом также важна синхронизация со стратегическими целями и задачами, которые ставятся на уровне региона, в сфере лечебно-оздоровительного туризма, в том числе медицинского, включая цели и задачи Министерства здравоохранения Алтайского края. </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Для усиления конкурентоспособности санаторно-курортного предложения следует создать единую маркетинговую стратегию продвижения этих услуг на внутреннем и международном рынках. Это предполагает разработку специализированных пакетных предложений и сотрудничество с медицинскими страховыми компаниями. Реализация этих мер позволит повысить качество обслуживания в санаториях и позиционировать город как перспективное направление для восстановительного и профилактического лечения.</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Администрация города </w:t>
      </w:r>
      <w:r w:rsidR="00FB464E">
        <w:rPr>
          <w:rFonts w:ascii="Times New Roman" w:eastAsia="Times New Roman" w:hAnsi="Times New Roman"/>
          <w:sz w:val="28"/>
          <w:szCs w:val="28"/>
        </w:rPr>
        <w:t xml:space="preserve">Барнаула </w:t>
      </w:r>
      <w:r w:rsidRPr="00577593">
        <w:rPr>
          <w:rFonts w:ascii="Times New Roman" w:eastAsia="Times New Roman" w:hAnsi="Times New Roman"/>
          <w:sz w:val="28"/>
          <w:szCs w:val="28"/>
        </w:rPr>
        <w:t>в рамках данного направления будет способствовать созданию благоприятных условий по реализации инвестиционных проектов в сфере медицинского туризма.</w:t>
      </w:r>
    </w:p>
    <w:p w:rsidR="00FC41F4" w:rsidRPr="00577593" w:rsidRDefault="008925FA" w:rsidP="008D738C">
      <w:pPr>
        <w:pStyle w:val="3"/>
        <w:pBdr>
          <w:top w:val="none" w:sz="4" w:space="0" w:color="000000"/>
          <w:left w:val="none" w:sz="4" w:space="0" w:color="000000"/>
          <w:bottom w:val="none" w:sz="4" w:space="0" w:color="000000"/>
          <w:right w:val="none" w:sz="4" w:space="0" w:color="000000"/>
        </w:pBdr>
        <w:spacing w:before="0" w:line="240" w:lineRule="auto"/>
        <w:ind w:firstLine="709"/>
        <w:jc w:val="both"/>
        <w:rPr>
          <w:rFonts w:ascii="Times New Roman" w:hAnsi="Times New Roman"/>
          <w:color w:val="auto"/>
          <w:sz w:val="28"/>
          <w:szCs w:val="28"/>
        </w:rPr>
      </w:pPr>
      <w:bookmarkStart w:id="289" w:name="_Toc208496681"/>
      <w:bookmarkStart w:id="290" w:name="_Toc208668963"/>
      <w:bookmarkStart w:id="291" w:name="_Toc212804312"/>
      <w:r w:rsidRPr="00577593">
        <w:rPr>
          <w:rFonts w:ascii="Times New Roman" w:eastAsia="Times New Roman" w:hAnsi="Times New Roman"/>
          <w:color w:val="auto"/>
          <w:sz w:val="28"/>
          <w:szCs w:val="28"/>
        </w:rPr>
        <w:t>9.1.4.3</w:t>
      </w:r>
      <w:r w:rsidR="00573781">
        <w:rPr>
          <w:rFonts w:ascii="Times New Roman" w:eastAsia="Times New Roman" w:hAnsi="Times New Roman"/>
          <w:color w:val="auto"/>
          <w:sz w:val="28"/>
          <w:szCs w:val="28"/>
        </w:rPr>
        <w:t>.</w:t>
      </w:r>
      <w:r w:rsidRPr="00577593">
        <w:rPr>
          <w:rFonts w:ascii="Times New Roman" w:eastAsia="Times New Roman" w:hAnsi="Times New Roman"/>
          <w:color w:val="auto"/>
          <w:sz w:val="28"/>
          <w:szCs w:val="28"/>
        </w:rPr>
        <w:t xml:space="preserve"> Повышение качества туристической инфраструктуры</w:t>
      </w:r>
      <w:bookmarkEnd w:id="289"/>
      <w:bookmarkEnd w:id="290"/>
      <w:bookmarkEnd w:id="291"/>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Развитие современной и комфортной туристической инфраструктуры является ключевым условием для повышения привлекательности</w:t>
      </w:r>
      <w:r w:rsidR="00BC7F8B">
        <w:rPr>
          <w:rFonts w:ascii="Times New Roman" w:eastAsia="Times New Roman" w:hAnsi="Times New Roman"/>
          <w:sz w:val="28"/>
          <w:szCs w:val="28"/>
        </w:rPr>
        <w:t xml:space="preserve"> города </w:t>
      </w:r>
      <w:r w:rsidRPr="00577593">
        <w:rPr>
          <w:rFonts w:ascii="Times New Roman" w:eastAsia="Times New Roman" w:hAnsi="Times New Roman"/>
          <w:sz w:val="28"/>
          <w:szCs w:val="28"/>
        </w:rPr>
        <w:t>Барнаула как для деловых туристов, так и для иностранных гостей.</w:t>
      </w:r>
    </w:p>
    <w:p w:rsidR="00272BA6" w:rsidRPr="00577593" w:rsidRDefault="00272BA6"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Style w:val="15"/>
          <w:rFonts w:eastAsia="Calibri"/>
          <w:color w:val="auto"/>
          <w:sz w:val="28"/>
          <w:szCs w:val="28"/>
          <w:u w:val="none"/>
        </w:rPr>
        <w:t>Развитие туристической инфраструктуры города будет осуществляться путем создания единого туристического пространства. В том числе будет продолжена комплексная работа по благоустройству общественных пространств и развитию туристского центра города Барнаула в соответствии с туристским кодом, а также формирование инвестиционных предложений в целях приспособления под туристическую деятельность исторических зданий.</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Приоритетным направлением станет создание благоприятных условий для развития инвестиционных проектов в сфере туризма, в том </w:t>
      </w:r>
      <w:r w:rsidRPr="00577593">
        <w:rPr>
          <w:rFonts w:ascii="Times New Roman" w:eastAsia="Times New Roman" w:hAnsi="Times New Roman"/>
          <w:sz w:val="28"/>
          <w:szCs w:val="28"/>
        </w:rPr>
        <w:lastRenderedPageBreak/>
        <w:t>числе по строительству гостиниц. Вместе с этим следует стимулировать приход в город гостиничных операторов, чей опыт и качество сервиса будут способствовать формированию современной туристической инфраструктуры города. Также перспективным направлением будет стимулирование альтернативных видов размещения на территории города. Задачей города также является информирование бизнеса о всех возможных мерах поддержки и помощь в их получении, включая содействие в подготовке заявок.</w:t>
      </w:r>
    </w:p>
    <w:p w:rsidR="00FC41F4" w:rsidRPr="00577593" w:rsidRDefault="008925FA" w:rsidP="008D738C">
      <w:pPr>
        <w:pStyle w:val="3"/>
        <w:pBdr>
          <w:top w:val="none" w:sz="4" w:space="0" w:color="000000"/>
          <w:left w:val="none" w:sz="4" w:space="0" w:color="000000"/>
          <w:bottom w:val="none" w:sz="4" w:space="0" w:color="000000"/>
          <w:right w:val="none" w:sz="4" w:space="0" w:color="000000"/>
        </w:pBdr>
        <w:spacing w:before="0" w:line="240" w:lineRule="auto"/>
        <w:ind w:firstLine="709"/>
        <w:jc w:val="both"/>
        <w:rPr>
          <w:rFonts w:ascii="Times New Roman" w:hAnsi="Times New Roman"/>
          <w:color w:val="auto"/>
          <w:sz w:val="28"/>
          <w:szCs w:val="28"/>
        </w:rPr>
      </w:pPr>
      <w:bookmarkStart w:id="292" w:name="_Toc208496682"/>
      <w:bookmarkStart w:id="293" w:name="_Toc208668964"/>
      <w:bookmarkStart w:id="294" w:name="_Toc212804313"/>
      <w:r w:rsidRPr="00577593">
        <w:rPr>
          <w:rFonts w:ascii="Times New Roman" w:eastAsia="Times New Roman" w:hAnsi="Times New Roman"/>
          <w:color w:val="auto"/>
          <w:sz w:val="28"/>
          <w:szCs w:val="28"/>
        </w:rPr>
        <w:t>9.1.4.4</w:t>
      </w:r>
      <w:r w:rsidR="00573781">
        <w:rPr>
          <w:rFonts w:ascii="Times New Roman" w:eastAsia="Times New Roman" w:hAnsi="Times New Roman"/>
          <w:color w:val="auto"/>
          <w:sz w:val="28"/>
          <w:szCs w:val="28"/>
        </w:rPr>
        <w:t>.</w:t>
      </w:r>
      <w:r w:rsidRPr="00577593">
        <w:rPr>
          <w:rFonts w:ascii="Times New Roman" w:eastAsia="Times New Roman" w:hAnsi="Times New Roman"/>
          <w:color w:val="auto"/>
          <w:sz w:val="28"/>
          <w:szCs w:val="28"/>
        </w:rPr>
        <w:t xml:space="preserve"> Развитие кадрового потенциала отрасли</w:t>
      </w:r>
      <w:bookmarkEnd w:id="292"/>
      <w:bookmarkEnd w:id="293"/>
      <w:bookmarkEnd w:id="294"/>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Высококвалифицированное кадровое обеспечение является фундаментом для успешного развития туристической сферы </w:t>
      </w:r>
      <w:r w:rsidR="00BC7F8B">
        <w:rPr>
          <w:rFonts w:ascii="Times New Roman" w:eastAsia="Times New Roman" w:hAnsi="Times New Roman"/>
          <w:sz w:val="28"/>
          <w:szCs w:val="28"/>
        </w:rPr>
        <w:t>города</w:t>
      </w:r>
      <w:r w:rsidRPr="00577593">
        <w:rPr>
          <w:rFonts w:ascii="Times New Roman" w:eastAsia="Times New Roman" w:hAnsi="Times New Roman"/>
          <w:sz w:val="28"/>
          <w:szCs w:val="28"/>
        </w:rPr>
        <w:t xml:space="preserve">. Однако в последние годы наблюдается отток квалифицированных кадров в другие регионы, что связано с недостаточными возможностями для профессионального развития и низкой конкурентоспособностью условий труда. В связи с этим основной задачей станет дальнейшее развитие уже действующей системы поддержки профессионального роста работников туристической сферы. Это предполагает повышение квалификации работников сферы туризма (гидов-экскурсоводов, администраторов гостиниц, менеджеров туристических компаний и других специалистов отрасли). Одним из элементов системы обучения должны стать отраслевые семинары и тренинги с привлечением российских и международных экспертов в сфере гостеприимства и туризма, сотрудничество </w:t>
      </w:r>
      <w:r w:rsidR="00573781">
        <w:rPr>
          <w:rFonts w:ascii="Times New Roman" w:eastAsia="Times New Roman" w:hAnsi="Times New Roman"/>
          <w:sz w:val="28"/>
          <w:szCs w:val="28"/>
        </w:rPr>
        <w:br/>
      </w:r>
      <w:r w:rsidRPr="00577593">
        <w:rPr>
          <w:rFonts w:ascii="Times New Roman" w:eastAsia="Times New Roman" w:hAnsi="Times New Roman"/>
          <w:sz w:val="28"/>
          <w:szCs w:val="28"/>
        </w:rPr>
        <w:t>с образовательными учреждениями.</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Значительный потенциал имеет развитие партнерских отношений между образовательными учреждениями и предприятиями туриндустрии. Создание базовых кафедр на ведущих туристических объектах, внедрение системы наставничества позволят обеспечить практическую подготовку будущих специалистов. Дополнительным стимулом для привлечения молодежи в отрасль может стать система грантов и стипендий для наиболее талантливых студентов туристических специальностей. Со стороны города предполагается информирование об образовательных программах, отдельных мероприятиях, предоставление площадок для их проведения, организационная поддержка.</w:t>
      </w:r>
    </w:p>
    <w:p w:rsidR="00FC41F4" w:rsidRPr="00577593" w:rsidRDefault="008925FA" w:rsidP="008D738C">
      <w:pPr>
        <w:pStyle w:val="3"/>
        <w:pBdr>
          <w:top w:val="none" w:sz="4" w:space="0" w:color="000000"/>
          <w:left w:val="none" w:sz="4" w:space="0" w:color="000000"/>
          <w:bottom w:val="none" w:sz="4" w:space="0" w:color="000000"/>
          <w:right w:val="none" w:sz="4" w:space="0" w:color="000000"/>
        </w:pBdr>
        <w:spacing w:before="0" w:line="240" w:lineRule="auto"/>
        <w:ind w:firstLine="709"/>
        <w:jc w:val="both"/>
        <w:rPr>
          <w:rFonts w:ascii="Times New Roman" w:hAnsi="Times New Roman"/>
          <w:color w:val="auto"/>
          <w:sz w:val="28"/>
          <w:szCs w:val="28"/>
        </w:rPr>
      </w:pPr>
      <w:bookmarkStart w:id="295" w:name="_Toc208496683"/>
      <w:bookmarkStart w:id="296" w:name="_Toc208668965"/>
      <w:bookmarkStart w:id="297" w:name="_Toc212804314"/>
      <w:r w:rsidRPr="00577593">
        <w:rPr>
          <w:rFonts w:ascii="Times New Roman" w:eastAsia="Times New Roman" w:hAnsi="Times New Roman"/>
          <w:color w:val="auto"/>
          <w:sz w:val="28"/>
          <w:szCs w:val="28"/>
        </w:rPr>
        <w:t>9.1.4.5</w:t>
      </w:r>
      <w:r w:rsidR="00573781">
        <w:rPr>
          <w:rFonts w:ascii="Times New Roman" w:eastAsia="Times New Roman" w:hAnsi="Times New Roman"/>
          <w:color w:val="auto"/>
          <w:sz w:val="28"/>
          <w:szCs w:val="28"/>
        </w:rPr>
        <w:t>.</w:t>
      </w:r>
      <w:r w:rsidRPr="00577593">
        <w:rPr>
          <w:rFonts w:ascii="Times New Roman" w:eastAsia="Times New Roman" w:hAnsi="Times New Roman"/>
          <w:color w:val="auto"/>
          <w:sz w:val="28"/>
          <w:szCs w:val="28"/>
        </w:rPr>
        <w:t xml:space="preserve"> Развитие механизмов информирования о событийной программе города</w:t>
      </w:r>
      <w:bookmarkEnd w:id="295"/>
      <w:bookmarkEnd w:id="296"/>
      <w:bookmarkEnd w:id="297"/>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Создание эффективной системы продвижения событийного туризма требует комплексного подхода к информационному сопровождению мероприятий и созданию привлекательного образа </w:t>
      </w:r>
      <w:r w:rsidR="00BC7F8B">
        <w:rPr>
          <w:rFonts w:ascii="Times New Roman" w:eastAsia="Times New Roman" w:hAnsi="Times New Roman"/>
          <w:sz w:val="28"/>
          <w:szCs w:val="28"/>
        </w:rPr>
        <w:t xml:space="preserve">города </w:t>
      </w:r>
      <w:r w:rsidRPr="00577593">
        <w:rPr>
          <w:rFonts w:ascii="Times New Roman" w:eastAsia="Times New Roman" w:hAnsi="Times New Roman"/>
          <w:sz w:val="28"/>
          <w:szCs w:val="28"/>
        </w:rPr>
        <w:t xml:space="preserve">Барнаула как центра значимых культурных, деловых и социальных событий. </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Планируется разработка и реализация комплексной PR-стратегии, учитывающей особенности продвижения городских событий на федеральном и международном уровнях, что станет основной мерой по реализации этого направления. </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Для объединения всех культурных, туристических, спортивных, деловых и иных мероприятий, а также для их разработки и продвижения, </w:t>
      </w:r>
      <w:r w:rsidRPr="00577593">
        <w:rPr>
          <w:rFonts w:ascii="Times New Roman" w:eastAsia="Times New Roman" w:hAnsi="Times New Roman"/>
          <w:sz w:val="28"/>
          <w:szCs w:val="28"/>
        </w:rPr>
        <w:lastRenderedPageBreak/>
        <w:t>может быть организована автономная некоммерческая организация на базе города. Так как в настоящий момент за мероприятия отвечают отдельные профильные комитеты, не существует единого источника информации для туристов о мероприятиях, которые проводятся на территории города.</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Важным аспектом продвижения является создание адаптированных рекламно-имиджевых материалов для различных целевых групп, включая туристов, деловых партнеров и местных жителей. Эти материалы должны распространяться как на специализированных туристических площадках, так и через цифровые каналы коммуникации, включая социальные сети и тематические онлайн-платформы. Дополнительным инструментом повышения узнаваемости городских событий может стать развитие партнерских отношений с крупными федеральными и международными event-агентствами.</w:t>
      </w:r>
    </w:p>
    <w:p w:rsidR="00FC41F4" w:rsidRPr="00577593" w:rsidRDefault="008925FA" w:rsidP="008D738C">
      <w:pPr>
        <w:pStyle w:val="3"/>
        <w:spacing w:before="0" w:line="240" w:lineRule="auto"/>
        <w:ind w:firstLine="709"/>
        <w:rPr>
          <w:rFonts w:ascii="Times New Roman" w:eastAsia="Times New Roman" w:hAnsi="Times New Roman"/>
          <w:b/>
          <w:color w:val="auto"/>
          <w:sz w:val="28"/>
          <w:szCs w:val="28"/>
        </w:rPr>
      </w:pPr>
      <w:bookmarkStart w:id="298" w:name="_Toc204923045"/>
      <w:bookmarkStart w:id="299" w:name="_Toc204933379"/>
      <w:bookmarkStart w:id="300" w:name="_Toc208496684"/>
      <w:bookmarkStart w:id="301" w:name="_Toc208668966"/>
      <w:bookmarkStart w:id="302" w:name="_Toc212804315"/>
      <w:r w:rsidRPr="00577593">
        <w:rPr>
          <w:rFonts w:ascii="Times New Roman" w:eastAsia="Times New Roman" w:hAnsi="Times New Roman"/>
          <w:b/>
          <w:color w:val="auto"/>
          <w:sz w:val="28"/>
          <w:szCs w:val="28"/>
        </w:rPr>
        <w:t>9.1.5</w:t>
      </w:r>
      <w:r w:rsidR="00573781">
        <w:rPr>
          <w:rFonts w:ascii="Times New Roman" w:eastAsia="Times New Roman" w:hAnsi="Times New Roman"/>
          <w:b/>
          <w:color w:val="auto"/>
          <w:sz w:val="28"/>
          <w:szCs w:val="28"/>
        </w:rPr>
        <w:t>.</w:t>
      </w:r>
      <w:r w:rsidRPr="00577593">
        <w:rPr>
          <w:rFonts w:ascii="Times New Roman" w:eastAsia="Times New Roman" w:hAnsi="Times New Roman"/>
          <w:b/>
          <w:color w:val="auto"/>
          <w:sz w:val="28"/>
          <w:szCs w:val="28"/>
        </w:rPr>
        <w:t xml:space="preserve"> Развитие торговли</w:t>
      </w:r>
      <w:bookmarkEnd w:id="298"/>
      <w:bookmarkEnd w:id="299"/>
      <w:bookmarkEnd w:id="300"/>
      <w:bookmarkEnd w:id="301"/>
      <w:bookmarkEnd w:id="302"/>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Развитие торговли и услуг, как правило, не выделяется в отдельное стратегическое направление на федеральном и региональном уровнях, будучи частью или направления по развитию малого и среднего предпринимательства, повышения уровня и качества жизни, развития туризма и других направлений, но для муниципального уровня данное направление является одним из ключевых.</w:t>
      </w:r>
    </w:p>
    <w:p w:rsidR="00FC41F4" w:rsidRPr="00577593" w:rsidRDefault="008925FA" w:rsidP="008D738C">
      <w:pPr>
        <w:pBdr>
          <w:top w:val="none" w:sz="4" w:space="0" w:color="000000"/>
          <w:left w:val="none" w:sz="4" w:space="0" w:color="000000"/>
          <w:bottom w:val="none" w:sz="4" w:space="0" w:color="000000"/>
          <w:right w:val="none" w:sz="4" w:space="0" w:color="000000"/>
        </w:pBdr>
        <w:tabs>
          <w:tab w:val="left" w:pos="993"/>
        </w:tabs>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Стратегия социально-экономического развития Алтайского края до 2035 года также не включает отдельного приоритета по развитию торговли, но для него сохраняют актуальность все мероприятия, включенные в приоритет по развитию МСП.</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Направления реализации задачи по развитию торговли в </w:t>
      </w:r>
      <w:r w:rsidR="00573781">
        <w:rPr>
          <w:rFonts w:ascii="Times New Roman" w:eastAsia="Times New Roman" w:hAnsi="Times New Roman"/>
          <w:sz w:val="28"/>
          <w:szCs w:val="28"/>
        </w:rPr>
        <w:t xml:space="preserve">городе </w:t>
      </w:r>
      <w:r w:rsidRPr="00577593">
        <w:rPr>
          <w:rFonts w:ascii="Times New Roman" w:eastAsia="Times New Roman" w:hAnsi="Times New Roman"/>
          <w:sz w:val="28"/>
          <w:szCs w:val="28"/>
        </w:rPr>
        <w:t>Барнауле до 2036 года:</w:t>
      </w:r>
    </w:p>
    <w:p w:rsidR="00FC41F4" w:rsidRPr="00573781" w:rsidRDefault="00573781" w:rsidP="00573781">
      <w:pPr>
        <w:spacing w:after="0" w:line="240" w:lineRule="auto"/>
        <w:ind w:firstLine="709"/>
        <w:jc w:val="both"/>
        <w:rPr>
          <w:rFonts w:ascii="Times New Roman" w:eastAsia="Times New Roman" w:hAnsi="Times New Roman"/>
          <w:sz w:val="28"/>
          <w:szCs w:val="28"/>
          <w:lang w:eastAsia="ru-RU"/>
        </w:rPr>
      </w:pPr>
      <w:r w:rsidRPr="00573781">
        <w:rPr>
          <w:rFonts w:ascii="Times New Roman" w:eastAsia="Times New Roman" w:hAnsi="Times New Roman"/>
          <w:sz w:val="28"/>
          <w:szCs w:val="28"/>
          <w:lang w:eastAsia="ru-RU"/>
        </w:rPr>
        <w:t>– развитие локальных брендов, торговых сетей, повышение узнаваемости товаров местного производства;</w:t>
      </w:r>
    </w:p>
    <w:p w:rsidR="00FC41F4" w:rsidRPr="00573781" w:rsidRDefault="00573781" w:rsidP="00573781">
      <w:pPr>
        <w:spacing w:after="0" w:line="240" w:lineRule="auto"/>
        <w:ind w:firstLine="709"/>
        <w:jc w:val="both"/>
        <w:rPr>
          <w:rFonts w:ascii="Times New Roman" w:eastAsia="Times New Roman" w:hAnsi="Times New Roman"/>
          <w:sz w:val="28"/>
          <w:szCs w:val="28"/>
          <w:lang w:eastAsia="ru-RU"/>
        </w:rPr>
      </w:pPr>
      <w:r w:rsidRPr="00573781">
        <w:rPr>
          <w:rFonts w:ascii="Times New Roman" w:eastAsia="Times New Roman" w:hAnsi="Times New Roman"/>
          <w:sz w:val="28"/>
          <w:szCs w:val="28"/>
          <w:lang w:eastAsia="ru-RU"/>
        </w:rPr>
        <w:t>– повышение качества оказываемых услуг и их разнообразия;</w:t>
      </w:r>
    </w:p>
    <w:p w:rsidR="00FC41F4" w:rsidRPr="00573781" w:rsidRDefault="00573781" w:rsidP="00573781">
      <w:pPr>
        <w:spacing w:after="0" w:line="240" w:lineRule="auto"/>
        <w:ind w:firstLine="709"/>
        <w:jc w:val="both"/>
        <w:rPr>
          <w:rFonts w:ascii="Times New Roman" w:eastAsia="Times New Roman" w:hAnsi="Times New Roman"/>
          <w:sz w:val="28"/>
          <w:szCs w:val="28"/>
          <w:lang w:eastAsia="ru-RU"/>
        </w:rPr>
      </w:pPr>
      <w:r w:rsidRPr="00573781">
        <w:rPr>
          <w:rFonts w:ascii="Times New Roman" w:eastAsia="Times New Roman" w:hAnsi="Times New Roman"/>
          <w:sz w:val="28"/>
          <w:szCs w:val="28"/>
          <w:lang w:eastAsia="ru-RU"/>
        </w:rPr>
        <w:t>– развитие многоформатной торговли на территории города;</w:t>
      </w:r>
    </w:p>
    <w:p w:rsidR="00FC41F4" w:rsidRPr="00573781" w:rsidRDefault="00573781" w:rsidP="00573781">
      <w:pPr>
        <w:spacing w:after="0" w:line="240" w:lineRule="auto"/>
        <w:ind w:firstLine="709"/>
        <w:jc w:val="both"/>
        <w:rPr>
          <w:rFonts w:ascii="Times New Roman" w:eastAsia="Times New Roman" w:hAnsi="Times New Roman"/>
          <w:sz w:val="28"/>
          <w:szCs w:val="28"/>
          <w:lang w:eastAsia="ru-RU"/>
        </w:rPr>
      </w:pPr>
      <w:r w:rsidRPr="00573781">
        <w:rPr>
          <w:rFonts w:ascii="Times New Roman" w:eastAsia="Times New Roman" w:hAnsi="Times New Roman"/>
          <w:sz w:val="28"/>
          <w:szCs w:val="28"/>
          <w:lang w:eastAsia="ru-RU"/>
        </w:rPr>
        <w:t>– обеспечение равномерного доступа населения всех районов города к качественным объектам торговли и услуг</w:t>
      </w:r>
      <w:r w:rsidR="008925FA" w:rsidRPr="00573781">
        <w:rPr>
          <w:rFonts w:ascii="Times New Roman" w:eastAsia="Times New Roman" w:hAnsi="Times New Roman"/>
          <w:sz w:val="28"/>
          <w:szCs w:val="28"/>
          <w:lang w:eastAsia="ru-RU"/>
        </w:rPr>
        <w:t>.</w:t>
      </w:r>
    </w:p>
    <w:p w:rsidR="00FC41F4" w:rsidRPr="00577593" w:rsidRDefault="008925FA" w:rsidP="008D738C">
      <w:pPr>
        <w:pStyle w:val="3"/>
        <w:pBdr>
          <w:top w:val="none" w:sz="4" w:space="0" w:color="000000"/>
          <w:left w:val="none" w:sz="4" w:space="0" w:color="000000"/>
          <w:bottom w:val="none" w:sz="4" w:space="0" w:color="000000"/>
          <w:right w:val="none" w:sz="4" w:space="0" w:color="000000"/>
        </w:pBdr>
        <w:spacing w:before="0" w:line="240" w:lineRule="auto"/>
        <w:ind w:firstLine="709"/>
        <w:jc w:val="both"/>
        <w:rPr>
          <w:rFonts w:ascii="Times New Roman" w:hAnsi="Times New Roman"/>
          <w:color w:val="auto"/>
          <w:sz w:val="28"/>
          <w:szCs w:val="28"/>
        </w:rPr>
      </w:pPr>
      <w:bookmarkStart w:id="303" w:name="_Toc208496685"/>
      <w:bookmarkStart w:id="304" w:name="_Toc208668967"/>
      <w:bookmarkStart w:id="305" w:name="_Toc212804316"/>
      <w:r w:rsidRPr="00577593">
        <w:rPr>
          <w:rFonts w:ascii="Times New Roman" w:eastAsia="Times New Roman" w:hAnsi="Times New Roman"/>
          <w:color w:val="auto"/>
          <w:sz w:val="28"/>
          <w:szCs w:val="28"/>
        </w:rPr>
        <w:t>9.1.5.1</w:t>
      </w:r>
      <w:r w:rsidR="00573781">
        <w:rPr>
          <w:rFonts w:ascii="Times New Roman" w:eastAsia="Times New Roman" w:hAnsi="Times New Roman"/>
          <w:color w:val="auto"/>
          <w:sz w:val="28"/>
          <w:szCs w:val="28"/>
        </w:rPr>
        <w:t>.</w:t>
      </w:r>
      <w:r w:rsidRPr="00577593">
        <w:rPr>
          <w:rFonts w:ascii="Times New Roman" w:eastAsia="Times New Roman" w:hAnsi="Times New Roman"/>
          <w:color w:val="auto"/>
          <w:sz w:val="28"/>
          <w:szCs w:val="28"/>
        </w:rPr>
        <w:t xml:space="preserve"> Развитие локальных брендов, торговых сетей, повышение узнаваемости товаров местного производства</w:t>
      </w:r>
      <w:bookmarkEnd w:id="303"/>
      <w:bookmarkEnd w:id="304"/>
      <w:bookmarkEnd w:id="305"/>
      <w:r w:rsidRPr="00577593">
        <w:rPr>
          <w:rFonts w:ascii="Times New Roman" w:eastAsia="Times New Roman" w:hAnsi="Times New Roman"/>
          <w:color w:val="auto"/>
          <w:sz w:val="28"/>
          <w:szCs w:val="28"/>
        </w:rPr>
        <w:t xml:space="preserve"> </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В рамках направления предлагается осуществлять стимулирование развития локальных брендов, торговых сетей, повышение узнаваемости товаров местного производства. Реализация направления предполагает набор мероприятий по информированию с использованием административных каналов о местных производителях на территории города. Возможно также сотрудничество с региональными властями для задействования региональных каналов предоставления информации.</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Планируется оказывать помощь местным производителям в сотрудничестве с местными дизайнерами при разработке торговой марки, дизайна и брендирования продукции, в том числе через работу креативных кластеров. Также предполагается стимулировать проведение ярмарок, </w:t>
      </w:r>
      <w:r w:rsidRPr="00577593">
        <w:rPr>
          <w:rFonts w:ascii="Times New Roman" w:eastAsia="Times New Roman" w:hAnsi="Times New Roman"/>
          <w:sz w:val="28"/>
          <w:szCs w:val="28"/>
        </w:rPr>
        <w:lastRenderedPageBreak/>
        <w:t xml:space="preserve">событийных мероприятий, выставок, что будет привлекать как местных жителей, так и туристов. Механизмы стимулирования </w:t>
      </w:r>
      <w:r w:rsidR="00D53DC9" w:rsidRPr="00577593">
        <w:rPr>
          <w:rFonts w:ascii="Times New Roman" w:eastAsia="Times New Roman" w:hAnsi="Times New Roman"/>
          <w:sz w:val="28"/>
          <w:szCs w:val="28"/>
        </w:rPr>
        <w:t>–</w:t>
      </w:r>
      <w:r w:rsidRPr="00577593">
        <w:rPr>
          <w:rFonts w:ascii="Times New Roman" w:eastAsia="Times New Roman" w:hAnsi="Times New Roman"/>
          <w:sz w:val="28"/>
          <w:szCs w:val="28"/>
        </w:rPr>
        <w:t xml:space="preserve"> предоставление администрацией города площадок для проведения таких мероприятий, а также информирование населения об их проведении.</w:t>
      </w:r>
    </w:p>
    <w:p w:rsidR="00FC41F4" w:rsidRPr="00577593" w:rsidRDefault="008925FA" w:rsidP="008D738C">
      <w:pPr>
        <w:pStyle w:val="3"/>
        <w:pBdr>
          <w:top w:val="none" w:sz="4" w:space="0" w:color="000000"/>
          <w:left w:val="none" w:sz="4" w:space="0" w:color="000000"/>
          <w:bottom w:val="none" w:sz="4" w:space="0" w:color="000000"/>
          <w:right w:val="none" w:sz="4" w:space="0" w:color="000000"/>
        </w:pBdr>
        <w:spacing w:before="0" w:line="240" w:lineRule="auto"/>
        <w:ind w:firstLine="709"/>
        <w:jc w:val="both"/>
        <w:rPr>
          <w:rFonts w:ascii="Times New Roman" w:hAnsi="Times New Roman"/>
          <w:color w:val="auto"/>
          <w:sz w:val="28"/>
          <w:szCs w:val="28"/>
        </w:rPr>
      </w:pPr>
      <w:bookmarkStart w:id="306" w:name="_Toc208496686"/>
      <w:bookmarkStart w:id="307" w:name="_Toc208668968"/>
      <w:bookmarkStart w:id="308" w:name="_Toc212804317"/>
      <w:r w:rsidRPr="00577593">
        <w:rPr>
          <w:rFonts w:ascii="Times New Roman" w:eastAsia="Times New Roman" w:hAnsi="Times New Roman"/>
          <w:color w:val="auto"/>
          <w:sz w:val="28"/>
          <w:szCs w:val="28"/>
        </w:rPr>
        <w:t>9.1.5.2</w:t>
      </w:r>
      <w:r w:rsidR="00573781">
        <w:rPr>
          <w:rFonts w:ascii="Times New Roman" w:eastAsia="Times New Roman" w:hAnsi="Times New Roman"/>
          <w:color w:val="auto"/>
          <w:sz w:val="28"/>
          <w:szCs w:val="28"/>
        </w:rPr>
        <w:t>.</w:t>
      </w:r>
      <w:r w:rsidRPr="00577593">
        <w:rPr>
          <w:rFonts w:ascii="Times New Roman" w:eastAsia="Times New Roman" w:hAnsi="Times New Roman"/>
          <w:color w:val="auto"/>
          <w:sz w:val="28"/>
          <w:szCs w:val="28"/>
        </w:rPr>
        <w:t xml:space="preserve"> Повышение качества оказываемых услуг и их разнообразия</w:t>
      </w:r>
      <w:bookmarkEnd w:id="306"/>
      <w:bookmarkEnd w:id="307"/>
      <w:bookmarkEnd w:id="308"/>
      <w:r w:rsidRPr="00577593">
        <w:rPr>
          <w:rFonts w:ascii="Times New Roman" w:eastAsia="Times New Roman" w:hAnsi="Times New Roman"/>
          <w:color w:val="auto"/>
          <w:sz w:val="28"/>
          <w:szCs w:val="28"/>
        </w:rPr>
        <w:t xml:space="preserve"> </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Уровень качества оказываемых услуг на территории города является одним из ключевых факторов при выборе гражданами, прежде всего молодежи, того или иного города в качестве места для дальнейшего проживания. При этом важно не только качество самих услуг, но и качество пространства, в котором оказываются те или иные услуги. Администрацией </w:t>
      </w:r>
      <w:r w:rsidR="00FB464E">
        <w:rPr>
          <w:rFonts w:ascii="Times New Roman" w:eastAsia="Times New Roman" w:hAnsi="Times New Roman"/>
          <w:sz w:val="28"/>
          <w:szCs w:val="28"/>
        </w:rPr>
        <w:t xml:space="preserve">города Барнаула </w:t>
      </w:r>
      <w:r w:rsidRPr="00577593">
        <w:rPr>
          <w:rFonts w:ascii="Times New Roman" w:eastAsia="Times New Roman" w:hAnsi="Times New Roman"/>
          <w:sz w:val="28"/>
          <w:szCs w:val="28"/>
        </w:rPr>
        <w:t>может быть оказана поддержка местному бизнесу по повышению качества услуг, их разнообразия и по формированию качественных пространств.</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Со стороны администрации </w:t>
      </w:r>
      <w:r w:rsidR="00FB464E" w:rsidRPr="00FB464E">
        <w:rPr>
          <w:rFonts w:ascii="Times New Roman" w:eastAsia="Times New Roman" w:hAnsi="Times New Roman"/>
          <w:sz w:val="28"/>
          <w:szCs w:val="28"/>
        </w:rPr>
        <w:t xml:space="preserve">города Барнаула </w:t>
      </w:r>
      <w:r w:rsidRPr="00577593">
        <w:rPr>
          <w:rFonts w:ascii="Times New Roman" w:eastAsia="Times New Roman" w:hAnsi="Times New Roman"/>
          <w:sz w:val="28"/>
          <w:szCs w:val="28"/>
        </w:rPr>
        <w:t>предполагается информационная и инфраструктурная поддержка, разработка стандартов и рекомендаций по организации пространства</w:t>
      </w:r>
      <w:r w:rsidR="001E2E29" w:rsidRPr="00577593">
        <w:rPr>
          <w:rFonts w:ascii="Times New Roman" w:eastAsia="Times New Roman" w:hAnsi="Times New Roman"/>
          <w:sz w:val="28"/>
          <w:szCs w:val="28"/>
        </w:rPr>
        <w:t>,</w:t>
      </w:r>
      <w:r w:rsidRPr="00577593">
        <w:rPr>
          <w:rFonts w:ascii="Times New Roman" w:eastAsia="Times New Roman" w:hAnsi="Times New Roman"/>
          <w:sz w:val="28"/>
          <w:szCs w:val="28"/>
        </w:rPr>
        <w:t xml:space="preserve"> обучающие мероприятия для владельцев бизнеса, консультационная поддержка.</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Для оказания консультационной поддержки могут организовываться мастер-классы и воркшопы с участием приглашенных специалистов из других регионов России и из зарубежных стран, которые будут делиться своим опытом с местным бизнес</w:t>
      </w:r>
      <w:r w:rsidR="00FB464E">
        <w:rPr>
          <w:rFonts w:ascii="Times New Roman" w:eastAsia="Times New Roman" w:hAnsi="Times New Roman"/>
          <w:sz w:val="28"/>
          <w:szCs w:val="28"/>
        </w:rPr>
        <w:t>ом</w:t>
      </w:r>
      <w:r w:rsidRPr="00577593">
        <w:rPr>
          <w:rFonts w:ascii="Times New Roman" w:eastAsia="Times New Roman" w:hAnsi="Times New Roman"/>
          <w:sz w:val="28"/>
          <w:szCs w:val="28"/>
        </w:rPr>
        <w:t>.</w:t>
      </w:r>
    </w:p>
    <w:p w:rsidR="00FC41F4" w:rsidRPr="00577593" w:rsidRDefault="008925FA" w:rsidP="008D738C">
      <w:pPr>
        <w:pStyle w:val="3"/>
        <w:pBdr>
          <w:top w:val="none" w:sz="4" w:space="0" w:color="000000"/>
          <w:left w:val="none" w:sz="4" w:space="0" w:color="000000"/>
          <w:bottom w:val="none" w:sz="4" w:space="0" w:color="000000"/>
          <w:right w:val="none" w:sz="4" w:space="0" w:color="000000"/>
        </w:pBdr>
        <w:spacing w:before="0" w:line="240" w:lineRule="auto"/>
        <w:ind w:firstLine="709"/>
        <w:jc w:val="both"/>
        <w:rPr>
          <w:rFonts w:ascii="Times New Roman" w:hAnsi="Times New Roman"/>
          <w:color w:val="auto"/>
          <w:sz w:val="28"/>
          <w:szCs w:val="28"/>
        </w:rPr>
      </w:pPr>
      <w:bookmarkStart w:id="309" w:name="_Toc208496687"/>
      <w:bookmarkStart w:id="310" w:name="_Toc208668969"/>
      <w:bookmarkStart w:id="311" w:name="_Toc212804318"/>
      <w:r w:rsidRPr="00577593">
        <w:rPr>
          <w:rFonts w:ascii="Times New Roman" w:eastAsia="Times New Roman" w:hAnsi="Times New Roman"/>
          <w:color w:val="auto"/>
          <w:sz w:val="28"/>
          <w:szCs w:val="28"/>
        </w:rPr>
        <w:t>9.1.5.3</w:t>
      </w:r>
      <w:r w:rsidR="00573781">
        <w:rPr>
          <w:rFonts w:ascii="Times New Roman" w:eastAsia="Times New Roman" w:hAnsi="Times New Roman"/>
          <w:color w:val="auto"/>
          <w:sz w:val="28"/>
          <w:szCs w:val="28"/>
        </w:rPr>
        <w:t>.</w:t>
      </w:r>
      <w:r w:rsidRPr="00577593">
        <w:rPr>
          <w:rFonts w:ascii="Times New Roman" w:eastAsia="Times New Roman" w:hAnsi="Times New Roman"/>
          <w:color w:val="auto"/>
          <w:sz w:val="28"/>
          <w:szCs w:val="28"/>
        </w:rPr>
        <w:t xml:space="preserve"> Развитие многоформатной торговли на территории города</w:t>
      </w:r>
      <w:bookmarkEnd w:id="309"/>
      <w:bookmarkEnd w:id="310"/>
      <w:bookmarkEnd w:id="311"/>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Одним из форматов, который может быть направлен именно на поддержку местного бизнеса </w:t>
      </w:r>
      <w:r w:rsidR="00D53DC9" w:rsidRPr="00577593">
        <w:rPr>
          <w:rFonts w:ascii="Times New Roman" w:eastAsia="Times New Roman" w:hAnsi="Times New Roman"/>
          <w:sz w:val="28"/>
          <w:szCs w:val="28"/>
        </w:rPr>
        <w:t>–</w:t>
      </w:r>
      <w:r w:rsidRPr="00577593">
        <w:rPr>
          <w:rFonts w:ascii="Times New Roman" w:eastAsia="Times New Roman" w:hAnsi="Times New Roman"/>
          <w:sz w:val="28"/>
          <w:szCs w:val="28"/>
        </w:rPr>
        <w:t xml:space="preserve"> развитие электронной торговли, в том числе помощь местным производителям в выводе своих продуктов в федеральные электронные сети (в том числе в рамках регионального проекта «Сделано в Алтайском крае»), помощь в организации собственных электронных магазинов и доставки, в организации складов. В таком случае важной задачей будет работа с предпринимателями, включая проведение обучающих, консультационных мероприятий, помощь в подборе помещений и земельных участков. Для реализации данного направления необходимо обучение </w:t>
      </w:r>
      <w:r w:rsidR="00FB464E" w:rsidRPr="00FB464E">
        <w:rPr>
          <w:rFonts w:ascii="Times New Roman" w:eastAsia="Times New Roman" w:hAnsi="Times New Roman"/>
          <w:sz w:val="28"/>
          <w:szCs w:val="28"/>
        </w:rPr>
        <w:t>специалистов</w:t>
      </w:r>
      <w:r w:rsidRPr="00577593">
        <w:rPr>
          <w:rFonts w:ascii="Times New Roman" w:eastAsia="Times New Roman" w:hAnsi="Times New Roman"/>
          <w:sz w:val="28"/>
          <w:szCs w:val="28"/>
        </w:rPr>
        <w:t xml:space="preserve"> администрации </w:t>
      </w:r>
      <w:r w:rsidR="00FB464E" w:rsidRPr="00FB464E">
        <w:rPr>
          <w:rFonts w:ascii="Times New Roman" w:eastAsia="Times New Roman" w:hAnsi="Times New Roman"/>
          <w:sz w:val="28"/>
          <w:szCs w:val="28"/>
        </w:rPr>
        <w:t xml:space="preserve">города Барнаула </w:t>
      </w:r>
      <w:r w:rsidRPr="00577593">
        <w:rPr>
          <w:rFonts w:ascii="Times New Roman" w:eastAsia="Times New Roman" w:hAnsi="Times New Roman"/>
          <w:sz w:val="28"/>
          <w:szCs w:val="28"/>
        </w:rPr>
        <w:t xml:space="preserve">или привлечение профильных </w:t>
      </w:r>
      <w:r w:rsidR="00FB464E">
        <w:rPr>
          <w:rFonts w:ascii="Times New Roman" w:eastAsia="Times New Roman" w:hAnsi="Times New Roman"/>
          <w:sz w:val="28"/>
          <w:szCs w:val="28"/>
        </w:rPr>
        <w:t>экспертов</w:t>
      </w:r>
      <w:r w:rsidRPr="00577593">
        <w:rPr>
          <w:rFonts w:ascii="Times New Roman" w:eastAsia="Times New Roman" w:hAnsi="Times New Roman"/>
          <w:sz w:val="28"/>
          <w:szCs w:val="28"/>
        </w:rPr>
        <w:t>.</w:t>
      </w:r>
    </w:p>
    <w:p w:rsidR="00FC41F4" w:rsidRPr="00577593" w:rsidRDefault="008925FA" w:rsidP="008D738C">
      <w:pPr>
        <w:pStyle w:val="3"/>
        <w:pBdr>
          <w:top w:val="none" w:sz="4" w:space="0" w:color="000000"/>
          <w:left w:val="none" w:sz="4" w:space="0" w:color="000000"/>
          <w:bottom w:val="none" w:sz="4" w:space="0" w:color="000000"/>
          <w:right w:val="none" w:sz="4" w:space="0" w:color="000000"/>
        </w:pBdr>
        <w:spacing w:before="0" w:line="240" w:lineRule="auto"/>
        <w:ind w:firstLine="709"/>
        <w:jc w:val="both"/>
        <w:rPr>
          <w:rFonts w:ascii="Times New Roman" w:hAnsi="Times New Roman"/>
          <w:color w:val="auto"/>
          <w:sz w:val="28"/>
          <w:szCs w:val="28"/>
        </w:rPr>
      </w:pPr>
      <w:bookmarkStart w:id="312" w:name="_Toc208496688"/>
      <w:bookmarkStart w:id="313" w:name="_Toc208668970"/>
      <w:bookmarkStart w:id="314" w:name="_Toc212804319"/>
      <w:r w:rsidRPr="00577593">
        <w:rPr>
          <w:rFonts w:ascii="Times New Roman" w:eastAsia="Times New Roman" w:hAnsi="Times New Roman"/>
          <w:color w:val="auto"/>
          <w:sz w:val="28"/>
          <w:szCs w:val="28"/>
        </w:rPr>
        <w:t>9.1.5.4</w:t>
      </w:r>
      <w:r w:rsidR="00573781">
        <w:rPr>
          <w:rFonts w:ascii="Times New Roman" w:eastAsia="Times New Roman" w:hAnsi="Times New Roman"/>
          <w:color w:val="auto"/>
          <w:sz w:val="28"/>
          <w:szCs w:val="28"/>
        </w:rPr>
        <w:t>.</w:t>
      </w:r>
      <w:r w:rsidRPr="00577593">
        <w:rPr>
          <w:rFonts w:ascii="Times New Roman" w:eastAsia="Times New Roman" w:hAnsi="Times New Roman"/>
          <w:color w:val="auto"/>
          <w:sz w:val="28"/>
          <w:szCs w:val="28"/>
        </w:rPr>
        <w:t xml:space="preserve"> Обеспечение равномерного доступа населения всех районов города к качественным объектам торговли и услуг</w:t>
      </w:r>
      <w:bookmarkEnd w:id="312"/>
      <w:bookmarkEnd w:id="313"/>
      <w:bookmarkEnd w:id="314"/>
    </w:p>
    <w:p w:rsidR="00FC41F4" w:rsidRPr="00577593" w:rsidRDefault="00573781"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Pr>
          <w:rFonts w:ascii="Times New Roman" w:eastAsia="Times New Roman" w:hAnsi="Times New Roman"/>
          <w:sz w:val="28"/>
          <w:szCs w:val="28"/>
        </w:rPr>
        <w:t xml:space="preserve">Город </w:t>
      </w:r>
      <w:r w:rsidR="008925FA" w:rsidRPr="00577593">
        <w:rPr>
          <w:rFonts w:ascii="Times New Roman" w:eastAsia="Times New Roman" w:hAnsi="Times New Roman"/>
          <w:sz w:val="28"/>
          <w:szCs w:val="28"/>
        </w:rPr>
        <w:t>Барнаул в достаточной степени обеспечен объектами торговли, услуг и общественного питания. Но важным шагом для дальнейшего развития сферы услуг является повышение их качества, формирование привлекательного облика объектов торговли и услуги, что будет способствовать повышению привлекательности города в целом как для местных жителей, так и для туристов.</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Важно проработать единую систему по размещению нестационарных торговых объектов на территории города, что будет способствовать повышению обеспеченности качественными торговыми объектами на территориях, где наблюдается их недостаток. При этом важно, чтобы для </w:t>
      </w:r>
      <w:r w:rsidRPr="00577593">
        <w:rPr>
          <w:rFonts w:ascii="Times New Roman" w:eastAsia="Times New Roman" w:hAnsi="Times New Roman"/>
          <w:sz w:val="28"/>
          <w:szCs w:val="28"/>
        </w:rPr>
        <w:lastRenderedPageBreak/>
        <w:t>таких объектов был разработан единый стиль и требования к их объемным параметрам, что позволит повысить качество городской среды. Дополнительно может быть сформирована система остановок общественного транспорта</w:t>
      </w:r>
      <w:r w:rsidR="00FB464E">
        <w:rPr>
          <w:rFonts w:ascii="Times New Roman" w:eastAsia="Times New Roman" w:hAnsi="Times New Roman"/>
          <w:sz w:val="28"/>
          <w:szCs w:val="28"/>
        </w:rPr>
        <w:t>, совмещенных с торговыми павильонами</w:t>
      </w:r>
      <w:r w:rsidRPr="00577593">
        <w:rPr>
          <w:rFonts w:ascii="Times New Roman" w:eastAsia="Times New Roman" w:hAnsi="Times New Roman"/>
          <w:sz w:val="28"/>
          <w:szCs w:val="28"/>
        </w:rPr>
        <w:t xml:space="preserve">. Привлекательность данного формата </w:t>
      </w:r>
      <w:r w:rsidR="00200597">
        <w:rPr>
          <w:rFonts w:ascii="Times New Roman" w:eastAsia="Times New Roman" w:hAnsi="Times New Roman"/>
          <w:sz w:val="28"/>
          <w:szCs w:val="28"/>
        </w:rPr>
        <w:t>размещения</w:t>
      </w:r>
      <w:r w:rsidRPr="00577593">
        <w:rPr>
          <w:rFonts w:ascii="Times New Roman" w:eastAsia="Times New Roman" w:hAnsi="Times New Roman"/>
          <w:sz w:val="28"/>
          <w:szCs w:val="28"/>
        </w:rPr>
        <w:t xml:space="preserve"> для бизнеса будет обеспечена высокой проходимостью таких объектов.</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В городе уже активно развивается практика проведения ярмарок для местных товаропроизводителей, что пользуется широкой популярностью у бизнеса. Предполагается, что данная практика будет сохраняться и расширяться. Подобные ярмарки планируется проводить на постоянной основе.</w:t>
      </w:r>
    </w:p>
    <w:p w:rsidR="00FC41F4" w:rsidRPr="00577593" w:rsidRDefault="00FC41F4" w:rsidP="008D738C">
      <w:pPr>
        <w:tabs>
          <w:tab w:val="left" w:pos="993"/>
        </w:tabs>
        <w:spacing w:after="0" w:line="240" w:lineRule="auto"/>
        <w:ind w:left="709" w:firstLine="709"/>
        <w:jc w:val="both"/>
        <w:rPr>
          <w:rFonts w:ascii="Times New Roman" w:eastAsia="Times New Roman" w:hAnsi="Times New Roman"/>
          <w:sz w:val="28"/>
          <w:szCs w:val="28"/>
          <w:lang w:eastAsia="ru-RU"/>
        </w:rPr>
      </w:pPr>
    </w:p>
    <w:p w:rsidR="00FC41F4" w:rsidRPr="00577593" w:rsidRDefault="008925FA" w:rsidP="00573781">
      <w:pPr>
        <w:pStyle w:val="3"/>
        <w:spacing w:before="0" w:line="240" w:lineRule="auto"/>
        <w:ind w:firstLine="709"/>
        <w:jc w:val="both"/>
        <w:rPr>
          <w:rFonts w:ascii="Times New Roman" w:hAnsi="Times New Roman"/>
          <w:b/>
          <w:bCs/>
          <w:color w:val="auto"/>
          <w:sz w:val="28"/>
          <w:szCs w:val="28"/>
        </w:rPr>
      </w:pPr>
      <w:bookmarkStart w:id="315" w:name="_Toc212804320"/>
      <w:r w:rsidRPr="00577593">
        <w:rPr>
          <w:rFonts w:ascii="Times New Roman" w:hAnsi="Times New Roman"/>
          <w:b/>
          <w:bCs/>
          <w:color w:val="auto"/>
          <w:sz w:val="28"/>
          <w:szCs w:val="28"/>
        </w:rPr>
        <w:t>9.2</w:t>
      </w:r>
      <w:r w:rsidR="00573781">
        <w:rPr>
          <w:rFonts w:ascii="Times New Roman" w:hAnsi="Times New Roman"/>
          <w:b/>
          <w:bCs/>
          <w:color w:val="auto"/>
          <w:sz w:val="28"/>
          <w:szCs w:val="28"/>
        </w:rPr>
        <w:t>.</w:t>
      </w:r>
      <w:r w:rsidRPr="00577593">
        <w:rPr>
          <w:rFonts w:ascii="Times New Roman" w:hAnsi="Times New Roman"/>
          <w:b/>
          <w:bCs/>
          <w:color w:val="auto"/>
          <w:sz w:val="28"/>
          <w:szCs w:val="28"/>
        </w:rPr>
        <w:t xml:space="preserve"> Стратегическое направление «Развитие человеческого капитала»</w:t>
      </w:r>
      <w:bookmarkEnd w:id="315"/>
    </w:p>
    <w:p w:rsidR="00FC41F4" w:rsidRPr="00577593" w:rsidRDefault="008925FA" w:rsidP="008D738C">
      <w:pPr>
        <w:pStyle w:val="3"/>
        <w:spacing w:before="0" w:line="240" w:lineRule="auto"/>
        <w:ind w:firstLine="709"/>
        <w:jc w:val="both"/>
        <w:rPr>
          <w:rFonts w:ascii="Times New Roman" w:eastAsia="Times New Roman" w:hAnsi="Times New Roman"/>
          <w:b/>
          <w:color w:val="auto"/>
          <w:sz w:val="28"/>
          <w:szCs w:val="28"/>
        </w:rPr>
      </w:pPr>
      <w:bookmarkStart w:id="316" w:name="_Toc204923051"/>
      <w:bookmarkStart w:id="317" w:name="_Toc204933385"/>
      <w:bookmarkStart w:id="318" w:name="_Toc208496690"/>
      <w:bookmarkStart w:id="319" w:name="_Toc208668972"/>
      <w:bookmarkStart w:id="320" w:name="_Toc212804321"/>
      <w:r w:rsidRPr="00577593">
        <w:rPr>
          <w:rFonts w:ascii="Times New Roman" w:eastAsia="Times New Roman" w:hAnsi="Times New Roman"/>
          <w:b/>
          <w:color w:val="auto"/>
          <w:sz w:val="28"/>
          <w:szCs w:val="28"/>
        </w:rPr>
        <w:t>9.2.1</w:t>
      </w:r>
      <w:r w:rsidR="00573781">
        <w:rPr>
          <w:rFonts w:ascii="Times New Roman" w:eastAsia="Times New Roman" w:hAnsi="Times New Roman"/>
          <w:b/>
          <w:color w:val="auto"/>
          <w:sz w:val="28"/>
          <w:szCs w:val="28"/>
        </w:rPr>
        <w:t>.</w:t>
      </w:r>
      <w:r w:rsidRPr="00577593">
        <w:rPr>
          <w:rFonts w:ascii="Times New Roman" w:eastAsia="Times New Roman" w:hAnsi="Times New Roman"/>
          <w:b/>
          <w:color w:val="auto"/>
          <w:sz w:val="28"/>
          <w:szCs w:val="28"/>
        </w:rPr>
        <w:t xml:space="preserve"> Стабилизация демографических и миграционных процессов</w:t>
      </w:r>
      <w:bookmarkEnd w:id="316"/>
      <w:bookmarkEnd w:id="317"/>
      <w:bookmarkEnd w:id="318"/>
      <w:bookmarkEnd w:id="319"/>
      <w:bookmarkEnd w:id="320"/>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В рамках национальной цели развития Российской Федерации </w:t>
      </w:r>
      <w:r w:rsidR="00AA69D2" w:rsidRPr="00577593">
        <w:rPr>
          <w:rFonts w:ascii="Times New Roman" w:eastAsia="Times New Roman" w:hAnsi="Times New Roman"/>
          <w:sz w:val="28"/>
          <w:szCs w:val="28"/>
        </w:rPr>
        <w:br/>
      </w:r>
      <w:r w:rsidRPr="00577593">
        <w:rPr>
          <w:rFonts w:ascii="Times New Roman" w:eastAsia="Times New Roman" w:hAnsi="Times New Roman"/>
          <w:sz w:val="28"/>
          <w:szCs w:val="28"/>
        </w:rPr>
        <w:t xml:space="preserve">на период до 2030 года и на перспективу до 2036 года «Сохранение населения, укрепление здоровья и повышение благополучия людей, поддержка семьи» определены следующие целевые показатели и задачи </w:t>
      </w:r>
      <w:r w:rsidR="00AA69D2" w:rsidRPr="00577593">
        <w:rPr>
          <w:rFonts w:ascii="Times New Roman" w:eastAsia="Times New Roman" w:hAnsi="Times New Roman"/>
          <w:sz w:val="28"/>
          <w:szCs w:val="28"/>
        </w:rPr>
        <w:br/>
      </w:r>
      <w:r w:rsidRPr="00577593">
        <w:rPr>
          <w:rFonts w:ascii="Times New Roman" w:eastAsia="Times New Roman" w:hAnsi="Times New Roman"/>
          <w:sz w:val="28"/>
          <w:szCs w:val="28"/>
        </w:rPr>
        <w:t>в области демографии:</w:t>
      </w:r>
    </w:p>
    <w:p w:rsidR="00FC41F4" w:rsidRPr="00577593" w:rsidRDefault="008925FA" w:rsidP="008D738C">
      <w:pPr>
        <w:pStyle w:val="af5"/>
        <w:numPr>
          <w:ilvl w:val="0"/>
          <w:numId w:val="12"/>
        </w:numPr>
        <w:tabs>
          <w:tab w:val="left" w:pos="990"/>
        </w:tabs>
        <w:spacing w:after="0" w:line="240" w:lineRule="auto"/>
        <w:ind w:left="0"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повышение суммарного коэффициента рождаемости до 1,6 </w:t>
      </w:r>
      <w:r w:rsidR="00AA69D2" w:rsidRPr="00577593">
        <w:rPr>
          <w:rFonts w:ascii="Times New Roman" w:eastAsia="Times New Roman" w:hAnsi="Times New Roman"/>
          <w:sz w:val="28"/>
          <w:szCs w:val="28"/>
        </w:rPr>
        <w:br/>
      </w:r>
      <w:r w:rsidRPr="00577593">
        <w:rPr>
          <w:rFonts w:ascii="Times New Roman" w:eastAsia="Times New Roman" w:hAnsi="Times New Roman"/>
          <w:sz w:val="28"/>
          <w:szCs w:val="28"/>
        </w:rPr>
        <w:t>к 2030 году и до 1,8 к 2036 году, в том числе ежегодный рост суммарного коэффициента рождаемости третьих и последующих детей;</w:t>
      </w:r>
    </w:p>
    <w:p w:rsidR="00FC41F4" w:rsidRPr="00577593" w:rsidRDefault="008925FA" w:rsidP="008D738C">
      <w:pPr>
        <w:pStyle w:val="af5"/>
        <w:numPr>
          <w:ilvl w:val="0"/>
          <w:numId w:val="12"/>
        </w:numPr>
        <w:tabs>
          <w:tab w:val="left" w:pos="990"/>
        </w:tabs>
        <w:spacing w:after="0" w:line="240" w:lineRule="auto"/>
        <w:ind w:left="0"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увеличение ожидаемой продолжительности жизни до 78 лет </w:t>
      </w:r>
      <w:r w:rsidR="0076671D">
        <w:rPr>
          <w:rFonts w:ascii="Times New Roman" w:eastAsia="Times New Roman" w:hAnsi="Times New Roman"/>
          <w:sz w:val="28"/>
          <w:szCs w:val="28"/>
        </w:rPr>
        <w:br/>
      </w:r>
      <w:r w:rsidRPr="00577593">
        <w:rPr>
          <w:rFonts w:ascii="Times New Roman" w:eastAsia="Times New Roman" w:hAnsi="Times New Roman"/>
          <w:sz w:val="28"/>
          <w:szCs w:val="28"/>
        </w:rPr>
        <w:t>к 2030 году и до 81 года к 2036 году, в том числе опережающий рост показателей ожидаемой продолжительности здоровой жизни;</w:t>
      </w:r>
    </w:p>
    <w:p w:rsidR="00FC41F4" w:rsidRPr="00577593" w:rsidRDefault="008925FA" w:rsidP="008D738C">
      <w:pPr>
        <w:pStyle w:val="af5"/>
        <w:numPr>
          <w:ilvl w:val="0"/>
          <w:numId w:val="12"/>
        </w:numPr>
        <w:tabs>
          <w:tab w:val="left" w:pos="990"/>
        </w:tabs>
        <w:spacing w:after="0" w:line="240" w:lineRule="auto"/>
        <w:ind w:left="0"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обеспечение не ниже среднероссийских темпов повышения </w:t>
      </w:r>
      <w:r w:rsidR="002D68E1" w:rsidRPr="00577593">
        <w:rPr>
          <w:rFonts w:ascii="Times New Roman" w:eastAsia="Times New Roman" w:hAnsi="Times New Roman"/>
          <w:sz w:val="28"/>
          <w:szCs w:val="28"/>
        </w:rPr>
        <w:br/>
      </w:r>
      <w:r w:rsidRPr="00577593">
        <w:rPr>
          <w:rFonts w:ascii="Times New Roman" w:eastAsia="Times New Roman" w:hAnsi="Times New Roman"/>
          <w:sz w:val="28"/>
          <w:szCs w:val="28"/>
        </w:rPr>
        <w:t>к 2030 году суммарного коэффициента рождаемости в субъектах Российской Федерации, в которых по итогам 2023 года значение такого коэффициента было ниже среднероссийского;</w:t>
      </w:r>
    </w:p>
    <w:p w:rsidR="00FC41F4" w:rsidRPr="00577593" w:rsidRDefault="008925FA" w:rsidP="008D738C">
      <w:pPr>
        <w:pStyle w:val="af5"/>
        <w:numPr>
          <w:ilvl w:val="0"/>
          <w:numId w:val="12"/>
        </w:numPr>
        <w:tabs>
          <w:tab w:val="left" w:pos="990"/>
        </w:tabs>
        <w:spacing w:after="0" w:line="240" w:lineRule="auto"/>
        <w:ind w:left="0" w:firstLine="709"/>
        <w:jc w:val="both"/>
        <w:rPr>
          <w:rFonts w:ascii="Times New Roman" w:eastAsia="Times New Roman" w:hAnsi="Times New Roman"/>
          <w:sz w:val="28"/>
          <w:szCs w:val="28"/>
        </w:rPr>
      </w:pPr>
      <w:r w:rsidRPr="00577593">
        <w:rPr>
          <w:rFonts w:ascii="Times New Roman" w:eastAsia="Times New Roman" w:hAnsi="Times New Roman"/>
          <w:sz w:val="28"/>
          <w:szCs w:val="28"/>
        </w:rPr>
        <w:t>снижение к 2036 году дифференциации показателей ожидаемой продолжительности жизни не менее чем на 25 процентов по сравнению с уровнем 2023 года;</w:t>
      </w:r>
    </w:p>
    <w:p w:rsidR="00FC41F4" w:rsidRPr="00577593" w:rsidRDefault="008925FA" w:rsidP="008D738C">
      <w:pPr>
        <w:pStyle w:val="af5"/>
        <w:numPr>
          <w:ilvl w:val="0"/>
          <w:numId w:val="12"/>
        </w:numPr>
        <w:tabs>
          <w:tab w:val="left" w:pos="990"/>
        </w:tabs>
        <w:spacing w:after="0" w:line="240" w:lineRule="auto"/>
        <w:ind w:left="0" w:firstLine="709"/>
        <w:jc w:val="both"/>
        <w:rPr>
          <w:rFonts w:ascii="Times New Roman" w:eastAsia="Times New Roman" w:hAnsi="Times New Roman"/>
          <w:sz w:val="28"/>
          <w:szCs w:val="28"/>
        </w:rPr>
      </w:pPr>
      <w:r w:rsidRPr="00577593">
        <w:rPr>
          <w:rFonts w:ascii="Times New Roman" w:eastAsia="Times New Roman" w:hAnsi="Times New Roman"/>
          <w:sz w:val="28"/>
          <w:szCs w:val="28"/>
        </w:rPr>
        <w:t>снижение к 2030 году суммарной продолжительности временной нетрудоспособности граждан в трудоспособном возрасте на основе формирования здорового образа жизни, создания условий для своевременной профилактики заболеваний и привлечения граждан к систематическим занятиям спортом.</w:t>
      </w:r>
    </w:p>
    <w:p w:rsidR="00FC41F4" w:rsidRPr="00577593" w:rsidRDefault="008925FA" w:rsidP="008D738C">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Направления реализации задачи «Стабилизация демографических и миграционных процессов»</w:t>
      </w:r>
      <w:r w:rsidR="00FC0178" w:rsidRPr="00577593">
        <w:rPr>
          <w:rFonts w:ascii="Times New Roman" w:eastAsia="Times New Roman" w:hAnsi="Times New Roman"/>
          <w:sz w:val="28"/>
          <w:szCs w:val="28"/>
        </w:rPr>
        <w:t xml:space="preserve"> в городе Барнауле</w:t>
      </w:r>
      <w:r w:rsidRPr="00577593">
        <w:rPr>
          <w:rFonts w:ascii="Times New Roman" w:eastAsia="Times New Roman" w:hAnsi="Times New Roman"/>
          <w:sz w:val="28"/>
          <w:szCs w:val="28"/>
        </w:rPr>
        <w:t>:</w:t>
      </w:r>
    </w:p>
    <w:p w:rsidR="00FC41F4" w:rsidRPr="00573781" w:rsidRDefault="00573781" w:rsidP="00573781">
      <w:pPr>
        <w:spacing w:after="0" w:line="240" w:lineRule="auto"/>
        <w:ind w:firstLine="709"/>
        <w:jc w:val="both"/>
        <w:rPr>
          <w:rFonts w:ascii="Times New Roman" w:eastAsia="Times New Roman" w:hAnsi="Times New Roman"/>
          <w:sz w:val="28"/>
          <w:szCs w:val="28"/>
        </w:rPr>
      </w:pPr>
      <w:r w:rsidRPr="00573781">
        <w:rPr>
          <w:rFonts w:ascii="Times New Roman" w:eastAsia="Times New Roman" w:hAnsi="Times New Roman"/>
          <w:sz w:val="28"/>
          <w:szCs w:val="28"/>
        </w:rPr>
        <w:t>– </w:t>
      </w:r>
      <w:r>
        <w:rPr>
          <w:rFonts w:ascii="Times New Roman" w:eastAsia="Times New Roman" w:hAnsi="Times New Roman"/>
          <w:sz w:val="28"/>
          <w:szCs w:val="28"/>
        </w:rPr>
        <w:t>п</w:t>
      </w:r>
      <w:r w:rsidR="008925FA" w:rsidRPr="00573781">
        <w:rPr>
          <w:rFonts w:ascii="Times New Roman" w:eastAsia="Times New Roman" w:hAnsi="Times New Roman"/>
          <w:sz w:val="28"/>
          <w:szCs w:val="28"/>
        </w:rPr>
        <w:t>оддержка рождаемости и семей с детьми;</w:t>
      </w:r>
    </w:p>
    <w:p w:rsidR="00FC41F4" w:rsidRPr="00573781" w:rsidRDefault="00573781" w:rsidP="00573781">
      <w:pPr>
        <w:spacing w:after="0" w:line="240" w:lineRule="auto"/>
        <w:ind w:firstLine="709"/>
        <w:jc w:val="both"/>
        <w:rPr>
          <w:rFonts w:ascii="Times New Roman" w:eastAsia="Times New Roman" w:hAnsi="Times New Roman"/>
          <w:sz w:val="28"/>
          <w:szCs w:val="28"/>
        </w:rPr>
      </w:pPr>
      <w:r w:rsidRPr="00573781">
        <w:rPr>
          <w:rFonts w:ascii="Times New Roman" w:eastAsia="Times New Roman" w:hAnsi="Times New Roman"/>
          <w:sz w:val="28"/>
          <w:szCs w:val="28"/>
        </w:rPr>
        <w:t>– </w:t>
      </w:r>
      <w:r>
        <w:rPr>
          <w:rFonts w:ascii="Times New Roman" w:eastAsia="Times New Roman" w:hAnsi="Times New Roman"/>
          <w:sz w:val="28"/>
          <w:szCs w:val="28"/>
        </w:rPr>
        <w:t>п</w:t>
      </w:r>
      <w:r w:rsidR="008925FA" w:rsidRPr="00573781">
        <w:rPr>
          <w:rFonts w:ascii="Times New Roman" w:eastAsia="Times New Roman" w:hAnsi="Times New Roman"/>
          <w:sz w:val="28"/>
          <w:szCs w:val="28"/>
        </w:rPr>
        <w:t>опуляризация и создание условий для здорового образа жизни;</w:t>
      </w:r>
    </w:p>
    <w:p w:rsidR="00FC41F4" w:rsidRPr="00573781" w:rsidRDefault="00573781" w:rsidP="00573781">
      <w:pPr>
        <w:spacing w:after="0" w:line="240" w:lineRule="auto"/>
        <w:ind w:firstLine="709"/>
        <w:jc w:val="both"/>
        <w:rPr>
          <w:rFonts w:ascii="Times New Roman" w:eastAsia="Times New Roman" w:hAnsi="Times New Roman"/>
          <w:sz w:val="28"/>
          <w:szCs w:val="28"/>
        </w:rPr>
      </w:pPr>
      <w:r w:rsidRPr="00573781">
        <w:rPr>
          <w:rFonts w:ascii="Times New Roman" w:eastAsia="Times New Roman" w:hAnsi="Times New Roman"/>
          <w:sz w:val="28"/>
          <w:szCs w:val="28"/>
        </w:rPr>
        <w:t>– </w:t>
      </w:r>
      <w:r>
        <w:rPr>
          <w:rFonts w:ascii="Times New Roman" w:eastAsia="Times New Roman" w:hAnsi="Times New Roman"/>
          <w:sz w:val="28"/>
          <w:szCs w:val="28"/>
        </w:rPr>
        <w:t>с</w:t>
      </w:r>
      <w:r w:rsidR="008925FA" w:rsidRPr="00573781">
        <w:rPr>
          <w:rFonts w:ascii="Times New Roman" w:eastAsia="Times New Roman" w:hAnsi="Times New Roman"/>
          <w:sz w:val="28"/>
          <w:szCs w:val="28"/>
        </w:rPr>
        <w:t>одействие доступности медицинской помощи и кадровому обеспечению системы здравоохранения.</w:t>
      </w:r>
    </w:p>
    <w:p w:rsidR="00FC41F4" w:rsidRPr="00577593" w:rsidRDefault="008925FA" w:rsidP="008D738C">
      <w:pPr>
        <w:pStyle w:val="3"/>
        <w:spacing w:before="0" w:line="240" w:lineRule="auto"/>
        <w:ind w:firstLine="709"/>
        <w:jc w:val="both"/>
        <w:rPr>
          <w:rFonts w:ascii="Times New Roman" w:hAnsi="Times New Roman"/>
          <w:color w:val="auto"/>
          <w:sz w:val="28"/>
          <w:szCs w:val="28"/>
        </w:rPr>
      </w:pPr>
      <w:bookmarkStart w:id="321" w:name="_Toc204923052"/>
      <w:bookmarkStart w:id="322" w:name="_Toc204933386"/>
      <w:bookmarkStart w:id="323" w:name="_Toc208496691"/>
      <w:bookmarkStart w:id="324" w:name="_Toc208668973"/>
      <w:bookmarkStart w:id="325" w:name="_Toc212804322"/>
      <w:r w:rsidRPr="00577593">
        <w:rPr>
          <w:rFonts w:ascii="Times New Roman" w:eastAsia="Times New Roman" w:hAnsi="Times New Roman"/>
          <w:color w:val="auto"/>
          <w:sz w:val="28"/>
          <w:szCs w:val="28"/>
        </w:rPr>
        <w:lastRenderedPageBreak/>
        <w:t>9.2.1.1</w:t>
      </w:r>
      <w:r w:rsidR="00573781">
        <w:rPr>
          <w:rFonts w:ascii="Times New Roman" w:eastAsia="Times New Roman" w:hAnsi="Times New Roman"/>
          <w:color w:val="auto"/>
          <w:sz w:val="28"/>
          <w:szCs w:val="28"/>
        </w:rPr>
        <w:t>.</w:t>
      </w:r>
      <w:r w:rsidRPr="00577593">
        <w:rPr>
          <w:rFonts w:ascii="Times New Roman" w:eastAsia="Times New Roman" w:hAnsi="Times New Roman"/>
          <w:color w:val="auto"/>
          <w:sz w:val="28"/>
          <w:szCs w:val="28"/>
        </w:rPr>
        <w:t xml:space="preserve"> Поддержка рождаемости и семей с детьми</w:t>
      </w:r>
      <w:bookmarkEnd w:id="321"/>
      <w:bookmarkEnd w:id="322"/>
      <w:bookmarkEnd w:id="323"/>
      <w:bookmarkEnd w:id="324"/>
      <w:bookmarkEnd w:id="325"/>
    </w:p>
    <w:p w:rsidR="00FC41F4" w:rsidRPr="00577593" w:rsidRDefault="008925FA" w:rsidP="008D738C">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Федеральная и краевая социальная политика, направленная на увеличение рождаемости и поддержку семей с детьми, планируется дополнять</w:t>
      </w:r>
      <w:r w:rsidR="0000746E">
        <w:rPr>
          <w:rFonts w:ascii="Times New Roman" w:eastAsia="Times New Roman" w:hAnsi="Times New Roman"/>
          <w:sz w:val="28"/>
          <w:szCs w:val="28"/>
        </w:rPr>
        <w:t>ся</w:t>
      </w:r>
      <w:r w:rsidRPr="00577593">
        <w:rPr>
          <w:rFonts w:ascii="Times New Roman" w:eastAsia="Times New Roman" w:hAnsi="Times New Roman"/>
          <w:sz w:val="28"/>
          <w:szCs w:val="28"/>
        </w:rPr>
        <w:t xml:space="preserve"> мерами муниципального уровня, основанными на актуальных потребностях жителей города и лучших практиках пилотного проекта, направленного на стимулирование рождаемости.</w:t>
      </w:r>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Продолжится предоставление социальных выплат молодым семьям на приобретение (строительство) жилья и предоставление молодым семьям средств бюджета города для погашения ипотечных кредитов </w:t>
      </w:r>
      <w:r w:rsidR="002D68E1" w:rsidRPr="00577593">
        <w:rPr>
          <w:rFonts w:ascii="Times New Roman" w:eastAsia="Times New Roman" w:hAnsi="Times New Roman"/>
          <w:sz w:val="28"/>
          <w:szCs w:val="28"/>
        </w:rPr>
        <w:br/>
      </w:r>
      <w:r w:rsidRPr="00577593">
        <w:rPr>
          <w:rFonts w:ascii="Times New Roman" w:eastAsia="Times New Roman" w:hAnsi="Times New Roman"/>
          <w:sz w:val="28"/>
          <w:szCs w:val="28"/>
        </w:rPr>
        <w:t>на приобретение жилого помещения или строительство жилого дома.</w:t>
      </w:r>
    </w:p>
    <w:p w:rsidR="00FC41F4" w:rsidRPr="00577593" w:rsidRDefault="00D90B19" w:rsidP="008D738C">
      <w:pPr>
        <w:spacing w:after="0" w:line="24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Как на краевом, так и на муниципальном уровне будет продолжена</w:t>
      </w:r>
      <w:r w:rsidR="008925FA" w:rsidRPr="00577593">
        <w:rPr>
          <w:rFonts w:ascii="Times New Roman" w:eastAsia="Times New Roman" w:hAnsi="Times New Roman"/>
          <w:sz w:val="28"/>
          <w:szCs w:val="28"/>
        </w:rPr>
        <w:t xml:space="preserve"> реализаци</w:t>
      </w:r>
      <w:r>
        <w:rPr>
          <w:rFonts w:ascii="Times New Roman" w:eastAsia="Times New Roman" w:hAnsi="Times New Roman"/>
          <w:sz w:val="28"/>
          <w:szCs w:val="28"/>
        </w:rPr>
        <w:t>я</w:t>
      </w:r>
      <w:r w:rsidR="008925FA" w:rsidRPr="00577593">
        <w:rPr>
          <w:rFonts w:ascii="Times New Roman" w:eastAsia="Times New Roman" w:hAnsi="Times New Roman"/>
          <w:sz w:val="28"/>
          <w:szCs w:val="28"/>
        </w:rPr>
        <w:t xml:space="preserve"> комплекса действующих мер социальной поддержки многодетных семей, включая денежные выплаты на </w:t>
      </w:r>
      <w:r w:rsidR="00573781">
        <w:rPr>
          <w:rFonts w:ascii="Times New Roman" w:eastAsia="Times New Roman" w:hAnsi="Times New Roman"/>
          <w:sz w:val="28"/>
          <w:szCs w:val="28"/>
        </w:rPr>
        <w:t xml:space="preserve">обеспечение учащихся школьной и </w:t>
      </w:r>
      <w:r w:rsidR="008925FA" w:rsidRPr="00577593">
        <w:rPr>
          <w:rFonts w:ascii="Times New Roman" w:eastAsia="Times New Roman" w:hAnsi="Times New Roman"/>
          <w:sz w:val="28"/>
          <w:szCs w:val="28"/>
        </w:rPr>
        <w:t xml:space="preserve">спортивной одеждой, выплаты для социальной догазификации, социальный контракт, бесплатный проезд для школьников в общественном транспорте и другие меры поддержки. Многодетным семьям планируется </w:t>
      </w:r>
      <w:r w:rsidR="0000746E">
        <w:rPr>
          <w:rFonts w:ascii="Times New Roman" w:eastAsia="Times New Roman" w:hAnsi="Times New Roman"/>
          <w:sz w:val="28"/>
          <w:szCs w:val="28"/>
        </w:rPr>
        <w:t xml:space="preserve">и далее </w:t>
      </w:r>
      <w:r w:rsidR="008925FA" w:rsidRPr="00577593">
        <w:rPr>
          <w:rFonts w:ascii="Times New Roman" w:eastAsia="Times New Roman" w:hAnsi="Times New Roman"/>
          <w:sz w:val="28"/>
          <w:szCs w:val="28"/>
        </w:rPr>
        <w:t>выделять земельные участки, обеспеченные необход</w:t>
      </w:r>
      <w:r w:rsidR="00B4381E">
        <w:rPr>
          <w:rFonts w:ascii="Times New Roman" w:eastAsia="Times New Roman" w:hAnsi="Times New Roman"/>
          <w:sz w:val="28"/>
          <w:szCs w:val="28"/>
        </w:rPr>
        <w:t xml:space="preserve">имыми объектами инфраструктуры. </w:t>
      </w:r>
      <w:r w:rsidR="008925FA" w:rsidRPr="00577593">
        <w:rPr>
          <w:rFonts w:ascii="Times New Roman" w:eastAsia="Times New Roman" w:hAnsi="Times New Roman"/>
          <w:sz w:val="28"/>
          <w:szCs w:val="28"/>
        </w:rPr>
        <w:t>Следует обеспечивать привилегированный статус многодетных родителей, подразумевающий льготные условия посещения учреждений культуры, досуга и спорта государственной и муниципальной собственности. Для многодетных семей необходимо обеспечить льготы по содержанию жилья и оплате коммунальных услуг.</w:t>
      </w:r>
    </w:p>
    <w:p w:rsidR="00FC41F4" w:rsidRPr="00577593" w:rsidRDefault="008925FA" w:rsidP="008D738C">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Планируется продолжить компенсацию части платы, взимаемой с родителей (законных представителей) за присмотр и уход за ребенком в образовательных организациях, реализующих образовательную программу дошкольного образования. Ученики начальных классов, а также ученики 5–11 классов из многодетных и малообеспеченных семей, дети участников СВО должны быть обеспечены льготным питанием. </w:t>
      </w:r>
      <w:r w:rsidR="002E54F8" w:rsidRPr="00577593">
        <w:rPr>
          <w:rFonts w:ascii="Times New Roman" w:eastAsia="Times New Roman" w:hAnsi="Times New Roman"/>
          <w:sz w:val="28"/>
          <w:szCs w:val="28"/>
        </w:rPr>
        <w:t xml:space="preserve">В настоящее время реализуется и будет продолжена мера поддержки для </w:t>
      </w:r>
      <w:r w:rsidRPr="00577593">
        <w:rPr>
          <w:rFonts w:ascii="Times New Roman" w:eastAsia="Times New Roman" w:hAnsi="Times New Roman"/>
          <w:sz w:val="28"/>
          <w:szCs w:val="28"/>
        </w:rPr>
        <w:t xml:space="preserve">участников СВО </w:t>
      </w:r>
      <w:r w:rsidR="002E54F8" w:rsidRPr="00577593">
        <w:rPr>
          <w:rFonts w:ascii="Times New Roman" w:eastAsia="Times New Roman" w:hAnsi="Times New Roman"/>
          <w:sz w:val="28"/>
          <w:szCs w:val="28"/>
        </w:rPr>
        <w:t>в виде</w:t>
      </w:r>
      <w:r w:rsidRPr="00577593">
        <w:rPr>
          <w:rFonts w:ascii="Times New Roman" w:eastAsia="Times New Roman" w:hAnsi="Times New Roman"/>
          <w:sz w:val="28"/>
          <w:szCs w:val="28"/>
        </w:rPr>
        <w:t xml:space="preserve"> </w:t>
      </w:r>
      <w:r w:rsidR="00340941" w:rsidRPr="00577593">
        <w:rPr>
          <w:rFonts w:ascii="Times New Roman" w:eastAsia="Times New Roman" w:hAnsi="Times New Roman"/>
          <w:sz w:val="28"/>
          <w:szCs w:val="28"/>
        </w:rPr>
        <w:t>освобождени</w:t>
      </w:r>
      <w:r w:rsidR="002E54F8" w:rsidRPr="00577593">
        <w:rPr>
          <w:rFonts w:ascii="Times New Roman" w:eastAsia="Times New Roman" w:hAnsi="Times New Roman"/>
          <w:sz w:val="28"/>
          <w:szCs w:val="28"/>
        </w:rPr>
        <w:t>я</w:t>
      </w:r>
      <w:r w:rsidR="00340941" w:rsidRPr="00577593">
        <w:rPr>
          <w:rFonts w:ascii="Times New Roman" w:eastAsia="Times New Roman" w:hAnsi="Times New Roman"/>
          <w:sz w:val="28"/>
          <w:szCs w:val="28"/>
        </w:rPr>
        <w:t xml:space="preserve"> от</w:t>
      </w:r>
      <w:r w:rsidRPr="00577593">
        <w:rPr>
          <w:rFonts w:ascii="Times New Roman" w:eastAsia="Times New Roman" w:hAnsi="Times New Roman"/>
          <w:sz w:val="28"/>
          <w:szCs w:val="28"/>
        </w:rPr>
        <w:t xml:space="preserve"> родительск</w:t>
      </w:r>
      <w:r w:rsidR="00340941" w:rsidRPr="00577593">
        <w:rPr>
          <w:rFonts w:ascii="Times New Roman" w:eastAsia="Times New Roman" w:hAnsi="Times New Roman"/>
          <w:sz w:val="28"/>
          <w:szCs w:val="28"/>
        </w:rPr>
        <w:t>ой</w:t>
      </w:r>
      <w:r w:rsidRPr="00577593">
        <w:rPr>
          <w:rFonts w:ascii="Times New Roman" w:eastAsia="Times New Roman" w:hAnsi="Times New Roman"/>
          <w:sz w:val="28"/>
          <w:szCs w:val="28"/>
        </w:rPr>
        <w:t xml:space="preserve"> плат</w:t>
      </w:r>
      <w:r w:rsidR="00340941" w:rsidRPr="00577593">
        <w:rPr>
          <w:rFonts w:ascii="Times New Roman" w:eastAsia="Times New Roman" w:hAnsi="Times New Roman"/>
          <w:sz w:val="28"/>
          <w:szCs w:val="28"/>
        </w:rPr>
        <w:t>ы</w:t>
      </w:r>
      <w:r w:rsidRPr="00577593">
        <w:rPr>
          <w:rFonts w:ascii="Times New Roman" w:eastAsia="Times New Roman" w:hAnsi="Times New Roman"/>
          <w:sz w:val="28"/>
          <w:szCs w:val="28"/>
        </w:rPr>
        <w:t xml:space="preserve"> за </w:t>
      </w:r>
      <w:r w:rsidR="00340941" w:rsidRPr="00577593">
        <w:rPr>
          <w:rFonts w:ascii="Times New Roman" w:eastAsia="Times New Roman" w:hAnsi="Times New Roman"/>
          <w:sz w:val="28"/>
          <w:szCs w:val="28"/>
        </w:rPr>
        <w:t>присмотр и уход за детьми в муниципальных дошкольных образовательных организациях</w:t>
      </w:r>
      <w:r w:rsidRPr="00577593">
        <w:rPr>
          <w:rFonts w:ascii="Times New Roman" w:eastAsia="Times New Roman" w:hAnsi="Times New Roman"/>
          <w:sz w:val="28"/>
          <w:szCs w:val="28"/>
        </w:rPr>
        <w:t xml:space="preserve">. Потребности семей с детьми должны учитываться в работе муниципальных организаций и в развитии городской среды. Предполагается стимулировать создание и совершенствование общественных пространств </w:t>
      </w:r>
      <w:r w:rsidR="00CE7D28">
        <w:rPr>
          <w:rFonts w:ascii="Times New Roman" w:eastAsia="Times New Roman" w:hAnsi="Times New Roman"/>
          <w:sz w:val="28"/>
          <w:szCs w:val="28"/>
        </w:rPr>
        <w:t>города</w:t>
      </w:r>
      <w:r w:rsidRPr="00577593">
        <w:rPr>
          <w:rFonts w:ascii="Times New Roman" w:eastAsia="Times New Roman" w:hAnsi="Times New Roman"/>
          <w:sz w:val="28"/>
          <w:szCs w:val="28"/>
        </w:rPr>
        <w:t>, адаптированных для потребностей семей с детьми, предоставлять имущественную поддержку в виде преференций и обеспечения помещениями некоммерческих организаций, ориентированных на работу семей с детьми.</w:t>
      </w:r>
    </w:p>
    <w:p w:rsidR="00FC41F4" w:rsidRPr="00577593" w:rsidRDefault="008925FA" w:rsidP="008D738C">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В </w:t>
      </w:r>
      <w:r w:rsidR="00CE7D28">
        <w:rPr>
          <w:rFonts w:ascii="Times New Roman" w:eastAsia="Times New Roman" w:hAnsi="Times New Roman"/>
          <w:sz w:val="28"/>
          <w:szCs w:val="28"/>
        </w:rPr>
        <w:t xml:space="preserve">городе </w:t>
      </w:r>
      <w:r w:rsidRPr="00577593">
        <w:rPr>
          <w:rFonts w:ascii="Times New Roman" w:eastAsia="Times New Roman" w:hAnsi="Times New Roman"/>
          <w:sz w:val="28"/>
          <w:szCs w:val="28"/>
        </w:rPr>
        <w:t>Барнауле планируется применять меры поддержки, предусмотренные Стратегией действий по реализации семейной и демографической политики, поддержке многодетности в Российской Федерации.</w:t>
      </w:r>
    </w:p>
    <w:p w:rsidR="00CE7D28" w:rsidRDefault="008925FA" w:rsidP="008D738C">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На предприятиях Барнаула предлагается внедрять корпоративный демографический стандарт, являющийся ориентиром для корпоративной</w:t>
      </w:r>
      <w:r w:rsidR="00CE7D28">
        <w:rPr>
          <w:rFonts w:ascii="Times New Roman" w:eastAsia="Times New Roman" w:hAnsi="Times New Roman"/>
          <w:sz w:val="28"/>
          <w:szCs w:val="28"/>
        </w:rPr>
        <w:br/>
      </w:r>
    </w:p>
    <w:p w:rsidR="00FC41F4" w:rsidRPr="00577593" w:rsidRDefault="008925FA" w:rsidP="00CE7D28">
      <w:pPr>
        <w:spacing w:after="0" w:line="240" w:lineRule="auto"/>
        <w:jc w:val="both"/>
        <w:rPr>
          <w:rFonts w:ascii="Times New Roman" w:eastAsia="Times New Roman" w:hAnsi="Times New Roman"/>
          <w:sz w:val="28"/>
          <w:szCs w:val="28"/>
        </w:rPr>
      </w:pPr>
      <w:r w:rsidRPr="00577593">
        <w:rPr>
          <w:rFonts w:ascii="Times New Roman" w:eastAsia="Times New Roman" w:hAnsi="Times New Roman"/>
          <w:sz w:val="28"/>
          <w:szCs w:val="28"/>
        </w:rPr>
        <w:lastRenderedPageBreak/>
        <w:t xml:space="preserve">политики в области социальной ответственности и устойчивого развития. Планируется </w:t>
      </w:r>
      <w:r w:rsidR="00C23D8A" w:rsidRPr="00577593">
        <w:rPr>
          <w:rFonts w:ascii="Times New Roman" w:eastAsia="Times New Roman" w:hAnsi="Times New Roman"/>
          <w:sz w:val="28"/>
          <w:szCs w:val="28"/>
        </w:rPr>
        <w:t xml:space="preserve">рассмотреть возможность </w:t>
      </w:r>
      <w:r w:rsidRPr="00577593">
        <w:rPr>
          <w:rFonts w:ascii="Times New Roman" w:eastAsia="Times New Roman" w:hAnsi="Times New Roman"/>
          <w:sz w:val="28"/>
          <w:szCs w:val="28"/>
        </w:rPr>
        <w:t>запустить городскую программу лояльности, обеспечивающую скидки и льготы со стороны бизнеса для многодетных семей.</w:t>
      </w:r>
    </w:p>
    <w:p w:rsidR="00FC41F4" w:rsidRPr="00577593" w:rsidRDefault="008925FA" w:rsidP="008D738C">
      <w:pPr>
        <w:pStyle w:val="3"/>
        <w:spacing w:before="0" w:line="240" w:lineRule="auto"/>
        <w:ind w:firstLine="709"/>
        <w:jc w:val="both"/>
        <w:rPr>
          <w:rFonts w:ascii="Times New Roman" w:eastAsia="Times New Roman" w:hAnsi="Times New Roman"/>
          <w:color w:val="auto"/>
          <w:sz w:val="28"/>
          <w:szCs w:val="28"/>
        </w:rPr>
      </w:pPr>
      <w:bookmarkStart w:id="326" w:name="_Toc208496692"/>
      <w:bookmarkStart w:id="327" w:name="_Toc208668974"/>
      <w:bookmarkStart w:id="328" w:name="_Toc212804323"/>
      <w:r w:rsidRPr="00577593">
        <w:rPr>
          <w:rFonts w:ascii="Times New Roman" w:eastAsia="Times New Roman" w:hAnsi="Times New Roman"/>
          <w:color w:val="auto"/>
          <w:sz w:val="28"/>
          <w:szCs w:val="28"/>
        </w:rPr>
        <w:t>9.2.1.2</w:t>
      </w:r>
      <w:r w:rsidR="00573781">
        <w:rPr>
          <w:rFonts w:ascii="Times New Roman" w:eastAsia="Times New Roman" w:hAnsi="Times New Roman"/>
          <w:color w:val="auto"/>
          <w:sz w:val="28"/>
          <w:szCs w:val="28"/>
        </w:rPr>
        <w:t>.</w:t>
      </w:r>
      <w:r w:rsidRPr="00577593">
        <w:rPr>
          <w:rFonts w:ascii="Times New Roman" w:eastAsia="Times New Roman" w:hAnsi="Times New Roman"/>
          <w:color w:val="auto"/>
          <w:sz w:val="28"/>
          <w:szCs w:val="28"/>
        </w:rPr>
        <w:t xml:space="preserve"> Популяризация и создание условий для здорового образа жизни</w:t>
      </w:r>
      <w:bookmarkEnd w:id="326"/>
      <w:bookmarkEnd w:id="327"/>
      <w:bookmarkEnd w:id="328"/>
    </w:p>
    <w:p w:rsidR="00FC41F4" w:rsidRPr="00577593" w:rsidRDefault="008925FA" w:rsidP="008D738C">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Для стимулирования ведения здорового образа жизни запланирован комплекс мер в области событийной активности, городской среды, образования, молодежной политики и информационно-коммуникационной работы.</w:t>
      </w:r>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Планируется проводить городские мероприятия, направленные </w:t>
      </w:r>
      <w:r w:rsidR="002D68E1" w:rsidRPr="00577593">
        <w:rPr>
          <w:rFonts w:ascii="Times New Roman" w:hAnsi="Times New Roman"/>
          <w:sz w:val="28"/>
          <w:szCs w:val="28"/>
        </w:rPr>
        <w:br/>
      </w:r>
      <w:r w:rsidRPr="00577593">
        <w:rPr>
          <w:rFonts w:ascii="Times New Roman" w:hAnsi="Times New Roman"/>
          <w:sz w:val="28"/>
          <w:szCs w:val="28"/>
        </w:rPr>
        <w:t xml:space="preserve">на расширение и пропаганду практик здорового образа жизни: фестивали здоровья, забеги, велопробеги, уличные зарядки, трейлы и т.д. Должно продолжиться насыщение городской среды велодорожками, спортивными площадками, в том числе площадками для уличных видов спорта, «умными» </w:t>
      </w:r>
      <w:r w:rsidR="00B4381E">
        <w:rPr>
          <w:rFonts w:ascii="Times New Roman" w:hAnsi="Times New Roman"/>
          <w:sz w:val="28"/>
          <w:szCs w:val="28"/>
        </w:rPr>
        <w:t xml:space="preserve">площадками. </w:t>
      </w:r>
      <w:r w:rsidR="00573781">
        <w:rPr>
          <w:rFonts w:ascii="Times New Roman" w:hAnsi="Times New Roman"/>
          <w:sz w:val="28"/>
          <w:szCs w:val="28"/>
        </w:rPr>
        <w:t xml:space="preserve">Для </w:t>
      </w:r>
      <w:r w:rsidRPr="00577593">
        <w:rPr>
          <w:rFonts w:ascii="Times New Roman" w:hAnsi="Times New Roman"/>
          <w:sz w:val="28"/>
          <w:szCs w:val="28"/>
        </w:rPr>
        <w:t>популяризации спорта планируется продолжить бесплат</w:t>
      </w:r>
      <w:r w:rsidR="00573781">
        <w:rPr>
          <w:rFonts w:ascii="Times New Roman" w:hAnsi="Times New Roman"/>
          <w:sz w:val="28"/>
          <w:szCs w:val="28"/>
        </w:rPr>
        <w:t xml:space="preserve">ные занятия в </w:t>
      </w:r>
      <w:r w:rsidRPr="00577593">
        <w:rPr>
          <w:rFonts w:ascii="Times New Roman" w:hAnsi="Times New Roman"/>
          <w:sz w:val="28"/>
          <w:szCs w:val="28"/>
        </w:rPr>
        <w:t>рамках проекта «Дворовый инструктор».</w:t>
      </w:r>
    </w:p>
    <w:p w:rsidR="00FC41F4" w:rsidRPr="00577593" w:rsidRDefault="008925FA" w:rsidP="008D738C">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Постоянно планируется вести информационно-коммуникационную кампанию, мотивирующую к ведению здорового образа жизни.</w:t>
      </w:r>
    </w:p>
    <w:p w:rsidR="00FC41F4" w:rsidRPr="00577593" w:rsidRDefault="008925FA" w:rsidP="008D738C">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Будет поддержано внедрение на предприятиях Барнаула корпоративных программ укрепления здоровья, заключение соглашений, подразумевающих содействие в подготовке и выполнении сотрудниками комплексных нормативов ГТО, развитие корпоративного спорта.</w:t>
      </w:r>
    </w:p>
    <w:p w:rsidR="00FC41F4" w:rsidRPr="00577593" w:rsidRDefault="008925FA" w:rsidP="008D738C">
      <w:pPr>
        <w:pStyle w:val="3"/>
        <w:spacing w:before="0" w:line="240" w:lineRule="auto"/>
        <w:ind w:firstLine="709"/>
        <w:jc w:val="both"/>
        <w:rPr>
          <w:rFonts w:ascii="Times New Roman" w:eastAsia="Times New Roman" w:hAnsi="Times New Roman"/>
          <w:color w:val="auto"/>
          <w:sz w:val="28"/>
          <w:szCs w:val="28"/>
        </w:rPr>
      </w:pPr>
      <w:bookmarkStart w:id="329" w:name="_Toc208496693"/>
      <w:bookmarkStart w:id="330" w:name="_Toc208668975"/>
      <w:bookmarkStart w:id="331" w:name="_Toc212804324"/>
      <w:r w:rsidRPr="00577593">
        <w:rPr>
          <w:rFonts w:ascii="Times New Roman" w:eastAsia="Times New Roman" w:hAnsi="Times New Roman"/>
          <w:color w:val="auto"/>
          <w:sz w:val="28"/>
          <w:szCs w:val="28"/>
        </w:rPr>
        <w:t>9.2.1.3</w:t>
      </w:r>
      <w:r w:rsidR="00573781">
        <w:rPr>
          <w:rFonts w:ascii="Times New Roman" w:eastAsia="Times New Roman" w:hAnsi="Times New Roman"/>
          <w:color w:val="auto"/>
          <w:sz w:val="28"/>
          <w:szCs w:val="28"/>
        </w:rPr>
        <w:t>.</w:t>
      </w:r>
      <w:r w:rsidRPr="00577593">
        <w:rPr>
          <w:rFonts w:ascii="Times New Roman" w:eastAsia="Times New Roman" w:hAnsi="Times New Roman"/>
          <w:color w:val="auto"/>
          <w:sz w:val="28"/>
          <w:szCs w:val="28"/>
        </w:rPr>
        <w:t xml:space="preserve"> Содействие доступности медицинской помощи и кадровому обеспечению системы здравоохранения</w:t>
      </w:r>
      <w:bookmarkEnd w:id="329"/>
      <w:bookmarkEnd w:id="330"/>
      <w:bookmarkEnd w:id="331"/>
    </w:p>
    <w:p w:rsidR="00FC41F4" w:rsidRPr="00577593" w:rsidRDefault="008925FA" w:rsidP="008D738C">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Транспортная доступность медицинских организаций должна улучшаться за счет эффективного планирования маршрутов общественного транспорта и парковочных пространств.</w:t>
      </w:r>
    </w:p>
    <w:p w:rsidR="00FC41F4" w:rsidRPr="00577593" w:rsidRDefault="008925FA" w:rsidP="008D738C">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Для привлечения и удержания необходимых кадров планируется обеспечивать оплату</w:t>
      </w:r>
      <w:r w:rsidR="0000746E">
        <w:rPr>
          <w:rFonts w:ascii="Times New Roman" w:eastAsia="Times New Roman" w:hAnsi="Times New Roman"/>
          <w:sz w:val="28"/>
          <w:szCs w:val="28"/>
        </w:rPr>
        <w:t xml:space="preserve"> съемного</w:t>
      </w:r>
      <w:r w:rsidRPr="00577593">
        <w:rPr>
          <w:rFonts w:ascii="Times New Roman" w:eastAsia="Times New Roman" w:hAnsi="Times New Roman"/>
          <w:sz w:val="28"/>
          <w:szCs w:val="28"/>
        </w:rPr>
        <w:t xml:space="preserve"> жилья для медицинских работников.</w:t>
      </w:r>
    </w:p>
    <w:p w:rsidR="00FC41F4" w:rsidRPr="00577593" w:rsidRDefault="008925FA" w:rsidP="008D738C">
      <w:pPr>
        <w:pStyle w:val="3"/>
        <w:spacing w:before="0" w:line="240" w:lineRule="auto"/>
        <w:ind w:firstLine="709"/>
        <w:jc w:val="both"/>
        <w:rPr>
          <w:rFonts w:ascii="Times New Roman" w:eastAsia="Times New Roman" w:hAnsi="Times New Roman"/>
          <w:b/>
          <w:color w:val="auto"/>
          <w:sz w:val="28"/>
          <w:szCs w:val="28"/>
        </w:rPr>
      </w:pPr>
      <w:bookmarkStart w:id="332" w:name="_Toc204923053"/>
      <w:bookmarkStart w:id="333" w:name="_Toc204933387"/>
      <w:bookmarkStart w:id="334" w:name="_Toc208496694"/>
      <w:bookmarkStart w:id="335" w:name="_Toc208668976"/>
      <w:bookmarkStart w:id="336" w:name="_Toc212804325"/>
      <w:r w:rsidRPr="00577593">
        <w:rPr>
          <w:rFonts w:ascii="Times New Roman" w:eastAsia="Times New Roman" w:hAnsi="Times New Roman"/>
          <w:b/>
          <w:color w:val="auto"/>
          <w:sz w:val="28"/>
          <w:szCs w:val="28"/>
        </w:rPr>
        <w:t>9.2.2</w:t>
      </w:r>
      <w:r w:rsidR="00CE7D28">
        <w:rPr>
          <w:rFonts w:ascii="Times New Roman" w:eastAsia="Times New Roman" w:hAnsi="Times New Roman"/>
          <w:b/>
          <w:color w:val="auto"/>
          <w:sz w:val="28"/>
          <w:szCs w:val="28"/>
        </w:rPr>
        <w:t>.</w:t>
      </w:r>
      <w:r w:rsidRPr="00577593">
        <w:rPr>
          <w:rFonts w:ascii="Times New Roman" w:eastAsia="Times New Roman" w:hAnsi="Times New Roman"/>
          <w:b/>
          <w:color w:val="auto"/>
          <w:sz w:val="28"/>
          <w:szCs w:val="28"/>
        </w:rPr>
        <w:t xml:space="preserve"> Повышение уровня и качества жизни населения</w:t>
      </w:r>
      <w:bookmarkEnd w:id="332"/>
      <w:bookmarkEnd w:id="333"/>
      <w:bookmarkEnd w:id="334"/>
      <w:bookmarkEnd w:id="335"/>
      <w:bookmarkEnd w:id="336"/>
    </w:p>
    <w:p w:rsidR="00FC41F4" w:rsidRPr="00577593" w:rsidRDefault="008925FA" w:rsidP="008D738C">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В рамках национальной цели развития Российской Федерации </w:t>
      </w:r>
      <w:r w:rsidR="002D68E1" w:rsidRPr="00577593">
        <w:rPr>
          <w:rFonts w:ascii="Times New Roman" w:eastAsia="Times New Roman" w:hAnsi="Times New Roman"/>
          <w:sz w:val="28"/>
          <w:szCs w:val="28"/>
        </w:rPr>
        <w:br/>
      </w:r>
      <w:r w:rsidR="00936001">
        <w:rPr>
          <w:rFonts w:ascii="Times New Roman" w:eastAsia="Times New Roman" w:hAnsi="Times New Roman"/>
          <w:sz w:val="28"/>
          <w:szCs w:val="28"/>
        </w:rPr>
        <w:t xml:space="preserve">на период до </w:t>
      </w:r>
      <w:r w:rsidRPr="00577593">
        <w:rPr>
          <w:rFonts w:ascii="Times New Roman" w:eastAsia="Times New Roman" w:hAnsi="Times New Roman"/>
          <w:sz w:val="28"/>
          <w:szCs w:val="28"/>
        </w:rPr>
        <w:t>2030 года и на перспективу до 2036 года «Сохранение населения, укрепление здоровья и</w:t>
      </w:r>
      <w:r w:rsidR="00573781">
        <w:rPr>
          <w:rFonts w:ascii="Times New Roman" w:eastAsia="Times New Roman" w:hAnsi="Times New Roman"/>
          <w:sz w:val="28"/>
          <w:szCs w:val="28"/>
        </w:rPr>
        <w:t xml:space="preserve"> </w:t>
      </w:r>
      <w:r w:rsidRPr="00577593">
        <w:rPr>
          <w:rFonts w:ascii="Times New Roman" w:eastAsia="Times New Roman" w:hAnsi="Times New Roman"/>
          <w:sz w:val="28"/>
          <w:szCs w:val="28"/>
        </w:rPr>
        <w:t>повышение благополучия людей, поддержка семьи» определены следующие целевые показатели и задачи</w:t>
      </w:r>
      <w:r w:rsidR="00936001">
        <w:rPr>
          <w:rFonts w:ascii="Times New Roman" w:eastAsia="Times New Roman" w:hAnsi="Times New Roman"/>
          <w:sz w:val="28"/>
          <w:szCs w:val="28"/>
        </w:rPr>
        <w:t xml:space="preserve">      </w:t>
      </w:r>
      <w:r w:rsidRPr="00577593">
        <w:rPr>
          <w:rFonts w:ascii="Times New Roman" w:eastAsia="Times New Roman" w:hAnsi="Times New Roman"/>
          <w:sz w:val="28"/>
          <w:szCs w:val="28"/>
        </w:rPr>
        <w:t xml:space="preserve"> в области уровня и качества жизни:</w:t>
      </w:r>
    </w:p>
    <w:p w:rsidR="00FC41F4" w:rsidRPr="00577593" w:rsidRDefault="00573781" w:rsidP="00573781">
      <w:pPr>
        <w:pStyle w:val="af5"/>
        <w:tabs>
          <w:tab w:val="left" w:pos="990"/>
        </w:tabs>
        <w:spacing w:after="0" w:line="240" w:lineRule="auto"/>
        <w:ind w:left="0" w:firstLine="709"/>
        <w:jc w:val="both"/>
        <w:rPr>
          <w:rFonts w:ascii="Times New Roman" w:eastAsia="Times New Roman" w:hAnsi="Times New Roman"/>
          <w:sz w:val="28"/>
          <w:szCs w:val="28"/>
        </w:rPr>
      </w:pPr>
      <w:r w:rsidRPr="00573781">
        <w:rPr>
          <w:rFonts w:ascii="Times New Roman" w:eastAsia="Times New Roman" w:hAnsi="Times New Roman"/>
          <w:sz w:val="28"/>
          <w:szCs w:val="28"/>
        </w:rPr>
        <w:t>– </w:t>
      </w:r>
      <w:r w:rsidR="008925FA" w:rsidRPr="00577593">
        <w:rPr>
          <w:rFonts w:ascii="Times New Roman" w:eastAsia="Times New Roman" w:hAnsi="Times New Roman"/>
          <w:sz w:val="28"/>
          <w:szCs w:val="28"/>
        </w:rPr>
        <w:t>увеличение к 2030 году численности граждан пожилого возраста и инвалидов, получающих услуги долговременного</w:t>
      </w:r>
      <w:r w:rsidR="00110080" w:rsidRPr="00577593">
        <w:rPr>
          <w:rFonts w:ascii="Times New Roman" w:eastAsia="Times New Roman" w:hAnsi="Times New Roman"/>
          <w:sz w:val="28"/>
          <w:szCs w:val="28"/>
        </w:rPr>
        <w:t xml:space="preserve"> ухода, не менее чем </w:t>
      </w:r>
      <w:r w:rsidR="002D68E1" w:rsidRPr="00577593">
        <w:rPr>
          <w:rFonts w:ascii="Times New Roman" w:eastAsia="Times New Roman" w:hAnsi="Times New Roman"/>
          <w:sz w:val="28"/>
          <w:szCs w:val="28"/>
        </w:rPr>
        <w:br/>
      </w:r>
      <w:r w:rsidR="00110080" w:rsidRPr="00577593">
        <w:rPr>
          <w:rFonts w:ascii="Times New Roman" w:eastAsia="Times New Roman" w:hAnsi="Times New Roman"/>
          <w:sz w:val="28"/>
          <w:szCs w:val="28"/>
        </w:rPr>
        <w:t>до 500 тысяч</w:t>
      </w:r>
      <w:r w:rsidR="008925FA" w:rsidRPr="00577593">
        <w:rPr>
          <w:rFonts w:ascii="Times New Roman" w:eastAsia="Times New Roman" w:hAnsi="Times New Roman"/>
          <w:sz w:val="28"/>
          <w:szCs w:val="28"/>
        </w:rPr>
        <w:t xml:space="preserve"> человек из числа наиболее нуждающихся в таких услугах;</w:t>
      </w:r>
    </w:p>
    <w:p w:rsidR="00FC41F4" w:rsidRPr="00573781" w:rsidRDefault="00573781" w:rsidP="00573781">
      <w:pPr>
        <w:tabs>
          <w:tab w:val="left" w:pos="990"/>
        </w:tabs>
        <w:spacing w:after="0" w:line="240" w:lineRule="auto"/>
        <w:ind w:firstLine="709"/>
        <w:jc w:val="both"/>
        <w:rPr>
          <w:rFonts w:ascii="Times New Roman" w:eastAsia="Times New Roman" w:hAnsi="Times New Roman"/>
          <w:sz w:val="28"/>
          <w:szCs w:val="28"/>
        </w:rPr>
      </w:pPr>
      <w:r w:rsidRPr="00573781">
        <w:rPr>
          <w:rFonts w:ascii="Times New Roman" w:eastAsia="Times New Roman" w:hAnsi="Times New Roman"/>
          <w:sz w:val="28"/>
          <w:szCs w:val="28"/>
        </w:rPr>
        <w:t>– </w:t>
      </w:r>
      <w:r w:rsidR="008925FA" w:rsidRPr="00573781">
        <w:rPr>
          <w:rFonts w:ascii="Times New Roman" w:eastAsia="Times New Roman" w:hAnsi="Times New Roman"/>
          <w:sz w:val="28"/>
          <w:szCs w:val="28"/>
        </w:rPr>
        <w:t>повышение к 2030 году уровня удовлетворенности участников специальной военной операции условиями для медицинской реабилитации, переобучения и трудоустройства;</w:t>
      </w:r>
    </w:p>
    <w:p w:rsidR="00FC41F4" w:rsidRPr="00573781" w:rsidRDefault="00573781" w:rsidP="00573781">
      <w:pPr>
        <w:tabs>
          <w:tab w:val="left" w:pos="990"/>
        </w:tabs>
        <w:spacing w:after="0" w:line="240" w:lineRule="auto"/>
        <w:ind w:firstLine="709"/>
        <w:jc w:val="both"/>
        <w:rPr>
          <w:rFonts w:ascii="Times New Roman" w:eastAsia="Times New Roman" w:hAnsi="Times New Roman"/>
          <w:sz w:val="28"/>
          <w:szCs w:val="28"/>
        </w:rPr>
      </w:pPr>
      <w:r w:rsidRPr="00573781">
        <w:rPr>
          <w:rFonts w:ascii="Times New Roman" w:eastAsia="Times New Roman" w:hAnsi="Times New Roman"/>
          <w:sz w:val="28"/>
          <w:szCs w:val="28"/>
        </w:rPr>
        <w:t>– </w:t>
      </w:r>
      <w:r w:rsidR="008925FA" w:rsidRPr="00573781">
        <w:rPr>
          <w:rFonts w:ascii="Times New Roman" w:eastAsia="Times New Roman" w:hAnsi="Times New Roman"/>
          <w:sz w:val="28"/>
          <w:szCs w:val="28"/>
        </w:rPr>
        <w:t xml:space="preserve">снижение уровня бедности ниже 7 процентов к 2030 году </w:t>
      </w:r>
      <w:r w:rsidR="002D68E1" w:rsidRPr="00573781">
        <w:rPr>
          <w:rFonts w:ascii="Times New Roman" w:eastAsia="Times New Roman" w:hAnsi="Times New Roman"/>
          <w:sz w:val="28"/>
          <w:szCs w:val="28"/>
        </w:rPr>
        <w:br/>
      </w:r>
      <w:r w:rsidR="008925FA" w:rsidRPr="00573781">
        <w:rPr>
          <w:rFonts w:ascii="Times New Roman" w:eastAsia="Times New Roman" w:hAnsi="Times New Roman"/>
          <w:sz w:val="28"/>
          <w:szCs w:val="28"/>
        </w:rPr>
        <w:t>и ниже 5 процентов к 2036 году, в том числе уровня бедности многодетных семей до 12 процентов к 2030 году и до 8 процентов к 2036 году;</w:t>
      </w:r>
    </w:p>
    <w:p w:rsidR="00FC41F4" w:rsidRPr="00573781" w:rsidRDefault="00573781" w:rsidP="00573781">
      <w:pPr>
        <w:tabs>
          <w:tab w:val="left" w:pos="990"/>
        </w:tabs>
        <w:spacing w:after="0" w:line="240" w:lineRule="auto"/>
        <w:ind w:firstLine="709"/>
        <w:jc w:val="both"/>
        <w:rPr>
          <w:rFonts w:ascii="Times New Roman" w:eastAsia="Times New Roman" w:hAnsi="Times New Roman"/>
          <w:sz w:val="28"/>
          <w:szCs w:val="28"/>
        </w:rPr>
      </w:pPr>
      <w:r w:rsidRPr="00573781">
        <w:rPr>
          <w:rFonts w:ascii="Times New Roman" w:eastAsia="Times New Roman" w:hAnsi="Times New Roman"/>
          <w:sz w:val="28"/>
          <w:szCs w:val="28"/>
        </w:rPr>
        <w:lastRenderedPageBreak/>
        <w:t>– </w:t>
      </w:r>
      <w:r w:rsidR="008925FA" w:rsidRPr="00573781">
        <w:rPr>
          <w:rFonts w:ascii="Times New Roman" w:eastAsia="Times New Roman" w:hAnsi="Times New Roman"/>
          <w:sz w:val="28"/>
          <w:szCs w:val="28"/>
        </w:rPr>
        <w:t xml:space="preserve">снижение коэффициента Джини (индекс концентрации доходов) </w:t>
      </w:r>
      <w:r w:rsidR="002D68E1" w:rsidRPr="00573781">
        <w:rPr>
          <w:rFonts w:ascii="Times New Roman" w:eastAsia="Times New Roman" w:hAnsi="Times New Roman"/>
          <w:sz w:val="28"/>
          <w:szCs w:val="28"/>
        </w:rPr>
        <w:br/>
      </w:r>
      <w:r w:rsidR="008925FA" w:rsidRPr="00573781">
        <w:rPr>
          <w:rFonts w:ascii="Times New Roman" w:eastAsia="Times New Roman" w:hAnsi="Times New Roman"/>
          <w:sz w:val="28"/>
          <w:szCs w:val="28"/>
        </w:rPr>
        <w:t>до 0,37 к 2030 году и до 0,33 к 2036 году.</w:t>
      </w:r>
    </w:p>
    <w:p w:rsidR="00FC41F4" w:rsidRPr="00577593" w:rsidRDefault="009A1E5C" w:rsidP="00573781">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Исходя из национальных ориентиров, определены основные н</w:t>
      </w:r>
      <w:r w:rsidR="008925FA" w:rsidRPr="00577593">
        <w:rPr>
          <w:rFonts w:ascii="Times New Roman" w:eastAsia="Times New Roman" w:hAnsi="Times New Roman"/>
          <w:sz w:val="28"/>
          <w:szCs w:val="28"/>
        </w:rPr>
        <w:t>аправления реализации задачи «Повышение уровня и качества жизни населения»</w:t>
      </w:r>
      <w:r w:rsidR="000F08F3" w:rsidRPr="00577593">
        <w:rPr>
          <w:rFonts w:ascii="Times New Roman" w:eastAsia="Times New Roman" w:hAnsi="Times New Roman"/>
          <w:sz w:val="28"/>
          <w:szCs w:val="28"/>
        </w:rPr>
        <w:t xml:space="preserve"> в городе Барнауле</w:t>
      </w:r>
      <w:r w:rsidR="008925FA" w:rsidRPr="00577593">
        <w:rPr>
          <w:rFonts w:ascii="Times New Roman" w:eastAsia="Times New Roman" w:hAnsi="Times New Roman"/>
          <w:sz w:val="28"/>
          <w:szCs w:val="28"/>
        </w:rPr>
        <w:t>:</w:t>
      </w:r>
    </w:p>
    <w:p w:rsidR="00FC41F4" w:rsidRPr="00573781" w:rsidRDefault="00573781" w:rsidP="00573781">
      <w:pPr>
        <w:tabs>
          <w:tab w:val="left" w:pos="990"/>
        </w:tabs>
        <w:spacing w:after="0" w:line="240" w:lineRule="auto"/>
        <w:ind w:firstLine="709"/>
        <w:jc w:val="both"/>
        <w:rPr>
          <w:rFonts w:ascii="Times New Roman" w:eastAsia="Times New Roman" w:hAnsi="Times New Roman"/>
          <w:sz w:val="28"/>
          <w:szCs w:val="28"/>
        </w:rPr>
      </w:pPr>
      <w:r w:rsidRPr="00573781">
        <w:rPr>
          <w:rFonts w:ascii="Times New Roman" w:eastAsia="Times New Roman" w:hAnsi="Times New Roman"/>
          <w:sz w:val="28"/>
          <w:szCs w:val="28"/>
        </w:rPr>
        <w:t>– адресная социальная поддержка;</w:t>
      </w:r>
    </w:p>
    <w:p w:rsidR="00FC41F4" w:rsidRPr="00573781" w:rsidRDefault="00573781" w:rsidP="00573781">
      <w:pPr>
        <w:tabs>
          <w:tab w:val="left" w:pos="990"/>
        </w:tabs>
        <w:spacing w:after="0" w:line="240" w:lineRule="auto"/>
        <w:ind w:firstLine="709"/>
        <w:jc w:val="both"/>
        <w:rPr>
          <w:rFonts w:ascii="Times New Roman" w:eastAsia="Times New Roman" w:hAnsi="Times New Roman"/>
          <w:sz w:val="28"/>
          <w:szCs w:val="28"/>
        </w:rPr>
      </w:pPr>
      <w:r w:rsidRPr="00573781">
        <w:rPr>
          <w:rFonts w:ascii="Times New Roman" w:eastAsia="Times New Roman" w:hAnsi="Times New Roman"/>
          <w:sz w:val="28"/>
          <w:szCs w:val="28"/>
        </w:rPr>
        <w:t xml:space="preserve">– обеспечение инклюзивности для людей с </w:t>
      </w:r>
      <w:r w:rsidR="0000746E">
        <w:rPr>
          <w:rFonts w:ascii="Times New Roman" w:eastAsia="Times New Roman" w:hAnsi="Times New Roman"/>
          <w:sz w:val="28"/>
          <w:szCs w:val="28"/>
        </w:rPr>
        <w:t>ОВЗ</w:t>
      </w:r>
      <w:r w:rsidRPr="00573781">
        <w:rPr>
          <w:rFonts w:ascii="Times New Roman" w:eastAsia="Times New Roman" w:hAnsi="Times New Roman"/>
          <w:sz w:val="28"/>
          <w:szCs w:val="28"/>
        </w:rPr>
        <w:t xml:space="preserve"> и инвалидностью;</w:t>
      </w:r>
    </w:p>
    <w:p w:rsidR="00FC41F4" w:rsidRPr="00573781" w:rsidRDefault="00573781" w:rsidP="00573781">
      <w:pPr>
        <w:tabs>
          <w:tab w:val="left" w:pos="990"/>
        </w:tabs>
        <w:spacing w:after="0" w:line="240" w:lineRule="auto"/>
        <w:ind w:firstLine="709"/>
        <w:jc w:val="both"/>
        <w:rPr>
          <w:rFonts w:ascii="Times New Roman" w:eastAsia="Times New Roman" w:hAnsi="Times New Roman"/>
          <w:sz w:val="28"/>
          <w:szCs w:val="28"/>
        </w:rPr>
      </w:pPr>
      <w:r w:rsidRPr="00573781">
        <w:rPr>
          <w:rFonts w:ascii="Times New Roman" w:eastAsia="Times New Roman" w:hAnsi="Times New Roman"/>
          <w:sz w:val="28"/>
          <w:szCs w:val="28"/>
        </w:rPr>
        <w:t>– активизация социально-культурной жизни отдельных групп населения.</w:t>
      </w:r>
    </w:p>
    <w:p w:rsidR="00FC41F4" w:rsidRPr="00577593" w:rsidRDefault="008925FA" w:rsidP="008D738C">
      <w:pPr>
        <w:pStyle w:val="3"/>
        <w:spacing w:before="0" w:line="240" w:lineRule="auto"/>
        <w:ind w:firstLine="709"/>
        <w:jc w:val="both"/>
        <w:rPr>
          <w:rFonts w:ascii="Times New Roman" w:eastAsia="Times New Roman" w:hAnsi="Times New Roman"/>
          <w:color w:val="auto"/>
          <w:sz w:val="28"/>
          <w:szCs w:val="28"/>
        </w:rPr>
      </w:pPr>
      <w:bookmarkStart w:id="337" w:name="_Toc208496695"/>
      <w:bookmarkStart w:id="338" w:name="_Toc208668977"/>
      <w:bookmarkStart w:id="339" w:name="_Toc212804326"/>
      <w:r w:rsidRPr="00577593">
        <w:rPr>
          <w:rFonts w:ascii="Times New Roman" w:eastAsia="Times New Roman" w:hAnsi="Times New Roman"/>
          <w:color w:val="auto"/>
          <w:sz w:val="28"/>
          <w:szCs w:val="28"/>
        </w:rPr>
        <w:t>9.2.2.1</w:t>
      </w:r>
      <w:r w:rsidR="00573781">
        <w:rPr>
          <w:rFonts w:ascii="Times New Roman" w:eastAsia="Times New Roman" w:hAnsi="Times New Roman"/>
          <w:color w:val="auto"/>
          <w:sz w:val="28"/>
          <w:szCs w:val="28"/>
        </w:rPr>
        <w:t>.</w:t>
      </w:r>
      <w:r w:rsidRPr="00577593">
        <w:rPr>
          <w:rFonts w:ascii="Times New Roman" w:eastAsia="Times New Roman" w:hAnsi="Times New Roman"/>
          <w:color w:val="auto"/>
          <w:sz w:val="28"/>
          <w:szCs w:val="28"/>
        </w:rPr>
        <w:t xml:space="preserve"> Адресная социальная поддержка</w:t>
      </w:r>
      <w:bookmarkEnd w:id="337"/>
      <w:bookmarkEnd w:id="338"/>
      <w:bookmarkEnd w:id="339"/>
    </w:p>
    <w:p w:rsidR="00FC41F4" w:rsidRPr="00577593" w:rsidRDefault="008925FA" w:rsidP="008D738C">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Социальная политика </w:t>
      </w:r>
      <w:r w:rsidR="00573781">
        <w:rPr>
          <w:rFonts w:ascii="Times New Roman" w:eastAsia="Times New Roman" w:hAnsi="Times New Roman"/>
          <w:sz w:val="28"/>
          <w:szCs w:val="28"/>
        </w:rPr>
        <w:t xml:space="preserve">города </w:t>
      </w:r>
      <w:r w:rsidRPr="00577593">
        <w:rPr>
          <w:rFonts w:ascii="Times New Roman" w:eastAsia="Times New Roman" w:hAnsi="Times New Roman"/>
          <w:sz w:val="28"/>
          <w:szCs w:val="28"/>
        </w:rPr>
        <w:t>Барнаула должна дополнять меры поддержки федерального и краевого уровней, обеспечивая помощь наиболее уязвимым категориям горожан.</w:t>
      </w:r>
    </w:p>
    <w:p w:rsidR="00CE1A5A" w:rsidRPr="00CE1A5A" w:rsidRDefault="00CE1A5A" w:rsidP="00CE1A5A">
      <w:pPr>
        <w:spacing w:after="0" w:line="240" w:lineRule="auto"/>
        <w:ind w:firstLine="709"/>
        <w:jc w:val="both"/>
        <w:rPr>
          <w:rFonts w:ascii="Times New Roman" w:eastAsia="Times New Roman" w:hAnsi="Times New Roman"/>
          <w:sz w:val="28"/>
          <w:szCs w:val="28"/>
        </w:rPr>
      </w:pPr>
      <w:r w:rsidRPr="00CE1A5A">
        <w:rPr>
          <w:rFonts w:ascii="Times New Roman" w:eastAsia="Times New Roman" w:hAnsi="Times New Roman"/>
          <w:sz w:val="28"/>
          <w:szCs w:val="28"/>
        </w:rPr>
        <w:t xml:space="preserve">Планируется продолжить практику компенсации </w:t>
      </w:r>
      <w:r w:rsidR="00200597">
        <w:rPr>
          <w:rFonts w:ascii="Times New Roman" w:eastAsia="Times New Roman" w:hAnsi="Times New Roman"/>
          <w:sz w:val="28"/>
          <w:szCs w:val="28"/>
        </w:rPr>
        <w:t>отдельным категориям</w:t>
      </w:r>
      <w:r w:rsidRPr="00CE1A5A">
        <w:rPr>
          <w:rFonts w:ascii="Times New Roman" w:eastAsia="Times New Roman" w:hAnsi="Times New Roman"/>
          <w:sz w:val="28"/>
          <w:szCs w:val="28"/>
        </w:rPr>
        <w:t xml:space="preserve"> граждан расходов на оплату ЖКХ и уплату налога на имущество физических лиц.</w:t>
      </w:r>
    </w:p>
    <w:p w:rsidR="00FC41F4" w:rsidRPr="00577593" w:rsidRDefault="008925FA" w:rsidP="008D738C">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С учетом увеличения доли населения старшего возраста будет расти актуальность развития системы долговременного ухода для граждан пожилого возраста и инвалидов.</w:t>
      </w:r>
    </w:p>
    <w:p w:rsidR="00FC41F4" w:rsidRPr="00577593" w:rsidRDefault="008925FA" w:rsidP="008D738C">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Предполагается продолжить работу социального такси.</w:t>
      </w:r>
    </w:p>
    <w:p w:rsidR="00FC41F4" w:rsidRPr="00577593" w:rsidRDefault="008925FA" w:rsidP="008D738C">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В </w:t>
      </w:r>
      <w:r w:rsidR="00573781">
        <w:rPr>
          <w:rFonts w:ascii="Times New Roman" w:eastAsia="Times New Roman" w:hAnsi="Times New Roman"/>
          <w:sz w:val="28"/>
          <w:szCs w:val="28"/>
        </w:rPr>
        <w:t xml:space="preserve">городе </w:t>
      </w:r>
      <w:r w:rsidRPr="00577593">
        <w:rPr>
          <w:rFonts w:ascii="Times New Roman" w:eastAsia="Times New Roman" w:hAnsi="Times New Roman"/>
          <w:sz w:val="28"/>
          <w:szCs w:val="28"/>
        </w:rPr>
        <w:t>Барнауле будет обеспечен широкий спектр мер поддержки для участников специальной военной операции и их семей за счет средств федерального, краевого и городского бюджетов.</w:t>
      </w:r>
    </w:p>
    <w:p w:rsidR="00FC41F4" w:rsidRPr="00577593" w:rsidRDefault="008925FA" w:rsidP="008D738C">
      <w:pPr>
        <w:pStyle w:val="3"/>
        <w:spacing w:before="0" w:line="240" w:lineRule="auto"/>
        <w:ind w:firstLine="709"/>
        <w:jc w:val="both"/>
        <w:rPr>
          <w:rFonts w:ascii="Times New Roman" w:eastAsia="Times New Roman" w:hAnsi="Times New Roman"/>
          <w:color w:val="auto"/>
          <w:sz w:val="28"/>
          <w:szCs w:val="28"/>
        </w:rPr>
      </w:pPr>
      <w:bookmarkStart w:id="340" w:name="_Toc208496696"/>
      <w:bookmarkStart w:id="341" w:name="_Toc208668978"/>
      <w:bookmarkStart w:id="342" w:name="_Toc212804327"/>
      <w:r w:rsidRPr="00577593">
        <w:rPr>
          <w:rFonts w:ascii="Times New Roman" w:eastAsia="Times New Roman" w:hAnsi="Times New Roman"/>
          <w:color w:val="auto"/>
          <w:sz w:val="28"/>
          <w:szCs w:val="28"/>
        </w:rPr>
        <w:t>9.2.2.2</w:t>
      </w:r>
      <w:r w:rsidR="00573781">
        <w:rPr>
          <w:rFonts w:ascii="Times New Roman" w:eastAsia="Times New Roman" w:hAnsi="Times New Roman"/>
          <w:color w:val="auto"/>
          <w:sz w:val="28"/>
          <w:szCs w:val="28"/>
        </w:rPr>
        <w:t>.</w:t>
      </w:r>
      <w:r w:rsidRPr="00577593">
        <w:rPr>
          <w:rFonts w:ascii="Times New Roman" w:eastAsia="Times New Roman" w:hAnsi="Times New Roman"/>
          <w:color w:val="auto"/>
          <w:sz w:val="28"/>
          <w:szCs w:val="28"/>
        </w:rPr>
        <w:t xml:space="preserve"> Обеспечение инклюзивности для людей с ОВЗ и инвалидностью</w:t>
      </w:r>
      <w:bookmarkEnd w:id="340"/>
      <w:bookmarkEnd w:id="341"/>
      <w:bookmarkEnd w:id="342"/>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Необходимо продолжать создание в </w:t>
      </w:r>
      <w:r w:rsidR="00CE7D28">
        <w:rPr>
          <w:rFonts w:ascii="Times New Roman" w:eastAsia="Times New Roman" w:hAnsi="Times New Roman"/>
          <w:sz w:val="28"/>
          <w:szCs w:val="28"/>
        </w:rPr>
        <w:t>городе</w:t>
      </w:r>
      <w:r w:rsidRPr="00577593">
        <w:rPr>
          <w:rFonts w:ascii="Times New Roman" w:eastAsia="Times New Roman" w:hAnsi="Times New Roman"/>
          <w:sz w:val="28"/>
          <w:szCs w:val="28"/>
        </w:rPr>
        <w:t xml:space="preserve"> доступной среды </w:t>
      </w:r>
      <w:r w:rsidR="00D53DC9" w:rsidRPr="00577593">
        <w:rPr>
          <w:rFonts w:ascii="Times New Roman" w:eastAsia="Times New Roman" w:hAnsi="Times New Roman"/>
          <w:sz w:val="28"/>
          <w:szCs w:val="28"/>
        </w:rPr>
        <w:t>–</w:t>
      </w:r>
      <w:r w:rsidRPr="00577593">
        <w:rPr>
          <w:rFonts w:ascii="Times New Roman" w:eastAsia="Times New Roman" w:hAnsi="Times New Roman"/>
          <w:sz w:val="28"/>
          <w:szCs w:val="28"/>
        </w:rPr>
        <w:t xml:space="preserve"> муниципальные учреждения города, объекты социальной инфраструктуры должны оборудоваться и оснащаться специальными приспособлениями для свободного передвижения и доступа инвалидов и других маломобильных групп населения. Развитие безбарьерной среды должно быть приоритетом в мероприятиях по благоустройству города.</w:t>
      </w:r>
    </w:p>
    <w:p w:rsidR="00FC41F4" w:rsidRPr="00577593" w:rsidRDefault="008925FA" w:rsidP="008D738C">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В</w:t>
      </w:r>
      <w:r w:rsidR="00573781">
        <w:rPr>
          <w:rFonts w:ascii="Times New Roman" w:eastAsia="Times New Roman" w:hAnsi="Times New Roman"/>
          <w:sz w:val="28"/>
          <w:szCs w:val="28"/>
        </w:rPr>
        <w:t xml:space="preserve"> городе </w:t>
      </w:r>
      <w:r w:rsidRPr="00577593">
        <w:rPr>
          <w:rFonts w:ascii="Times New Roman" w:eastAsia="Times New Roman" w:hAnsi="Times New Roman"/>
          <w:sz w:val="28"/>
          <w:szCs w:val="28"/>
        </w:rPr>
        <w:t>Барнауле предполагается создать Центр адаптивной физкультуры и адаптивного спорта, предназначенный для занятий физической культурой и спортом людей с ограниченными возможностями здоровья, в том числе участников специальной военной операции.</w:t>
      </w:r>
    </w:p>
    <w:p w:rsidR="00FC41F4" w:rsidRPr="00577593" w:rsidRDefault="008925FA" w:rsidP="008D738C">
      <w:pPr>
        <w:pStyle w:val="3"/>
        <w:spacing w:before="0" w:line="240" w:lineRule="auto"/>
        <w:ind w:firstLine="709"/>
        <w:jc w:val="both"/>
        <w:rPr>
          <w:rFonts w:ascii="Times New Roman" w:eastAsia="Times New Roman" w:hAnsi="Times New Roman"/>
          <w:color w:val="auto"/>
          <w:sz w:val="28"/>
          <w:szCs w:val="28"/>
        </w:rPr>
      </w:pPr>
      <w:bookmarkStart w:id="343" w:name="_Toc208496697"/>
      <w:bookmarkStart w:id="344" w:name="_Toc208668979"/>
      <w:bookmarkStart w:id="345" w:name="_Toc212804328"/>
      <w:r w:rsidRPr="00577593">
        <w:rPr>
          <w:rFonts w:ascii="Times New Roman" w:eastAsia="Times New Roman" w:hAnsi="Times New Roman"/>
          <w:color w:val="auto"/>
          <w:sz w:val="28"/>
          <w:szCs w:val="28"/>
        </w:rPr>
        <w:t>9.2.2.3</w:t>
      </w:r>
      <w:r w:rsidR="00573781">
        <w:rPr>
          <w:rFonts w:ascii="Times New Roman" w:eastAsia="Times New Roman" w:hAnsi="Times New Roman"/>
          <w:color w:val="auto"/>
          <w:sz w:val="28"/>
          <w:szCs w:val="28"/>
        </w:rPr>
        <w:t>.</w:t>
      </w:r>
      <w:r w:rsidRPr="00577593">
        <w:rPr>
          <w:rFonts w:ascii="Times New Roman" w:eastAsia="Times New Roman" w:hAnsi="Times New Roman"/>
          <w:color w:val="auto"/>
          <w:sz w:val="28"/>
          <w:szCs w:val="28"/>
        </w:rPr>
        <w:t xml:space="preserve"> Активизация социально-культурной жизни отдельных групп населения</w:t>
      </w:r>
      <w:bookmarkEnd w:id="343"/>
      <w:bookmarkEnd w:id="344"/>
      <w:bookmarkEnd w:id="345"/>
    </w:p>
    <w:p w:rsidR="00FC41F4" w:rsidRPr="00577593" w:rsidRDefault="008925FA" w:rsidP="008D738C">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Для преодоления социальной разобщенности в обществе и активизации социально-культурной жизни отдельных категорий граждан планируется проводить общегородские мероприятия для пенсионеров, ветеранов, граждан с ограниченными возможностями здоровья, малообеспеченных и многодетных семей, других категорий населения, нуждающихся в социальной поддержке.</w:t>
      </w:r>
    </w:p>
    <w:p w:rsidR="001A58FE" w:rsidRPr="00577593" w:rsidRDefault="001A58FE" w:rsidP="008D738C">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Планируется повышать уровень доступности объектов и услуг для инвалидов и маломобильных групп населения в </w:t>
      </w:r>
      <w:r w:rsidR="00CE7D28">
        <w:rPr>
          <w:rFonts w:ascii="Times New Roman" w:hAnsi="Times New Roman"/>
          <w:sz w:val="28"/>
          <w:szCs w:val="28"/>
        </w:rPr>
        <w:t>городе Барнауле</w:t>
      </w:r>
      <w:r w:rsidRPr="00577593">
        <w:rPr>
          <w:rFonts w:ascii="Times New Roman" w:hAnsi="Times New Roman"/>
          <w:sz w:val="28"/>
          <w:szCs w:val="28"/>
        </w:rPr>
        <w:t xml:space="preserve"> за счет </w:t>
      </w:r>
      <w:r w:rsidRPr="00577593">
        <w:rPr>
          <w:rFonts w:ascii="Times New Roman" w:hAnsi="Times New Roman"/>
          <w:sz w:val="28"/>
          <w:szCs w:val="28"/>
        </w:rPr>
        <w:lastRenderedPageBreak/>
        <w:t>создания индивидуальных доступных маршрутов и сохранения активного образа жизни пожилых граждан.</w:t>
      </w:r>
    </w:p>
    <w:p w:rsidR="00FC41F4" w:rsidRPr="00577593" w:rsidRDefault="008925FA" w:rsidP="008D738C">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Для вовлечения в культурную жизнь людей старшего возраста, обеспечения содержательного досуга и поддержания высокого</w:t>
      </w:r>
      <w:r w:rsidR="00573781">
        <w:rPr>
          <w:rFonts w:ascii="Times New Roman" w:eastAsia="Times New Roman" w:hAnsi="Times New Roman"/>
          <w:sz w:val="28"/>
          <w:szCs w:val="28"/>
        </w:rPr>
        <w:t xml:space="preserve"> жизненного тонуса участников в городе </w:t>
      </w:r>
      <w:r w:rsidRPr="00577593">
        <w:rPr>
          <w:rFonts w:ascii="Times New Roman" w:eastAsia="Times New Roman" w:hAnsi="Times New Roman"/>
          <w:sz w:val="28"/>
          <w:szCs w:val="28"/>
        </w:rPr>
        <w:t>Барнауле планируется запустить программу «активного долголетия» с учетом опыта Москвы, Московской области, Казани, Новосибирской области, других муниципальных образований и субъектов РФ.</w:t>
      </w:r>
    </w:p>
    <w:p w:rsidR="00FC41F4" w:rsidRPr="00577593" w:rsidRDefault="008925FA" w:rsidP="008D738C">
      <w:pPr>
        <w:pStyle w:val="3"/>
        <w:spacing w:before="0" w:line="240" w:lineRule="auto"/>
        <w:ind w:firstLine="709"/>
        <w:jc w:val="both"/>
        <w:rPr>
          <w:rFonts w:ascii="Times New Roman" w:hAnsi="Times New Roman"/>
          <w:b/>
          <w:color w:val="auto"/>
          <w:sz w:val="28"/>
          <w:szCs w:val="28"/>
        </w:rPr>
      </w:pPr>
      <w:bookmarkStart w:id="346" w:name="_Toc204923054"/>
      <w:bookmarkStart w:id="347" w:name="_Toc204933388"/>
      <w:bookmarkStart w:id="348" w:name="_Toc208496698"/>
      <w:bookmarkStart w:id="349" w:name="_Toc208668980"/>
      <w:bookmarkStart w:id="350" w:name="_Toc212804329"/>
      <w:r w:rsidRPr="00577593">
        <w:rPr>
          <w:rFonts w:ascii="Times New Roman" w:eastAsia="Times New Roman" w:hAnsi="Times New Roman"/>
          <w:b/>
          <w:color w:val="auto"/>
          <w:sz w:val="28"/>
          <w:szCs w:val="28"/>
        </w:rPr>
        <w:t>9.2.3</w:t>
      </w:r>
      <w:r w:rsidR="00573781">
        <w:rPr>
          <w:rFonts w:ascii="Times New Roman" w:eastAsia="Times New Roman" w:hAnsi="Times New Roman"/>
          <w:b/>
          <w:color w:val="auto"/>
          <w:sz w:val="28"/>
          <w:szCs w:val="28"/>
        </w:rPr>
        <w:t>.</w:t>
      </w:r>
      <w:r w:rsidRPr="00577593">
        <w:rPr>
          <w:rFonts w:ascii="Times New Roman" w:eastAsia="Times New Roman" w:hAnsi="Times New Roman"/>
          <w:b/>
          <w:color w:val="auto"/>
          <w:sz w:val="28"/>
          <w:szCs w:val="28"/>
        </w:rPr>
        <w:t xml:space="preserve"> Развитие образования и науки</w:t>
      </w:r>
      <w:bookmarkEnd w:id="346"/>
      <w:bookmarkEnd w:id="347"/>
      <w:bookmarkEnd w:id="348"/>
      <w:bookmarkEnd w:id="349"/>
      <w:bookmarkEnd w:id="350"/>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В рамках национальных целей развития Российской Федерации </w:t>
      </w:r>
      <w:r w:rsidR="002D68E1" w:rsidRPr="00577593">
        <w:rPr>
          <w:rFonts w:ascii="Times New Roman" w:eastAsia="Times New Roman" w:hAnsi="Times New Roman"/>
          <w:sz w:val="28"/>
          <w:szCs w:val="28"/>
        </w:rPr>
        <w:br/>
      </w:r>
      <w:r w:rsidRPr="00577593">
        <w:rPr>
          <w:rFonts w:ascii="Times New Roman" w:eastAsia="Times New Roman" w:hAnsi="Times New Roman"/>
          <w:sz w:val="28"/>
          <w:szCs w:val="28"/>
        </w:rPr>
        <w:t>на период до 2030 года и на перспективу до 2036 года «Реализация потенциала каждого человека, развитие его талантов, воспитание патриотичной и социально ответственной личности» и «Комфортная и безопасная среда для жизни» определены следующие целевые показатели и задачи в области образования:</w:t>
      </w:r>
    </w:p>
    <w:p w:rsidR="00FC41F4" w:rsidRPr="00573781" w:rsidRDefault="00573781" w:rsidP="00573781">
      <w:pPr>
        <w:tabs>
          <w:tab w:val="left" w:pos="990"/>
        </w:tabs>
        <w:spacing w:after="0" w:line="240" w:lineRule="auto"/>
        <w:ind w:firstLine="709"/>
        <w:jc w:val="both"/>
        <w:rPr>
          <w:rFonts w:ascii="Times New Roman" w:eastAsia="Times New Roman" w:hAnsi="Times New Roman"/>
          <w:sz w:val="28"/>
          <w:szCs w:val="28"/>
        </w:rPr>
      </w:pPr>
      <w:r w:rsidRPr="00573781">
        <w:rPr>
          <w:rFonts w:ascii="Times New Roman" w:eastAsia="Times New Roman" w:hAnsi="Times New Roman"/>
          <w:sz w:val="28"/>
          <w:szCs w:val="28"/>
        </w:rPr>
        <w:t>– </w:t>
      </w:r>
      <w:r w:rsidR="008925FA" w:rsidRPr="00573781">
        <w:rPr>
          <w:rFonts w:ascii="Times New Roman" w:eastAsia="Times New Roman" w:hAnsi="Times New Roman"/>
          <w:sz w:val="28"/>
          <w:szCs w:val="28"/>
        </w:rPr>
        <w:t>обеспечение к 2030 году функционирования эффективной системы выявления, поддержки и развития способностей и талантов детей и молодежи, основанной на принципах ответственности, справедливости, всеобщности и направленной на самоопределение и профессиональную ориентацию 100 процентов обучающихся;</w:t>
      </w:r>
    </w:p>
    <w:p w:rsidR="00FC41F4" w:rsidRPr="00577593" w:rsidRDefault="00573781" w:rsidP="00573781">
      <w:pPr>
        <w:pStyle w:val="af5"/>
        <w:tabs>
          <w:tab w:val="left" w:pos="990"/>
        </w:tabs>
        <w:spacing w:after="0" w:line="240" w:lineRule="auto"/>
        <w:ind w:left="0" w:firstLine="709"/>
        <w:jc w:val="both"/>
        <w:rPr>
          <w:rFonts w:ascii="Times New Roman" w:eastAsia="Times New Roman" w:hAnsi="Times New Roman"/>
          <w:sz w:val="28"/>
          <w:szCs w:val="28"/>
        </w:rPr>
      </w:pPr>
      <w:r w:rsidRPr="00573781">
        <w:rPr>
          <w:rFonts w:ascii="Times New Roman" w:eastAsia="Times New Roman" w:hAnsi="Times New Roman"/>
          <w:sz w:val="28"/>
          <w:szCs w:val="28"/>
        </w:rPr>
        <w:t>– </w:t>
      </w:r>
      <w:r>
        <w:rPr>
          <w:rFonts w:ascii="Times New Roman" w:eastAsia="Times New Roman" w:hAnsi="Times New Roman"/>
          <w:sz w:val="28"/>
          <w:szCs w:val="28"/>
        </w:rPr>
        <w:t>ф</w:t>
      </w:r>
      <w:r w:rsidR="008925FA" w:rsidRPr="00577593">
        <w:rPr>
          <w:rFonts w:ascii="Times New Roman" w:eastAsia="Times New Roman" w:hAnsi="Times New Roman"/>
          <w:sz w:val="28"/>
          <w:szCs w:val="28"/>
        </w:rPr>
        <w:t>ормирование к 2030 году современной системы профессионального развития педагогических работников для всех уровней образования, предусматривающей ежегодное дополнительное профессиональное образование на основе актуализированных профессиональных стандартов не менее чем 10 процентов педагогических работников на базе ведущих образовательных организаций высшего образования и научных организаций;</w:t>
      </w:r>
    </w:p>
    <w:p w:rsidR="00FC41F4" w:rsidRPr="00573781" w:rsidRDefault="00573781" w:rsidP="00573781">
      <w:pPr>
        <w:tabs>
          <w:tab w:val="left" w:pos="990"/>
        </w:tabs>
        <w:spacing w:after="0" w:line="240" w:lineRule="auto"/>
        <w:ind w:firstLine="709"/>
        <w:jc w:val="both"/>
        <w:rPr>
          <w:rFonts w:ascii="Times New Roman" w:eastAsia="Times New Roman" w:hAnsi="Times New Roman"/>
          <w:sz w:val="28"/>
          <w:szCs w:val="28"/>
        </w:rPr>
      </w:pPr>
      <w:r w:rsidRPr="00573781">
        <w:rPr>
          <w:rFonts w:ascii="Times New Roman" w:eastAsia="Times New Roman" w:hAnsi="Times New Roman"/>
          <w:sz w:val="28"/>
          <w:szCs w:val="28"/>
        </w:rPr>
        <w:t>– </w:t>
      </w:r>
      <w:r w:rsidR="008925FA" w:rsidRPr="00573781">
        <w:rPr>
          <w:rFonts w:ascii="Times New Roman" w:eastAsia="Times New Roman" w:hAnsi="Times New Roman"/>
          <w:sz w:val="28"/>
          <w:szCs w:val="28"/>
        </w:rPr>
        <w:t>завершение до конца 2030 года капитального ремонта зданий дошкольных образовательных организаций и общеобразовательных организаций, признанных нуждающимися в проведении такого ремонта по состоянию на 1 января 2025 г</w:t>
      </w:r>
      <w:r w:rsidR="005504B5" w:rsidRPr="00573781">
        <w:rPr>
          <w:rFonts w:ascii="Times New Roman" w:eastAsia="Times New Roman" w:hAnsi="Times New Roman"/>
          <w:sz w:val="28"/>
          <w:szCs w:val="28"/>
        </w:rPr>
        <w:t>ода</w:t>
      </w:r>
      <w:r w:rsidR="008925FA" w:rsidRPr="00573781">
        <w:rPr>
          <w:rFonts w:ascii="Times New Roman" w:eastAsia="Times New Roman" w:hAnsi="Times New Roman"/>
          <w:sz w:val="28"/>
          <w:szCs w:val="28"/>
        </w:rPr>
        <w:t>.</w:t>
      </w:r>
    </w:p>
    <w:p w:rsidR="00FC41F4" w:rsidRPr="00577593" w:rsidRDefault="008925FA" w:rsidP="00573781">
      <w:pP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Направления реализации задачи «Развитие образовани</w:t>
      </w:r>
      <w:r w:rsidR="002A0B2C" w:rsidRPr="00577593">
        <w:rPr>
          <w:rFonts w:ascii="Times New Roman" w:eastAsia="Times New Roman" w:hAnsi="Times New Roman"/>
          <w:sz w:val="28"/>
          <w:szCs w:val="28"/>
        </w:rPr>
        <w:t>я</w:t>
      </w:r>
      <w:r w:rsidRPr="00577593">
        <w:rPr>
          <w:rFonts w:ascii="Times New Roman" w:eastAsia="Times New Roman" w:hAnsi="Times New Roman"/>
          <w:sz w:val="28"/>
          <w:szCs w:val="28"/>
        </w:rPr>
        <w:t xml:space="preserve"> и науки»</w:t>
      </w:r>
      <w:r w:rsidR="00491C2F" w:rsidRPr="00577593">
        <w:rPr>
          <w:rFonts w:ascii="Times New Roman" w:eastAsia="Times New Roman" w:hAnsi="Times New Roman"/>
          <w:sz w:val="28"/>
          <w:szCs w:val="28"/>
        </w:rPr>
        <w:t xml:space="preserve"> </w:t>
      </w:r>
      <w:r w:rsidR="00573781">
        <w:rPr>
          <w:rFonts w:ascii="Times New Roman" w:eastAsia="Times New Roman" w:hAnsi="Times New Roman"/>
          <w:sz w:val="28"/>
          <w:szCs w:val="28"/>
        </w:rPr>
        <w:br/>
      </w:r>
      <w:r w:rsidR="00491C2F" w:rsidRPr="00577593">
        <w:rPr>
          <w:rFonts w:ascii="Times New Roman" w:eastAsia="Times New Roman" w:hAnsi="Times New Roman"/>
          <w:sz w:val="28"/>
          <w:szCs w:val="28"/>
        </w:rPr>
        <w:t>в городе Барнауле</w:t>
      </w:r>
      <w:r w:rsidRPr="00577593">
        <w:rPr>
          <w:rFonts w:ascii="Times New Roman" w:eastAsia="Times New Roman" w:hAnsi="Times New Roman"/>
          <w:sz w:val="28"/>
          <w:szCs w:val="28"/>
        </w:rPr>
        <w:t>:</w:t>
      </w:r>
    </w:p>
    <w:p w:rsidR="00FC41F4" w:rsidRPr="00573781" w:rsidRDefault="00573781" w:rsidP="00573781">
      <w:pPr>
        <w:tabs>
          <w:tab w:val="left" w:pos="990"/>
        </w:tabs>
        <w:spacing w:after="0" w:line="240" w:lineRule="auto"/>
        <w:ind w:firstLine="709"/>
        <w:jc w:val="both"/>
        <w:rPr>
          <w:rFonts w:ascii="Times New Roman" w:eastAsia="Times New Roman" w:hAnsi="Times New Roman"/>
          <w:sz w:val="28"/>
          <w:szCs w:val="28"/>
        </w:rPr>
      </w:pPr>
      <w:r w:rsidRPr="00573781">
        <w:rPr>
          <w:rFonts w:ascii="Times New Roman" w:eastAsia="Times New Roman" w:hAnsi="Times New Roman"/>
          <w:sz w:val="28"/>
          <w:szCs w:val="28"/>
        </w:rPr>
        <w:t>– </w:t>
      </w:r>
      <w:r>
        <w:rPr>
          <w:rFonts w:ascii="Times New Roman" w:eastAsia="Times New Roman" w:hAnsi="Times New Roman"/>
          <w:sz w:val="28"/>
          <w:szCs w:val="28"/>
        </w:rPr>
        <w:t>п</w:t>
      </w:r>
      <w:r w:rsidR="008925FA" w:rsidRPr="00573781">
        <w:rPr>
          <w:rFonts w:ascii="Times New Roman" w:eastAsia="Times New Roman" w:hAnsi="Times New Roman"/>
          <w:sz w:val="28"/>
          <w:szCs w:val="28"/>
        </w:rPr>
        <w:t>овышение доступности и качества дошкольного и общего образования;</w:t>
      </w:r>
    </w:p>
    <w:p w:rsidR="00FC41F4" w:rsidRPr="00573781" w:rsidRDefault="00573781" w:rsidP="00573781">
      <w:pPr>
        <w:tabs>
          <w:tab w:val="left" w:pos="990"/>
        </w:tabs>
        <w:spacing w:after="0" w:line="240" w:lineRule="auto"/>
        <w:ind w:firstLine="709"/>
        <w:jc w:val="both"/>
        <w:rPr>
          <w:rFonts w:ascii="Times New Roman" w:eastAsia="Times New Roman" w:hAnsi="Times New Roman"/>
          <w:sz w:val="28"/>
          <w:szCs w:val="28"/>
        </w:rPr>
      </w:pPr>
      <w:r w:rsidRPr="00573781">
        <w:rPr>
          <w:rFonts w:ascii="Times New Roman" w:eastAsia="Times New Roman" w:hAnsi="Times New Roman"/>
          <w:sz w:val="28"/>
          <w:szCs w:val="28"/>
        </w:rPr>
        <w:t>– </w:t>
      </w:r>
      <w:r>
        <w:rPr>
          <w:rFonts w:ascii="Times New Roman" w:eastAsia="Times New Roman" w:hAnsi="Times New Roman"/>
          <w:sz w:val="28"/>
          <w:szCs w:val="28"/>
        </w:rPr>
        <w:t>р</w:t>
      </w:r>
      <w:r w:rsidR="008925FA" w:rsidRPr="00573781">
        <w:rPr>
          <w:rFonts w:ascii="Times New Roman" w:eastAsia="Times New Roman" w:hAnsi="Times New Roman"/>
          <w:sz w:val="28"/>
          <w:szCs w:val="28"/>
        </w:rPr>
        <w:t>азвитие дополнительного образования и работы с талантливыми детьми;</w:t>
      </w:r>
    </w:p>
    <w:p w:rsidR="00FC41F4" w:rsidRPr="00573781" w:rsidRDefault="00573781" w:rsidP="00573781">
      <w:pPr>
        <w:tabs>
          <w:tab w:val="left" w:pos="990"/>
        </w:tabs>
        <w:spacing w:after="0" w:line="240" w:lineRule="auto"/>
        <w:ind w:left="720"/>
        <w:jc w:val="both"/>
        <w:rPr>
          <w:rFonts w:ascii="Times New Roman" w:eastAsia="Times New Roman" w:hAnsi="Times New Roman"/>
          <w:sz w:val="28"/>
          <w:szCs w:val="28"/>
        </w:rPr>
      </w:pPr>
      <w:r w:rsidRPr="00573781">
        <w:rPr>
          <w:rFonts w:ascii="Times New Roman" w:eastAsia="Times New Roman" w:hAnsi="Times New Roman"/>
          <w:sz w:val="28"/>
          <w:szCs w:val="28"/>
        </w:rPr>
        <w:t>– </w:t>
      </w:r>
      <w:r>
        <w:rPr>
          <w:rFonts w:ascii="Times New Roman" w:eastAsia="Times New Roman" w:hAnsi="Times New Roman"/>
          <w:sz w:val="28"/>
          <w:szCs w:val="28"/>
        </w:rPr>
        <w:t>к</w:t>
      </w:r>
      <w:r w:rsidR="008925FA" w:rsidRPr="00573781">
        <w:rPr>
          <w:rFonts w:ascii="Times New Roman" w:eastAsia="Times New Roman" w:hAnsi="Times New Roman"/>
          <w:sz w:val="28"/>
          <w:szCs w:val="28"/>
        </w:rPr>
        <w:t>адровое обеспечение сферы образования.</w:t>
      </w:r>
    </w:p>
    <w:p w:rsidR="00FC41F4" w:rsidRPr="00577593" w:rsidRDefault="008925FA" w:rsidP="008D738C">
      <w:pPr>
        <w:pStyle w:val="3"/>
        <w:spacing w:before="0" w:line="240" w:lineRule="auto"/>
        <w:ind w:firstLine="709"/>
        <w:jc w:val="both"/>
        <w:rPr>
          <w:rFonts w:ascii="Times New Roman" w:eastAsia="Times New Roman" w:hAnsi="Times New Roman"/>
          <w:color w:val="auto"/>
          <w:sz w:val="28"/>
          <w:szCs w:val="28"/>
        </w:rPr>
      </w:pPr>
      <w:bookmarkStart w:id="351" w:name="_Toc204923055"/>
      <w:bookmarkStart w:id="352" w:name="_Toc204933389"/>
      <w:bookmarkStart w:id="353" w:name="_Toc208496699"/>
      <w:bookmarkStart w:id="354" w:name="_Toc208668981"/>
      <w:bookmarkStart w:id="355" w:name="_Toc212804330"/>
      <w:r w:rsidRPr="00577593">
        <w:rPr>
          <w:rFonts w:ascii="Times New Roman" w:eastAsia="Times New Roman" w:hAnsi="Times New Roman"/>
          <w:color w:val="auto"/>
          <w:sz w:val="28"/>
          <w:szCs w:val="28"/>
        </w:rPr>
        <w:t>9.2.3.1</w:t>
      </w:r>
      <w:r w:rsidR="004700CB">
        <w:rPr>
          <w:rFonts w:ascii="Times New Roman" w:eastAsia="Times New Roman" w:hAnsi="Times New Roman"/>
          <w:color w:val="auto"/>
          <w:sz w:val="28"/>
          <w:szCs w:val="28"/>
        </w:rPr>
        <w:t>.</w:t>
      </w:r>
      <w:r w:rsidRPr="00577593">
        <w:rPr>
          <w:rFonts w:ascii="Times New Roman" w:eastAsia="Times New Roman" w:hAnsi="Times New Roman"/>
          <w:color w:val="auto"/>
          <w:sz w:val="28"/>
          <w:szCs w:val="28"/>
        </w:rPr>
        <w:t xml:space="preserve"> Повышение доступности и качества дошкольного и общего образования</w:t>
      </w:r>
      <w:bookmarkEnd w:id="351"/>
      <w:bookmarkEnd w:id="352"/>
      <w:bookmarkEnd w:id="353"/>
      <w:bookmarkEnd w:id="354"/>
      <w:bookmarkEnd w:id="355"/>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Должен быть сохранен 100-процентный охват детей дошкольного возраста (от</w:t>
      </w:r>
      <w:r w:rsidR="006002EE" w:rsidRPr="00577593">
        <w:rPr>
          <w:rFonts w:ascii="Times New Roman" w:eastAsia="Times New Roman" w:hAnsi="Times New Roman"/>
          <w:sz w:val="28"/>
          <w:szCs w:val="28"/>
        </w:rPr>
        <w:t> </w:t>
      </w:r>
      <w:r w:rsidRPr="00577593">
        <w:rPr>
          <w:rFonts w:ascii="Times New Roman" w:eastAsia="Times New Roman" w:hAnsi="Times New Roman"/>
          <w:sz w:val="28"/>
          <w:szCs w:val="28"/>
        </w:rPr>
        <w:t>2</w:t>
      </w:r>
      <w:r w:rsidR="006002EE" w:rsidRPr="00577593">
        <w:rPr>
          <w:rFonts w:ascii="Times New Roman" w:eastAsia="Times New Roman" w:hAnsi="Times New Roman"/>
          <w:sz w:val="28"/>
          <w:szCs w:val="28"/>
        </w:rPr>
        <w:t> </w:t>
      </w:r>
      <w:r w:rsidRPr="00577593">
        <w:rPr>
          <w:rFonts w:ascii="Times New Roman" w:eastAsia="Times New Roman" w:hAnsi="Times New Roman"/>
          <w:sz w:val="28"/>
          <w:szCs w:val="28"/>
        </w:rPr>
        <w:t>месяцев до 7 лет) всеми формами дошкольного образования. Для этого необходимо продолжать капитальный ремонт зданий дошкольных образовательных организаций, строительство детских садов в районах новой жилищной застройки.</w:t>
      </w:r>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lastRenderedPageBreak/>
        <w:t>Для обеспечения доступности школьного образования планируется продолжать строительство новых школ. Будет построена средняя школа в квартале 2033 города Барнаула. Следует модернизировать инфраструктуру общеобразовательных организаций, направленную на обеспечение современных условий обучения.</w:t>
      </w:r>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В целях повышения доступности образования продолжит</w:t>
      </w:r>
      <w:r w:rsidR="0041780B" w:rsidRPr="00577593">
        <w:rPr>
          <w:rFonts w:ascii="Times New Roman" w:eastAsia="Times New Roman" w:hAnsi="Times New Roman"/>
          <w:sz w:val="28"/>
          <w:szCs w:val="28"/>
        </w:rPr>
        <w:t>ся</w:t>
      </w:r>
      <w:r w:rsidRPr="00577593">
        <w:rPr>
          <w:rFonts w:ascii="Times New Roman" w:eastAsia="Times New Roman" w:hAnsi="Times New Roman"/>
          <w:sz w:val="28"/>
          <w:szCs w:val="28"/>
        </w:rPr>
        <w:t xml:space="preserve"> создание условий в</w:t>
      </w:r>
      <w:r w:rsidR="004700CB">
        <w:rPr>
          <w:rFonts w:ascii="Times New Roman" w:eastAsia="Times New Roman" w:hAnsi="Times New Roman"/>
          <w:sz w:val="28"/>
          <w:szCs w:val="28"/>
        </w:rPr>
        <w:t xml:space="preserve"> </w:t>
      </w:r>
      <w:r w:rsidRPr="00577593">
        <w:rPr>
          <w:rFonts w:ascii="Times New Roman" w:eastAsia="Times New Roman" w:hAnsi="Times New Roman"/>
          <w:sz w:val="28"/>
          <w:szCs w:val="28"/>
        </w:rPr>
        <w:t xml:space="preserve">общеобразовательных организациях для обучения лиц </w:t>
      </w:r>
      <w:r w:rsidR="00936001">
        <w:rPr>
          <w:rFonts w:ascii="Times New Roman" w:eastAsia="Times New Roman" w:hAnsi="Times New Roman"/>
          <w:sz w:val="28"/>
          <w:szCs w:val="28"/>
        </w:rPr>
        <w:t xml:space="preserve">                   </w:t>
      </w:r>
      <w:r w:rsidRPr="00577593">
        <w:rPr>
          <w:rFonts w:ascii="Times New Roman" w:eastAsia="Times New Roman" w:hAnsi="Times New Roman"/>
          <w:sz w:val="28"/>
          <w:szCs w:val="28"/>
        </w:rPr>
        <w:t>с ограниченными возможностями здоровья.</w:t>
      </w:r>
    </w:p>
    <w:p w:rsidR="00FC41F4" w:rsidRPr="00577593" w:rsidRDefault="008925FA" w:rsidP="008D738C">
      <w:pPr>
        <w:pStyle w:val="3"/>
        <w:spacing w:before="0" w:line="240" w:lineRule="auto"/>
        <w:ind w:firstLine="709"/>
        <w:jc w:val="both"/>
        <w:rPr>
          <w:rFonts w:ascii="Times New Roman" w:eastAsia="Times New Roman" w:hAnsi="Times New Roman"/>
          <w:color w:val="auto"/>
          <w:sz w:val="28"/>
          <w:szCs w:val="28"/>
        </w:rPr>
      </w:pPr>
      <w:bookmarkStart w:id="356" w:name="_Toc208496700"/>
      <w:bookmarkStart w:id="357" w:name="_Toc208668982"/>
      <w:bookmarkStart w:id="358" w:name="_Toc212804331"/>
      <w:r w:rsidRPr="00577593">
        <w:rPr>
          <w:rFonts w:ascii="Times New Roman" w:eastAsia="Times New Roman" w:hAnsi="Times New Roman"/>
          <w:color w:val="auto"/>
          <w:sz w:val="28"/>
          <w:szCs w:val="28"/>
        </w:rPr>
        <w:t>9.2.3.2</w:t>
      </w:r>
      <w:r w:rsidR="004700CB">
        <w:rPr>
          <w:rFonts w:ascii="Times New Roman" w:eastAsia="Times New Roman" w:hAnsi="Times New Roman"/>
          <w:color w:val="auto"/>
          <w:sz w:val="28"/>
          <w:szCs w:val="28"/>
        </w:rPr>
        <w:t>.</w:t>
      </w:r>
      <w:r w:rsidRPr="00577593">
        <w:rPr>
          <w:rFonts w:ascii="Times New Roman" w:eastAsia="Times New Roman" w:hAnsi="Times New Roman"/>
          <w:color w:val="auto"/>
          <w:sz w:val="28"/>
          <w:szCs w:val="28"/>
        </w:rPr>
        <w:t xml:space="preserve"> Развитие дополнительного образования и работы с талантливыми детьми</w:t>
      </w:r>
      <w:bookmarkEnd w:id="356"/>
      <w:bookmarkEnd w:id="357"/>
      <w:bookmarkEnd w:id="358"/>
    </w:p>
    <w:p w:rsidR="00FC41F4" w:rsidRPr="00577593" w:rsidRDefault="008925FA" w:rsidP="008D738C">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В общеобразовательных организациях будет осуществляться профессиональная ориентация на основе Единой модели профориентации для учащихся 6-11-х классов, направленной на формирование готовности к профессиональному самоопределению с учетом развития современных производств, специфики регионального рынка труда.</w:t>
      </w:r>
    </w:p>
    <w:p w:rsidR="00FC41F4" w:rsidRPr="00577593" w:rsidRDefault="008925FA" w:rsidP="008D738C">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Необходимо продолжить развитие системы дополнительного образования, для увеличения охвата детей в возрасте от 5 до 18 лет дополнительными общеобразовательными программами следует продолжать практику предоставления услуг дополнительного образования на базе недозагруженных школ. Предполагается расширение сети дополнительного образования.</w:t>
      </w:r>
    </w:p>
    <w:p w:rsidR="00FC41F4" w:rsidRPr="00577593" w:rsidRDefault="008925FA" w:rsidP="008D738C">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Развитие системы дополнительного образования должно осуществляться с учетом специфики кадровой потребности ведущих промышленных предприятий </w:t>
      </w:r>
      <w:r w:rsidR="00CE7D28">
        <w:rPr>
          <w:rFonts w:ascii="Times New Roman" w:eastAsia="Times New Roman" w:hAnsi="Times New Roman"/>
          <w:sz w:val="28"/>
          <w:szCs w:val="28"/>
        </w:rPr>
        <w:t xml:space="preserve">города </w:t>
      </w:r>
      <w:r w:rsidRPr="00577593">
        <w:rPr>
          <w:rFonts w:ascii="Times New Roman" w:eastAsia="Times New Roman" w:hAnsi="Times New Roman"/>
          <w:sz w:val="28"/>
          <w:szCs w:val="28"/>
        </w:rPr>
        <w:t>Барнаула в областях биологии, химии и инженерии. Изучение запросов и инновационных проектов для формирования современной повестки дополнительного научного образования подразумевает взаимодействие с промышленным сообществом города. Преподавательский состав программ дополнительного образования должен регулярно участвовать в программах повышения квалификации и обмена опытом, включая кружковое движение Национальной технологической инициативы, курсы ТРИЗ-педагогики (теория решения изобретательских задач) и курсы Университета 2035.</w:t>
      </w:r>
    </w:p>
    <w:p w:rsidR="00FC41F4" w:rsidRPr="00577593" w:rsidRDefault="008925FA" w:rsidP="008D738C">
      <w:pPr>
        <w:pStyle w:val="3"/>
        <w:spacing w:before="0" w:line="240" w:lineRule="auto"/>
        <w:ind w:firstLine="709"/>
        <w:jc w:val="both"/>
        <w:rPr>
          <w:rFonts w:ascii="Times New Roman" w:eastAsia="Times New Roman" w:hAnsi="Times New Roman"/>
          <w:color w:val="auto"/>
          <w:sz w:val="28"/>
          <w:szCs w:val="28"/>
        </w:rPr>
      </w:pPr>
      <w:bookmarkStart w:id="359" w:name="_Toc204923056"/>
      <w:bookmarkStart w:id="360" w:name="_Toc204933390"/>
      <w:bookmarkStart w:id="361" w:name="_Toc208496701"/>
      <w:bookmarkStart w:id="362" w:name="_Toc208668983"/>
      <w:bookmarkStart w:id="363" w:name="_Toc212804332"/>
      <w:r w:rsidRPr="00577593">
        <w:rPr>
          <w:rFonts w:ascii="Times New Roman" w:eastAsia="Times New Roman" w:hAnsi="Times New Roman"/>
          <w:color w:val="auto"/>
          <w:sz w:val="28"/>
          <w:szCs w:val="28"/>
        </w:rPr>
        <w:t>9.2.3.3</w:t>
      </w:r>
      <w:r w:rsidR="004700CB">
        <w:rPr>
          <w:rFonts w:ascii="Times New Roman" w:eastAsia="Times New Roman" w:hAnsi="Times New Roman"/>
          <w:color w:val="auto"/>
          <w:sz w:val="28"/>
          <w:szCs w:val="28"/>
        </w:rPr>
        <w:t>.</w:t>
      </w:r>
      <w:r w:rsidRPr="00577593">
        <w:rPr>
          <w:rFonts w:ascii="Times New Roman" w:eastAsia="Times New Roman" w:hAnsi="Times New Roman"/>
          <w:color w:val="auto"/>
          <w:sz w:val="28"/>
          <w:szCs w:val="28"/>
        </w:rPr>
        <w:t xml:space="preserve"> Кадровое обеспечение сферы образования</w:t>
      </w:r>
      <w:bookmarkEnd w:id="359"/>
      <w:bookmarkEnd w:id="360"/>
      <w:bookmarkEnd w:id="361"/>
      <w:bookmarkEnd w:id="362"/>
      <w:bookmarkEnd w:id="363"/>
    </w:p>
    <w:p w:rsidR="00FC41F4" w:rsidRPr="00577593" w:rsidRDefault="008925FA" w:rsidP="008D738C">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Планируется обеспечивать повышение квалификации педагогических работников. Предполагается продолжить практику муниципальной поддержки молодых педагогов: действие повышающих коэффициентов в рамках специальной части фонда оплаты труда, закрепление наставников, участие в конкурсах профессионального мастерства, в том числе в номинациях для молодых специалистов.</w:t>
      </w:r>
    </w:p>
    <w:p w:rsidR="00FC41F4" w:rsidRPr="00577593" w:rsidRDefault="008925FA" w:rsidP="008D738C">
      <w:pPr>
        <w:pStyle w:val="3"/>
        <w:spacing w:before="0" w:line="240" w:lineRule="auto"/>
        <w:ind w:firstLine="709"/>
        <w:jc w:val="both"/>
        <w:rPr>
          <w:rFonts w:ascii="Times New Roman" w:hAnsi="Times New Roman"/>
          <w:b/>
          <w:color w:val="auto"/>
          <w:sz w:val="28"/>
          <w:szCs w:val="28"/>
        </w:rPr>
      </w:pPr>
      <w:bookmarkStart w:id="364" w:name="_Toc204923057"/>
      <w:bookmarkStart w:id="365" w:name="_Toc204933391"/>
      <w:bookmarkStart w:id="366" w:name="_Toc208496702"/>
      <w:bookmarkStart w:id="367" w:name="_Toc208668984"/>
      <w:bookmarkStart w:id="368" w:name="_Toc212804333"/>
      <w:r w:rsidRPr="00577593">
        <w:rPr>
          <w:rFonts w:ascii="Times New Roman" w:eastAsia="Times New Roman" w:hAnsi="Times New Roman"/>
          <w:b/>
          <w:color w:val="auto"/>
          <w:sz w:val="28"/>
          <w:szCs w:val="28"/>
        </w:rPr>
        <w:t>9.2.4</w:t>
      </w:r>
      <w:r w:rsidR="004700CB">
        <w:rPr>
          <w:rFonts w:ascii="Times New Roman" w:eastAsia="Times New Roman" w:hAnsi="Times New Roman"/>
          <w:b/>
          <w:color w:val="auto"/>
          <w:sz w:val="28"/>
          <w:szCs w:val="28"/>
        </w:rPr>
        <w:t>.</w:t>
      </w:r>
      <w:r w:rsidRPr="00577593">
        <w:rPr>
          <w:rFonts w:ascii="Times New Roman" w:eastAsia="Times New Roman" w:hAnsi="Times New Roman"/>
          <w:b/>
          <w:color w:val="auto"/>
          <w:sz w:val="28"/>
          <w:szCs w:val="28"/>
        </w:rPr>
        <w:t xml:space="preserve"> Развитие культуры</w:t>
      </w:r>
      <w:bookmarkEnd w:id="364"/>
      <w:bookmarkEnd w:id="365"/>
      <w:bookmarkEnd w:id="366"/>
      <w:bookmarkEnd w:id="367"/>
      <w:bookmarkEnd w:id="368"/>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В рамках национальной цели развития Российской Федерации </w:t>
      </w:r>
      <w:r w:rsidR="002D68E1" w:rsidRPr="00577593">
        <w:rPr>
          <w:rFonts w:ascii="Times New Roman" w:eastAsia="Times New Roman" w:hAnsi="Times New Roman"/>
          <w:sz w:val="28"/>
          <w:szCs w:val="28"/>
        </w:rPr>
        <w:br/>
      </w:r>
      <w:r w:rsidRPr="00577593">
        <w:rPr>
          <w:rFonts w:ascii="Times New Roman" w:eastAsia="Times New Roman" w:hAnsi="Times New Roman"/>
          <w:sz w:val="28"/>
          <w:szCs w:val="28"/>
        </w:rPr>
        <w:t>на период до 2030 года и на перспективу до 2036 года «Реализация потенциала каждого человека, развитие его талантов, воспитание патриотичной и социально ответственной личности» определены следующие целевые показатели и задачи в области культуры:</w:t>
      </w:r>
    </w:p>
    <w:p w:rsidR="00FC41F4" w:rsidRPr="004700CB" w:rsidRDefault="004700CB" w:rsidP="004700CB">
      <w:pPr>
        <w:tabs>
          <w:tab w:val="left" w:pos="990"/>
        </w:tabs>
        <w:spacing w:after="0" w:line="240" w:lineRule="auto"/>
        <w:ind w:firstLine="709"/>
        <w:jc w:val="both"/>
        <w:rPr>
          <w:rFonts w:ascii="Times New Roman" w:eastAsia="Times New Roman" w:hAnsi="Times New Roman"/>
          <w:sz w:val="28"/>
          <w:szCs w:val="28"/>
        </w:rPr>
      </w:pPr>
      <w:r w:rsidRPr="004700CB">
        <w:rPr>
          <w:rFonts w:ascii="Times New Roman" w:eastAsia="Times New Roman" w:hAnsi="Times New Roman"/>
          <w:sz w:val="28"/>
          <w:szCs w:val="28"/>
        </w:rPr>
        <w:lastRenderedPageBreak/>
        <w:t>– </w:t>
      </w:r>
      <w:r w:rsidR="008925FA" w:rsidRPr="004700CB">
        <w:rPr>
          <w:rFonts w:ascii="Times New Roman" w:eastAsia="Times New Roman" w:hAnsi="Times New Roman"/>
          <w:sz w:val="28"/>
          <w:szCs w:val="28"/>
        </w:rPr>
        <w:t>создание к 2030 году условий для воспитания гармонично развитой, патриотичной и социально ответственной личности на основе традиционных российских духовно-нравственных и культурно-исторических ценностей;</w:t>
      </w:r>
    </w:p>
    <w:p w:rsidR="00FC41F4" w:rsidRPr="004700CB" w:rsidRDefault="004700CB" w:rsidP="004700CB">
      <w:pPr>
        <w:tabs>
          <w:tab w:val="left" w:pos="990"/>
        </w:tabs>
        <w:spacing w:after="0" w:line="240" w:lineRule="auto"/>
        <w:ind w:firstLine="709"/>
        <w:jc w:val="both"/>
        <w:rPr>
          <w:rFonts w:ascii="Times New Roman" w:eastAsia="Times New Roman" w:hAnsi="Times New Roman"/>
          <w:sz w:val="28"/>
          <w:szCs w:val="28"/>
        </w:rPr>
      </w:pPr>
      <w:r w:rsidRPr="004700CB">
        <w:rPr>
          <w:rFonts w:ascii="Times New Roman" w:eastAsia="Times New Roman" w:hAnsi="Times New Roman"/>
          <w:sz w:val="28"/>
          <w:szCs w:val="28"/>
        </w:rPr>
        <w:t>– </w:t>
      </w:r>
      <w:r w:rsidR="008925FA" w:rsidRPr="004700CB">
        <w:rPr>
          <w:rFonts w:ascii="Times New Roman" w:eastAsia="Times New Roman" w:hAnsi="Times New Roman"/>
          <w:sz w:val="28"/>
          <w:szCs w:val="28"/>
        </w:rPr>
        <w:t>обеспечение продвижения и защиты традиционных российских духовно</w:t>
      </w:r>
      <w:r w:rsidR="008925FA" w:rsidRPr="004700CB">
        <w:rPr>
          <w:rFonts w:ascii="PT Astra Serif" w:eastAsia="Times New Roman" w:hAnsi="PT Astra Serif"/>
          <w:sz w:val="28"/>
          <w:szCs w:val="28"/>
        </w:rPr>
        <w:t>‑</w:t>
      </w:r>
      <w:r w:rsidR="008925FA" w:rsidRPr="004700CB">
        <w:rPr>
          <w:rFonts w:ascii="Times New Roman" w:eastAsia="Times New Roman" w:hAnsi="Times New Roman"/>
          <w:sz w:val="28"/>
          <w:szCs w:val="28"/>
        </w:rPr>
        <w:t xml:space="preserve">нравственных ценностей в рамках не менее 70 процентов проектов в сфере культуры, искусства и народного творчества, финансируемых государственными институтами развития, к 2030 году и не менее </w:t>
      </w:r>
      <w:r w:rsidR="002D68E1" w:rsidRPr="004700CB">
        <w:rPr>
          <w:rFonts w:ascii="Times New Roman" w:eastAsia="Times New Roman" w:hAnsi="Times New Roman"/>
          <w:sz w:val="28"/>
          <w:szCs w:val="28"/>
        </w:rPr>
        <w:br/>
      </w:r>
      <w:r w:rsidR="008925FA" w:rsidRPr="004700CB">
        <w:rPr>
          <w:rFonts w:ascii="Times New Roman" w:eastAsia="Times New Roman" w:hAnsi="Times New Roman"/>
          <w:sz w:val="28"/>
          <w:szCs w:val="28"/>
        </w:rPr>
        <w:t>80 процентов таких проектов к 2036 году;</w:t>
      </w:r>
    </w:p>
    <w:p w:rsidR="00435FAD" w:rsidRPr="004700CB" w:rsidRDefault="004700CB" w:rsidP="004700CB">
      <w:pPr>
        <w:tabs>
          <w:tab w:val="left" w:pos="990"/>
        </w:tabs>
        <w:spacing w:after="0" w:line="240" w:lineRule="auto"/>
        <w:ind w:firstLine="709"/>
        <w:jc w:val="both"/>
        <w:rPr>
          <w:rFonts w:ascii="Times New Roman" w:eastAsia="Times New Roman" w:hAnsi="Times New Roman"/>
          <w:sz w:val="28"/>
          <w:szCs w:val="28"/>
        </w:rPr>
      </w:pPr>
      <w:r w:rsidRPr="004700CB">
        <w:rPr>
          <w:rFonts w:ascii="Times New Roman" w:eastAsia="Times New Roman" w:hAnsi="Times New Roman"/>
          <w:sz w:val="28"/>
          <w:szCs w:val="28"/>
        </w:rPr>
        <w:t>– </w:t>
      </w:r>
      <w:r w:rsidR="008925FA" w:rsidRPr="004700CB">
        <w:rPr>
          <w:rFonts w:ascii="Times New Roman" w:eastAsia="Times New Roman" w:hAnsi="Times New Roman"/>
          <w:sz w:val="28"/>
          <w:szCs w:val="28"/>
        </w:rPr>
        <w:t>повышение к 2030 году удовлетворенности граждан работой государственных и муниципальных организаций культуры, искусства и народного творчества.</w:t>
      </w:r>
    </w:p>
    <w:p w:rsidR="00FC41F4" w:rsidRPr="00577593" w:rsidRDefault="008925FA" w:rsidP="004700CB">
      <w:pPr>
        <w:pStyle w:val="af5"/>
        <w:tabs>
          <w:tab w:val="left" w:pos="990"/>
        </w:tabs>
        <w:spacing w:after="0" w:line="240" w:lineRule="auto"/>
        <w:ind w:left="0" w:firstLine="709"/>
        <w:contextualSpacing w:val="0"/>
        <w:jc w:val="both"/>
        <w:rPr>
          <w:rFonts w:ascii="Times New Roman" w:eastAsia="Times New Roman" w:hAnsi="Times New Roman"/>
          <w:sz w:val="28"/>
          <w:szCs w:val="28"/>
        </w:rPr>
      </w:pPr>
      <w:r w:rsidRPr="00577593">
        <w:rPr>
          <w:rFonts w:ascii="Times New Roman" w:eastAsia="Times New Roman" w:hAnsi="Times New Roman"/>
          <w:sz w:val="28"/>
          <w:szCs w:val="28"/>
        </w:rPr>
        <w:t>Направления реализации задачи «Развитие культуры»</w:t>
      </w:r>
      <w:r w:rsidR="00491C2F" w:rsidRPr="00577593">
        <w:rPr>
          <w:rFonts w:ascii="Times New Roman" w:eastAsia="Times New Roman" w:hAnsi="Times New Roman"/>
          <w:sz w:val="28"/>
          <w:szCs w:val="28"/>
        </w:rPr>
        <w:t xml:space="preserve"> в городе Барнауле</w:t>
      </w:r>
      <w:r w:rsidRPr="00577593">
        <w:rPr>
          <w:rFonts w:ascii="Times New Roman" w:eastAsia="Times New Roman" w:hAnsi="Times New Roman"/>
          <w:sz w:val="28"/>
          <w:szCs w:val="28"/>
        </w:rPr>
        <w:t>:</w:t>
      </w:r>
    </w:p>
    <w:p w:rsidR="00FC41F4" w:rsidRPr="004700CB" w:rsidRDefault="004700CB" w:rsidP="004700CB">
      <w:pPr>
        <w:tabs>
          <w:tab w:val="left" w:pos="990"/>
        </w:tabs>
        <w:spacing w:after="0" w:line="240" w:lineRule="auto"/>
        <w:ind w:firstLine="709"/>
        <w:jc w:val="both"/>
        <w:rPr>
          <w:rFonts w:ascii="Times New Roman" w:eastAsia="Times New Roman" w:hAnsi="Times New Roman"/>
          <w:sz w:val="28"/>
          <w:szCs w:val="28"/>
        </w:rPr>
      </w:pPr>
      <w:r w:rsidRPr="004700CB">
        <w:rPr>
          <w:rFonts w:ascii="Times New Roman" w:eastAsia="Times New Roman" w:hAnsi="Times New Roman"/>
          <w:sz w:val="28"/>
          <w:szCs w:val="28"/>
        </w:rPr>
        <w:t>– </w:t>
      </w:r>
      <w:r>
        <w:rPr>
          <w:rFonts w:ascii="Times New Roman" w:eastAsia="Times New Roman" w:hAnsi="Times New Roman"/>
          <w:sz w:val="28"/>
          <w:szCs w:val="28"/>
        </w:rPr>
        <w:t>м</w:t>
      </w:r>
      <w:r w:rsidR="008925FA" w:rsidRPr="004700CB">
        <w:rPr>
          <w:rFonts w:ascii="Times New Roman" w:eastAsia="Times New Roman" w:hAnsi="Times New Roman"/>
          <w:sz w:val="28"/>
          <w:szCs w:val="28"/>
        </w:rPr>
        <w:t>одернизация и развитие сети учреждений культуры и искусства;</w:t>
      </w:r>
    </w:p>
    <w:p w:rsidR="00FC41F4" w:rsidRPr="004700CB" w:rsidRDefault="004700CB" w:rsidP="004700CB">
      <w:pPr>
        <w:tabs>
          <w:tab w:val="left" w:pos="990"/>
        </w:tabs>
        <w:spacing w:after="0" w:line="240" w:lineRule="auto"/>
        <w:ind w:firstLine="709"/>
        <w:jc w:val="both"/>
        <w:rPr>
          <w:rFonts w:ascii="Times New Roman" w:eastAsia="Times New Roman" w:hAnsi="Times New Roman"/>
          <w:sz w:val="28"/>
          <w:szCs w:val="28"/>
        </w:rPr>
      </w:pPr>
      <w:r w:rsidRPr="004700CB">
        <w:rPr>
          <w:rFonts w:ascii="Times New Roman" w:eastAsia="Times New Roman" w:hAnsi="Times New Roman"/>
          <w:sz w:val="28"/>
          <w:szCs w:val="28"/>
        </w:rPr>
        <w:t>– р</w:t>
      </w:r>
      <w:r w:rsidR="008925FA" w:rsidRPr="004700CB">
        <w:rPr>
          <w:rFonts w:ascii="Times New Roman" w:eastAsia="Times New Roman" w:hAnsi="Times New Roman"/>
          <w:sz w:val="28"/>
          <w:szCs w:val="28"/>
        </w:rPr>
        <w:t>азвитие событийной активности;</w:t>
      </w:r>
    </w:p>
    <w:p w:rsidR="00FC41F4" w:rsidRPr="004700CB" w:rsidRDefault="004700CB" w:rsidP="004700CB">
      <w:pPr>
        <w:tabs>
          <w:tab w:val="left" w:pos="990"/>
        </w:tabs>
        <w:spacing w:after="0" w:line="240" w:lineRule="auto"/>
        <w:ind w:firstLine="709"/>
        <w:jc w:val="both"/>
        <w:rPr>
          <w:rFonts w:ascii="Times New Roman" w:eastAsia="Times New Roman" w:hAnsi="Times New Roman"/>
          <w:sz w:val="28"/>
          <w:szCs w:val="28"/>
        </w:rPr>
      </w:pPr>
      <w:r w:rsidRPr="004700CB">
        <w:rPr>
          <w:rFonts w:ascii="Times New Roman" w:eastAsia="Times New Roman" w:hAnsi="Times New Roman"/>
          <w:sz w:val="28"/>
          <w:szCs w:val="28"/>
        </w:rPr>
        <w:t>– </w:t>
      </w:r>
      <w:r>
        <w:rPr>
          <w:rFonts w:ascii="Times New Roman" w:eastAsia="Times New Roman" w:hAnsi="Times New Roman"/>
          <w:sz w:val="28"/>
          <w:szCs w:val="28"/>
        </w:rPr>
        <w:t>р</w:t>
      </w:r>
      <w:r w:rsidR="008925FA" w:rsidRPr="004700CB">
        <w:rPr>
          <w:rFonts w:ascii="Times New Roman" w:eastAsia="Times New Roman" w:hAnsi="Times New Roman"/>
          <w:sz w:val="28"/>
          <w:szCs w:val="28"/>
        </w:rPr>
        <w:t>азвитие дополнительного обр</w:t>
      </w:r>
      <w:r w:rsidR="00E872DE" w:rsidRPr="004700CB">
        <w:rPr>
          <w:rFonts w:ascii="Times New Roman" w:eastAsia="Times New Roman" w:hAnsi="Times New Roman"/>
          <w:sz w:val="28"/>
          <w:szCs w:val="28"/>
        </w:rPr>
        <w:t>азования в сфере культуры;</w:t>
      </w:r>
    </w:p>
    <w:p w:rsidR="00FC41F4" w:rsidRPr="004700CB" w:rsidRDefault="004700CB" w:rsidP="004700CB">
      <w:pPr>
        <w:tabs>
          <w:tab w:val="left" w:pos="990"/>
        </w:tabs>
        <w:spacing w:after="0" w:line="240" w:lineRule="auto"/>
        <w:ind w:firstLine="709"/>
        <w:jc w:val="both"/>
        <w:rPr>
          <w:rFonts w:ascii="Times New Roman" w:eastAsia="Times New Roman" w:hAnsi="Times New Roman"/>
          <w:sz w:val="28"/>
          <w:szCs w:val="28"/>
        </w:rPr>
      </w:pPr>
      <w:r w:rsidRPr="004700CB">
        <w:rPr>
          <w:rFonts w:ascii="Times New Roman" w:eastAsia="Times New Roman" w:hAnsi="Times New Roman"/>
          <w:sz w:val="28"/>
          <w:szCs w:val="28"/>
        </w:rPr>
        <w:t>– </w:t>
      </w:r>
      <w:r>
        <w:rPr>
          <w:rFonts w:ascii="Times New Roman" w:eastAsia="Times New Roman" w:hAnsi="Times New Roman"/>
          <w:sz w:val="28"/>
          <w:szCs w:val="28"/>
        </w:rPr>
        <w:t>с</w:t>
      </w:r>
      <w:r w:rsidR="00E872DE" w:rsidRPr="004700CB">
        <w:rPr>
          <w:rFonts w:ascii="Times New Roman" w:eastAsia="Times New Roman" w:hAnsi="Times New Roman"/>
          <w:sz w:val="28"/>
          <w:szCs w:val="28"/>
        </w:rPr>
        <w:t>оздание условий для становления и развития духовно-нравственных ценностей.</w:t>
      </w:r>
    </w:p>
    <w:p w:rsidR="00FC41F4" w:rsidRPr="00577593" w:rsidRDefault="008925FA" w:rsidP="008D738C">
      <w:pPr>
        <w:pStyle w:val="3"/>
        <w:spacing w:before="0" w:line="240" w:lineRule="auto"/>
        <w:ind w:firstLine="709"/>
        <w:jc w:val="both"/>
        <w:rPr>
          <w:rFonts w:ascii="Times New Roman" w:hAnsi="Times New Roman"/>
          <w:color w:val="auto"/>
          <w:sz w:val="28"/>
          <w:szCs w:val="28"/>
        </w:rPr>
      </w:pPr>
      <w:bookmarkStart w:id="369" w:name="_Toc204923058"/>
      <w:bookmarkStart w:id="370" w:name="_Toc204933392"/>
      <w:bookmarkStart w:id="371" w:name="_Toc208496703"/>
      <w:bookmarkStart w:id="372" w:name="_Toc208668985"/>
      <w:bookmarkStart w:id="373" w:name="_Toc212804334"/>
      <w:r w:rsidRPr="00577593">
        <w:rPr>
          <w:rFonts w:ascii="Times New Roman" w:eastAsia="Times New Roman" w:hAnsi="Times New Roman"/>
          <w:color w:val="auto"/>
          <w:sz w:val="28"/>
          <w:szCs w:val="28"/>
        </w:rPr>
        <w:t>9.2.4.1</w:t>
      </w:r>
      <w:r w:rsidR="004700CB">
        <w:rPr>
          <w:rFonts w:ascii="Times New Roman" w:eastAsia="Times New Roman" w:hAnsi="Times New Roman"/>
          <w:color w:val="auto"/>
          <w:sz w:val="28"/>
          <w:szCs w:val="28"/>
        </w:rPr>
        <w:t>.</w:t>
      </w:r>
      <w:r w:rsidRPr="00577593">
        <w:rPr>
          <w:rFonts w:ascii="Times New Roman" w:eastAsia="Times New Roman" w:hAnsi="Times New Roman"/>
          <w:color w:val="auto"/>
          <w:sz w:val="28"/>
          <w:szCs w:val="28"/>
        </w:rPr>
        <w:t xml:space="preserve"> Модернизация и развитие сети учреждений культуры и искусства</w:t>
      </w:r>
      <w:bookmarkEnd w:id="369"/>
      <w:bookmarkEnd w:id="370"/>
      <w:bookmarkEnd w:id="371"/>
      <w:bookmarkEnd w:id="372"/>
      <w:bookmarkEnd w:id="373"/>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Предполагается продолжить расширение сети учреждений культуры, а также модернизацию и усиление материально-технической базы существующих объектов. Планируется завершить музеефикацию объектов комплекса Барнаульского сереброплавильного завода, который должен стать одним из центров культурной жизни и креативной экономики.  Планируется создание школы креативных индустрий.</w:t>
      </w:r>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Необходимо продолжать ремонт зданий и помещений учреждений культуры, переоснащение муниципальных библиотек по модельному стандарту, обеспечение доступа граждан к электронным ресурсам культуры в дистанционном режиме. Творческие коллективы предполагается обеспечить подходящими помещениями для занятий и репетиций.</w:t>
      </w:r>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В районах активного жилищного строительства запланировано создание новых объектов культуры (библиотеки, культурно-досуговые учреждения и др.).</w:t>
      </w:r>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Уровень материально-технического оснащения учреждений отрасли планируется увеличивать за счет приобретения и обновления специализированного оборудования, необходимого для осуществления профильной деятельности.</w:t>
      </w:r>
    </w:p>
    <w:p w:rsidR="00FC41F4" w:rsidRPr="00577593" w:rsidRDefault="008925FA" w:rsidP="008D738C">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Комплекс мероприятий обеспечит повышение удовлетворенности граждан работой организаций культуры и искусства.</w:t>
      </w:r>
    </w:p>
    <w:p w:rsidR="00FC41F4" w:rsidRPr="00577593" w:rsidRDefault="008925FA" w:rsidP="008D738C">
      <w:pPr>
        <w:pStyle w:val="3"/>
        <w:spacing w:before="0" w:line="240" w:lineRule="auto"/>
        <w:ind w:firstLine="709"/>
        <w:jc w:val="both"/>
        <w:rPr>
          <w:rFonts w:ascii="Times New Roman" w:eastAsia="Times New Roman" w:hAnsi="Times New Roman"/>
          <w:color w:val="auto"/>
          <w:sz w:val="28"/>
          <w:szCs w:val="28"/>
        </w:rPr>
      </w:pPr>
      <w:bookmarkStart w:id="374" w:name="_Toc204923059"/>
      <w:bookmarkStart w:id="375" w:name="_Toc204933393"/>
      <w:bookmarkStart w:id="376" w:name="_Toc208496704"/>
      <w:bookmarkStart w:id="377" w:name="_Toc208668986"/>
      <w:bookmarkStart w:id="378" w:name="_Toc212804335"/>
      <w:r w:rsidRPr="00577593">
        <w:rPr>
          <w:rFonts w:ascii="Times New Roman" w:eastAsia="Times New Roman" w:hAnsi="Times New Roman"/>
          <w:color w:val="auto"/>
          <w:sz w:val="28"/>
          <w:szCs w:val="28"/>
        </w:rPr>
        <w:t>9.2.4.2</w:t>
      </w:r>
      <w:r w:rsidR="004700CB">
        <w:rPr>
          <w:rFonts w:ascii="Times New Roman" w:eastAsia="Times New Roman" w:hAnsi="Times New Roman"/>
          <w:color w:val="auto"/>
          <w:sz w:val="28"/>
          <w:szCs w:val="28"/>
        </w:rPr>
        <w:t>.</w:t>
      </w:r>
      <w:r w:rsidR="00CE7D28">
        <w:rPr>
          <w:rFonts w:ascii="Times New Roman" w:eastAsia="Times New Roman" w:hAnsi="Times New Roman"/>
          <w:color w:val="auto"/>
          <w:sz w:val="28"/>
          <w:szCs w:val="28"/>
        </w:rPr>
        <w:t xml:space="preserve"> </w:t>
      </w:r>
      <w:r w:rsidRPr="00577593">
        <w:rPr>
          <w:rFonts w:ascii="Times New Roman" w:eastAsia="Times New Roman" w:hAnsi="Times New Roman"/>
          <w:color w:val="auto"/>
          <w:sz w:val="28"/>
          <w:szCs w:val="28"/>
        </w:rPr>
        <w:t>Развитие событийной активности</w:t>
      </w:r>
      <w:bookmarkEnd w:id="374"/>
      <w:bookmarkEnd w:id="375"/>
      <w:bookmarkEnd w:id="376"/>
      <w:bookmarkEnd w:id="377"/>
      <w:bookmarkEnd w:id="378"/>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Событийную активность в сфере культуры предполагается расширять за счет мероприятий, нацеленных на различные группы жителей </w:t>
      </w:r>
      <w:r w:rsidR="004700CB">
        <w:rPr>
          <w:rFonts w:ascii="Times New Roman" w:eastAsia="Times New Roman" w:hAnsi="Times New Roman"/>
          <w:sz w:val="28"/>
          <w:szCs w:val="28"/>
        </w:rPr>
        <w:t xml:space="preserve">города </w:t>
      </w:r>
      <w:r w:rsidRPr="00577593">
        <w:rPr>
          <w:rFonts w:ascii="Times New Roman" w:eastAsia="Times New Roman" w:hAnsi="Times New Roman"/>
          <w:sz w:val="28"/>
          <w:szCs w:val="28"/>
        </w:rPr>
        <w:t>Барнаула и на гостей города.</w:t>
      </w:r>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lastRenderedPageBreak/>
        <w:t xml:space="preserve">В </w:t>
      </w:r>
      <w:r w:rsidR="00CE7D28">
        <w:rPr>
          <w:rFonts w:ascii="Times New Roman" w:eastAsia="Times New Roman" w:hAnsi="Times New Roman"/>
          <w:sz w:val="28"/>
          <w:szCs w:val="28"/>
        </w:rPr>
        <w:t xml:space="preserve">городе </w:t>
      </w:r>
      <w:r w:rsidRPr="00577593">
        <w:rPr>
          <w:rFonts w:ascii="Times New Roman" w:eastAsia="Times New Roman" w:hAnsi="Times New Roman"/>
          <w:sz w:val="28"/>
          <w:szCs w:val="28"/>
        </w:rPr>
        <w:t xml:space="preserve">Барнауле планируется проводить знаковые события и фестивали, направленные на продвижение и защиту традиционных российских духовно-нравственных ценностей, объединение городских сообществ и активизацию культурного диалога. Одной из точек роста может стать фольклорное направление, развитое в городе. Новые события, проводимые в </w:t>
      </w:r>
      <w:r w:rsidR="00CE7D28">
        <w:rPr>
          <w:rFonts w:ascii="Times New Roman" w:eastAsia="Times New Roman" w:hAnsi="Times New Roman"/>
          <w:sz w:val="28"/>
          <w:szCs w:val="28"/>
        </w:rPr>
        <w:t>городе</w:t>
      </w:r>
      <w:r w:rsidRPr="00577593">
        <w:rPr>
          <w:rFonts w:ascii="Times New Roman" w:eastAsia="Times New Roman" w:hAnsi="Times New Roman"/>
          <w:sz w:val="28"/>
          <w:szCs w:val="28"/>
        </w:rPr>
        <w:t>, будут способствовать росту туристического потока.</w:t>
      </w:r>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Планируется формировать единый календарь городских событий, что обеспечит равномерную загрузку площадок проведения мероприятий и сгладит сезонность туристического потока в </w:t>
      </w:r>
      <w:r w:rsidR="004700CB">
        <w:rPr>
          <w:rFonts w:ascii="Times New Roman" w:eastAsia="Times New Roman" w:hAnsi="Times New Roman"/>
          <w:sz w:val="28"/>
          <w:szCs w:val="28"/>
        </w:rPr>
        <w:t xml:space="preserve">город </w:t>
      </w:r>
      <w:r w:rsidRPr="00577593">
        <w:rPr>
          <w:rFonts w:ascii="Times New Roman" w:eastAsia="Times New Roman" w:hAnsi="Times New Roman"/>
          <w:sz w:val="28"/>
          <w:szCs w:val="28"/>
        </w:rPr>
        <w:t>Барнаул.</w:t>
      </w:r>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Строительство конгрессно-выставочного центра даст возможность увеличить число мероприятий и проводить их на протяжении всего года.</w:t>
      </w:r>
    </w:p>
    <w:p w:rsidR="00FC41F4" w:rsidRPr="00577593" w:rsidRDefault="008925FA" w:rsidP="008D738C">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Празднование 300-летия </w:t>
      </w:r>
      <w:r w:rsidR="004700CB">
        <w:rPr>
          <w:rFonts w:ascii="Times New Roman" w:eastAsia="Times New Roman" w:hAnsi="Times New Roman"/>
          <w:sz w:val="28"/>
          <w:szCs w:val="28"/>
        </w:rPr>
        <w:t xml:space="preserve">города </w:t>
      </w:r>
      <w:r w:rsidRPr="00577593">
        <w:rPr>
          <w:rFonts w:ascii="Times New Roman" w:eastAsia="Times New Roman" w:hAnsi="Times New Roman"/>
          <w:sz w:val="28"/>
          <w:szCs w:val="28"/>
        </w:rPr>
        <w:t>Барнаула привлечет туристов и позволит представить город как территорию интересных событий.</w:t>
      </w:r>
    </w:p>
    <w:p w:rsidR="00FC41F4" w:rsidRPr="00577593" w:rsidRDefault="008925FA" w:rsidP="008D738C">
      <w:pPr>
        <w:pStyle w:val="3"/>
        <w:spacing w:before="0" w:line="240" w:lineRule="auto"/>
        <w:ind w:firstLine="709"/>
        <w:jc w:val="both"/>
        <w:rPr>
          <w:rFonts w:ascii="Times New Roman" w:eastAsia="Times New Roman" w:hAnsi="Times New Roman"/>
          <w:color w:val="auto"/>
          <w:sz w:val="28"/>
          <w:szCs w:val="28"/>
        </w:rPr>
      </w:pPr>
      <w:bookmarkStart w:id="379" w:name="_Toc204923060"/>
      <w:bookmarkStart w:id="380" w:name="_Toc204933394"/>
      <w:bookmarkStart w:id="381" w:name="_Toc208496705"/>
      <w:bookmarkStart w:id="382" w:name="_Toc208668987"/>
      <w:bookmarkStart w:id="383" w:name="_Toc212804336"/>
      <w:r w:rsidRPr="00577593">
        <w:rPr>
          <w:rFonts w:ascii="Times New Roman" w:eastAsia="Times New Roman" w:hAnsi="Times New Roman"/>
          <w:color w:val="auto"/>
          <w:sz w:val="28"/>
          <w:szCs w:val="28"/>
        </w:rPr>
        <w:t>9.2.4.3</w:t>
      </w:r>
      <w:r w:rsidR="004700CB">
        <w:rPr>
          <w:rFonts w:ascii="Times New Roman" w:eastAsia="Times New Roman" w:hAnsi="Times New Roman"/>
          <w:color w:val="auto"/>
          <w:sz w:val="28"/>
          <w:szCs w:val="28"/>
        </w:rPr>
        <w:t>.</w:t>
      </w:r>
      <w:r w:rsidRPr="00577593">
        <w:rPr>
          <w:rFonts w:ascii="Times New Roman" w:eastAsia="Times New Roman" w:hAnsi="Times New Roman"/>
          <w:color w:val="auto"/>
          <w:sz w:val="28"/>
          <w:szCs w:val="28"/>
        </w:rPr>
        <w:t xml:space="preserve"> Развитие дополнительного образования в сфере культуры</w:t>
      </w:r>
      <w:bookmarkEnd w:id="379"/>
      <w:bookmarkEnd w:id="380"/>
      <w:bookmarkEnd w:id="381"/>
      <w:bookmarkEnd w:id="382"/>
      <w:bookmarkEnd w:id="383"/>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Образовательные учреждения в сфере культуры (детских музыкальных школ, детских школ искусств, детских художественных школ) планируется обеспечивать музыкальными инструментами, оборудованием и учебными материалами. Продолжится ремонт зданий и помещений образовательных учреждений в сфере культуры. Сеть учреждений планируется расширять в районах новой жилищной застройки, в том числе в Индустриальном районе (квартал 2001) будет открыта музыкальная школа на 600 обучающихся. </w:t>
      </w:r>
    </w:p>
    <w:p w:rsidR="00FC41F4" w:rsidRPr="00577593" w:rsidRDefault="008925FA" w:rsidP="008D738C">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Подготовка и повышение квалификации педагогических кадров обеспечит высокое качество дополнительного образования в сфере культуры, сохранит востребованность образовательных услуг со стороны горожан.</w:t>
      </w:r>
    </w:p>
    <w:p w:rsidR="00D45110" w:rsidRPr="00577593" w:rsidRDefault="00E872DE" w:rsidP="008D738C">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9.2.4.4. Создание условий для становления и развития духовно-нравственных ценностей</w:t>
      </w:r>
    </w:p>
    <w:p w:rsidR="00E872DE" w:rsidRPr="00577593" w:rsidRDefault="000612EB" w:rsidP="008D738C">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Одним из важных и приоритетных направлений деятельности</w:t>
      </w:r>
      <w:r w:rsidR="004A349C" w:rsidRPr="00577593">
        <w:rPr>
          <w:rFonts w:ascii="Times New Roman" w:eastAsia="Times New Roman" w:hAnsi="Times New Roman"/>
          <w:sz w:val="28"/>
          <w:szCs w:val="28"/>
        </w:rPr>
        <w:t xml:space="preserve"> является создание условий для </w:t>
      </w:r>
      <w:r w:rsidR="003019D0" w:rsidRPr="00577593">
        <w:rPr>
          <w:rFonts w:ascii="Times New Roman" w:eastAsia="Times New Roman" w:hAnsi="Times New Roman"/>
          <w:sz w:val="28"/>
          <w:szCs w:val="28"/>
        </w:rPr>
        <w:t>становления и укрепления</w:t>
      </w:r>
      <w:r w:rsidR="004A349C" w:rsidRPr="00577593">
        <w:rPr>
          <w:rFonts w:ascii="Times New Roman" w:eastAsia="Times New Roman" w:hAnsi="Times New Roman"/>
          <w:sz w:val="28"/>
          <w:szCs w:val="28"/>
        </w:rPr>
        <w:t xml:space="preserve"> у </w:t>
      </w:r>
      <w:r w:rsidR="00DF777D" w:rsidRPr="00577593">
        <w:rPr>
          <w:rFonts w:ascii="Times New Roman" w:eastAsia="Times New Roman" w:hAnsi="Times New Roman"/>
          <w:sz w:val="28"/>
          <w:szCs w:val="28"/>
        </w:rPr>
        <w:t>населения основ</w:t>
      </w:r>
      <w:r w:rsidR="004A349C" w:rsidRPr="00577593">
        <w:rPr>
          <w:rFonts w:ascii="Times New Roman" w:eastAsia="Times New Roman" w:hAnsi="Times New Roman"/>
          <w:sz w:val="28"/>
          <w:szCs w:val="28"/>
        </w:rPr>
        <w:t xml:space="preserve"> </w:t>
      </w:r>
      <w:r w:rsidR="007333B8" w:rsidRPr="00577593">
        <w:rPr>
          <w:rFonts w:ascii="Times New Roman" w:eastAsia="Times New Roman" w:hAnsi="Times New Roman"/>
          <w:sz w:val="28"/>
          <w:szCs w:val="28"/>
        </w:rPr>
        <w:t xml:space="preserve">нравственных, </w:t>
      </w:r>
      <w:r w:rsidR="007C7FDF" w:rsidRPr="00577593">
        <w:rPr>
          <w:rFonts w:ascii="Times New Roman" w:eastAsia="Times New Roman" w:hAnsi="Times New Roman"/>
          <w:sz w:val="28"/>
          <w:szCs w:val="28"/>
        </w:rPr>
        <w:t xml:space="preserve">духовных </w:t>
      </w:r>
      <w:r w:rsidR="007333B8" w:rsidRPr="00577593">
        <w:rPr>
          <w:rFonts w:ascii="Times New Roman" w:eastAsia="Times New Roman" w:hAnsi="Times New Roman"/>
          <w:sz w:val="28"/>
          <w:szCs w:val="28"/>
        </w:rPr>
        <w:t xml:space="preserve">и семейных </w:t>
      </w:r>
      <w:r w:rsidR="007C7FDF" w:rsidRPr="00577593">
        <w:rPr>
          <w:rFonts w:ascii="Times New Roman" w:eastAsia="Times New Roman" w:hAnsi="Times New Roman"/>
          <w:sz w:val="28"/>
          <w:szCs w:val="28"/>
        </w:rPr>
        <w:t xml:space="preserve">ценностей, </w:t>
      </w:r>
      <w:r w:rsidR="003019D0" w:rsidRPr="00577593">
        <w:rPr>
          <w:rFonts w:ascii="Times New Roman" w:eastAsia="Times New Roman" w:hAnsi="Times New Roman"/>
          <w:sz w:val="28"/>
          <w:szCs w:val="28"/>
        </w:rPr>
        <w:t>патриотического воспитания</w:t>
      </w:r>
      <w:r w:rsidR="0069375B" w:rsidRPr="00577593">
        <w:rPr>
          <w:rFonts w:ascii="Times New Roman" w:eastAsia="Times New Roman" w:hAnsi="Times New Roman"/>
          <w:sz w:val="28"/>
          <w:szCs w:val="28"/>
        </w:rPr>
        <w:t>.</w:t>
      </w:r>
      <w:r w:rsidR="004A349C" w:rsidRPr="00577593">
        <w:rPr>
          <w:rFonts w:ascii="Times New Roman" w:eastAsia="Times New Roman" w:hAnsi="Times New Roman"/>
          <w:sz w:val="28"/>
          <w:szCs w:val="28"/>
        </w:rPr>
        <w:t xml:space="preserve"> В данном направлении </w:t>
      </w:r>
      <w:r w:rsidR="0069375B" w:rsidRPr="00577593">
        <w:rPr>
          <w:rFonts w:ascii="Times New Roman" w:eastAsia="Times New Roman" w:hAnsi="Times New Roman"/>
          <w:sz w:val="28"/>
          <w:szCs w:val="28"/>
        </w:rPr>
        <w:t xml:space="preserve">планируется </w:t>
      </w:r>
      <w:r w:rsidR="007333B8" w:rsidRPr="00577593">
        <w:rPr>
          <w:rFonts w:ascii="Times New Roman" w:eastAsia="Times New Roman" w:hAnsi="Times New Roman"/>
          <w:sz w:val="28"/>
          <w:szCs w:val="28"/>
        </w:rPr>
        <w:t xml:space="preserve">проведение мероприятий культурно-образовательного и просветительского характера </w:t>
      </w:r>
      <w:r w:rsidR="0069375B" w:rsidRPr="00577593">
        <w:rPr>
          <w:rFonts w:ascii="Times New Roman" w:eastAsia="Times New Roman" w:hAnsi="Times New Roman"/>
          <w:sz w:val="28"/>
          <w:szCs w:val="28"/>
        </w:rPr>
        <w:t xml:space="preserve">в рамках Плана мероприятий по реализации основ государственной политики </w:t>
      </w:r>
      <w:r w:rsidRPr="00577593">
        <w:rPr>
          <w:rFonts w:ascii="Times New Roman" w:eastAsia="Times New Roman" w:hAnsi="Times New Roman"/>
          <w:sz w:val="28"/>
          <w:szCs w:val="28"/>
        </w:rPr>
        <w:br/>
      </w:r>
      <w:r w:rsidR="0069375B" w:rsidRPr="00577593">
        <w:rPr>
          <w:rFonts w:ascii="Times New Roman" w:eastAsia="Times New Roman" w:hAnsi="Times New Roman"/>
          <w:sz w:val="28"/>
          <w:szCs w:val="28"/>
        </w:rPr>
        <w:t>по сохранению и укреплению традиционных российских духовно-нравственных ценностей, утвержденного постановлением администрации города</w:t>
      </w:r>
      <w:r w:rsidR="00DF777D" w:rsidRPr="00577593">
        <w:rPr>
          <w:rFonts w:ascii="Times New Roman" w:eastAsia="Times New Roman" w:hAnsi="Times New Roman"/>
          <w:sz w:val="28"/>
          <w:szCs w:val="28"/>
        </w:rPr>
        <w:t xml:space="preserve">. </w:t>
      </w:r>
    </w:p>
    <w:p w:rsidR="00FC41F4" w:rsidRPr="00577593" w:rsidRDefault="008925FA" w:rsidP="008D738C">
      <w:pPr>
        <w:pStyle w:val="3"/>
        <w:spacing w:before="0" w:line="240" w:lineRule="auto"/>
        <w:ind w:firstLine="709"/>
        <w:jc w:val="both"/>
        <w:rPr>
          <w:rFonts w:ascii="Times New Roman" w:eastAsia="Times New Roman" w:hAnsi="Times New Roman"/>
          <w:b/>
          <w:color w:val="auto"/>
          <w:sz w:val="28"/>
          <w:szCs w:val="28"/>
        </w:rPr>
      </w:pPr>
      <w:bookmarkStart w:id="384" w:name="_Toc204923061"/>
      <w:bookmarkStart w:id="385" w:name="_Toc204933395"/>
      <w:bookmarkStart w:id="386" w:name="_Toc208496706"/>
      <w:bookmarkStart w:id="387" w:name="_Toc208668988"/>
      <w:bookmarkStart w:id="388" w:name="_Toc212804337"/>
      <w:r w:rsidRPr="00577593">
        <w:rPr>
          <w:rFonts w:ascii="Times New Roman" w:eastAsia="Times New Roman" w:hAnsi="Times New Roman"/>
          <w:b/>
          <w:color w:val="auto"/>
          <w:sz w:val="28"/>
          <w:szCs w:val="28"/>
        </w:rPr>
        <w:t>9.2.5</w:t>
      </w:r>
      <w:r w:rsidR="004700CB">
        <w:rPr>
          <w:rFonts w:ascii="Times New Roman" w:eastAsia="Times New Roman" w:hAnsi="Times New Roman"/>
          <w:b/>
          <w:color w:val="auto"/>
          <w:sz w:val="28"/>
          <w:szCs w:val="28"/>
        </w:rPr>
        <w:t>.</w:t>
      </w:r>
      <w:r w:rsidRPr="00577593">
        <w:rPr>
          <w:rFonts w:ascii="Times New Roman" w:eastAsia="Times New Roman" w:hAnsi="Times New Roman"/>
          <w:b/>
          <w:color w:val="auto"/>
          <w:sz w:val="28"/>
          <w:szCs w:val="28"/>
        </w:rPr>
        <w:t xml:space="preserve"> Развитие физической культуры и спорта</w:t>
      </w:r>
      <w:bookmarkEnd w:id="384"/>
      <w:bookmarkEnd w:id="385"/>
      <w:bookmarkEnd w:id="386"/>
      <w:bookmarkEnd w:id="387"/>
      <w:bookmarkEnd w:id="388"/>
    </w:p>
    <w:p w:rsidR="00FC41F4" w:rsidRPr="00577593" w:rsidRDefault="008925FA" w:rsidP="008D738C">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В рамках национальной цели развития Российской Федерации </w:t>
      </w:r>
      <w:r w:rsidR="002D68E1" w:rsidRPr="00577593">
        <w:rPr>
          <w:rFonts w:ascii="Times New Roman" w:eastAsia="Times New Roman" w:hAnsi="Times New Roman"/>
          <w:sz w:val="28"/>
          <w:szCs w:val="28"/>
        </w:rPr>
        <w:br/>
      </w:r>
      <w:r w:rsidRPr="00577593">
        <w:rPr>
          <w:rFonts w:ascii="Times New Roman" w:eastAsia="Times New Roman" w:hAnsi="Times New Roman"/>
          <w:sz w:val="28"/>
          <w:szCs w:val="28"/>
        </w:rPr>
        <w:t>на период до 2030 года и на перспективу до 2036 года «Сохранение населения, укрепление здоровья и повышение благополучия людей, поддержка семьи» определены следующие целевые показатели и задачи в области физической культуры и спорта:</w:t>
      </w:r>
    </w:p>
    <w:p w:rsidR="00FC41F4" w:rsidRPr="004700CB" w:rsidRDefault="004700CB" w:rsidP="004700CB">
      <w:pPr>
        <w:tabs>
          <w:tab w:val="left" w:pos="990"/>
        </w:tabs>
        <w:spacing w:after="0" w:line="240" w:lineRule="auto"/>
        <w:ind w:firstLine="709"/>
        <w:jc w:val="both"/>
        <w:rPr>
          <w:rFonts w:ascii="Times New Roman" w:eastAsia="Times New Roman" w:hAnsi="Times New Roman"/>
          <w:sz w:val="28"/>
          <w:szCs w:val="28"/>
        </w:rPr>
      </w:pPr>
      <w:r w:rsidRPr="004700CB">
        <w:rPr>
          <w:rFonts w:ascii="Times New Roman" w:eastAsia="Times New Roman" w:hAnsi="Times New Roman"/>
          <w:sz w:val="28"/>
          <w:szCs w:val="28"/>
        </w:rPr>
        <w:t>– </w:t>
      </w:r>
      <w:r w:rsidR="008925FA" w:rsidRPr="004700CB">
        <w:rPr>
          <w:rFonts w:ascii="Times New Roman" w:eastAsia="Times New Roman" w:hAnsi="Times New Roman"/>
          <w:sz w:val="28"/>
          <w:szCs w:val="28"/>
        </w:rPr>
        <w:t xml:space="preserve">снижение к 2030 году суммарной продолжительности временной нетрудоспособности граждан в трудоспособном возрасте на основе </w:t>
      </w:r>
      <w:r w:rsidR="008925FA" w:rsidRPr="004700CB">
        <w:rPr>
          <w:rFonts w:ascii="Times New Roman" w:eastAsia="Times New Roman" w:hAnsi="Times New Roman"/>
          <w:sz w:val="28"/>
          <w:szCs w:val="28"/>
        </w:rPr>
        <w:lastRenderedPageBreak/>
        <w:t xml:space="preserve">формирования здорового образа жизни, создания условий для своевременной профилактики заболеваний и привлечения граждан </w:t>
      </w:r>
      <w:r>
        <w:rPr>
          <w:rFonts w:ascii="Times New Roman" w:eastAsia="Times New Roman" w:hAnsi="Times New Roman"/>
          <w:sz w:val="28"/>
          <w:szCs w:val="28"/>
        </w:rPr>
        <w:br/>
      </w:r>
      <w:r w:rsidR="008925FA" w:rsidRPr="004700CB">
        <w:rPr>
          <w:rFonts w:ascii="Times New Roman" w:eastAsia="Times New Roman" w:hAnsi="Times New Roman"/>
          <w:sz w:val="28"/>
          <w:szCs w:val="28"/>
        </w:rPr>
        <w:t>к систематическим занятиям спортом;</w:t>
      </w:r>
    </w:p>
    <w:p w:rsidR="00FC41F4" w:rsidRPr="004700CB" w:rsidRDefault="004700CB" w:rsidP="004700CB">
      <w:pPr>
        <w:tabs>
          <w:tab w:val="left" w:pos="990"/>
        </w:tabs>
        <w:spacing w:after="0" w:line="240" w:lineRule="auto"/>
        <w:ind w:firstLine="709"/>
        <w:jc w:val="both"/>
        <w:rPr>
          <w:rFonts w:ascii="Times New Roman" w:eastAsia="Times New Roman" w:hAnsi="Times New Roman"/>
          <w:sz w:val="28"/>
          <w:szCs w:val="28"/>
        </w:rPr>
      </w:pPr>
      <w:r w:rsidRPr="004700CB">
        <w:rPr>
          <w:rFonts w:ascii="Times New Roman" w:eastAsia="Times New Roman" w:hAnsi="Times New Roman"/>
          <w:sz w:val="28"/>
          <w:szCs w:val="28"/>
        </w:rPr>
        <w:t>– </w:t>
      </w:r>
      <w:r w:rsidR="008925FA" w:rsidRPr="004700CB">
        <w:rPr>
          <w:rFonts w:ascii="Times New Roman" w:eastAsia="Times New Roman" w:hAnsi="Times New Roman"/>
          <w:sz w:val="28"/>
          <w:szCs w:val="28"/>
        </w:rPr>
        <w:t>повышение к 2030 году уровня удовлетворенности граждан условиями для занятий физической культурой и спортом.</w:t>
      </w:r>
    </w:p>
    <w:p w:rsidR="00FC41F4" w:rsidRPr="00577593" w:rsidRDefault="008925FA" w:rsidP="004700CB">
      <w:pP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Направления реализации задачи «Развитие физической культуры и спорта»</w:t>
      </w:r>
      <w:r w:rsidR="00491C2F" w:rsidRPr="00577593">
        <w:rPr>
          <w:rFonts w:ascii="Times New Roman" w:eastAsia="Times New Roman" w:hAnsi="Times New Roman"/>
          <w:sz w:val="28"/>
          <w:szCs w:val="28"/>
        </w:rPr>
        <w:t xml:space="preserve"> в городе Барнауле</w:t>
      </w:r>
      <w:r w:rsidRPr="00577593">
        <w:rPr>
          <w:rFonts w:ascii="Times New Roman" w:eastAsia="Times New Roman" w:hAnsi="Times New Roman"/>
          <w:sz w:val="28"/>
          <w:szCs w:val="28"/>
        </w:rPr>
        <w:t>:</w:t>
      </w:r>
    </w:p>
    <w:p w:rsidR="00FC41F4" w:rsidRPr="004700CB" w:rsidRDefault="004700CB" w:rsidP="004700CB">
      <w:pPr>
        <w:tabs>
          <w:tab w:val="left" w:pos="990"/>
        </w:tabs>
        <w:spacing w:after="0" w:line="240" w:lineRule="auto"/>
        <w:ind w:firstLine="709"/>
        <w:jc w:val="both"/>
        <w:rPr>
          <w:rFonts w:ascii="Times New Roman" w:eastAsia="Times New Roman" w:hAnsi="Times New Roman"/>
          <w:sz w:val="28"/>
          <w:szCs w:val="28"/>
        </w:rPr>
      </w:pPr>
      <w:r w:rsidRPr="004700CB">
        <w:rPr>
          <w:rFonts w:ascii="Times New Roman" w:eastAsia="Times New Roman" w:hAnsi="Times New Roman"/>
          <w:sz w:val="28"/>
          <w:szCs w:val="28"/>
        </w:rPr>
        <w:t>– </w:t>
      </w:r>
      <w:r>
        <w:rPr>
          <w:rFonts w:ascii="Times New Roman" w:eastAsia="Times New Roman" w:hAnsi="Times New Roman"/>
          <w:sz w:val="28"/>
          <w:szCs w:val="28"/>
        </w:rPr>
        <w:t>м</w:t>
      </w:r>
      <w:r w:rsidR="008925FA" w:rsidRPr="004700CB">
        <w:rPr>
          <w:rFonts w:ascii="Times New Roman" w:eastAsia="Times New Roman" w:hAnsi="Times New Roman"/>
          <w:sz w:val="28"/>
          <w:szCs w:val="28"/>
        </w:rPr>
        <w:t>одернизация и развитие спортивной инфраструктуры;</w:t>
      </w:r>
    </w:p>
    <w:p w:rsidR="00FC41F4" w:rsidRPr="004700CB" w:rsidRDefault="004700CB" w:rsidP="004700CB">
      <w:pPr>
        <w:tabs>
          <w:tab w:val="left" w:pos="990"/>
        </w:tabs>
        <w:spacing w:after="0" w:line="240" w:lineRule="auto"/>
        <w:ind w:firstLine="709"/>
        <w:jc w:val="both"/>
        <w:rPr>
          <w:rFonts w:ascii="Times New Roman" w:eastAsia="Times New Roman" w:hAnsi="Times New Roman"/>
          <w:sz w:val="28"/>
          <w:szCs w:val="28"/>
        </w:rPr>
      </w:pPr>
      <w:r w:rsidRPr="004700CB">
        <w:rPr>
          <w:rFonts w:ascii="Times New Roman" w:eastAsia="Times New Roman" w:hAnsi="Times New Roman"/>
          <w:sz w:val="28"/>
          <w:szCs w:val="28"/>
        </w:rPr>
        <w:t>– </w:t>
      </w:r>
      <w:r>
        <w:rPr>
          <w:rFonts w:ascii="Times New Roman" w:eastAsia="Times New Roman" w:hAnsi="Times New Roman"/>
          <w:sz w:val="28"/>
          <w:szCs w:val="28"/>
        </w:rPr>
        <w:t>р</w:t>
      </w:r>
      <w:r w:rsidR="008925FA" w:rsidRPr="004700CB">
        <w:rPr>
          <w:rFonts w:ascii="Times New Roman" w:eastAsia="Times New Roman" w:hAnsi="Times New Roman"/>
          <w:sz w:val="28"/>
          <w:szCs w:val="28"/>
        </w:rPr>
        <w:t>азвитие дополнительного образования в сфере спорта.</w:t>
      </w:r>
    </w:p>
    <w:p w:rsidR="00FC41F4" w:rsidRPr="00577593" w:rsidRDefault="008925FA" w:rsidP="008D738C">
      <w:pPr>
        <w:pStyle w:val="3"/>
        <w:spacing w:before="0" w:line="240" w:lineRule="auto"/>
        <w:ind w:firstLine="709"/>
        <w:jc w:val="both"/>
        <w:rPr>
          <w:rFonts w:ascii="Times New Roman" w:hAnsi="Times New Roman"/>
          <w:color w:val="auto"/>
          <w:sz w:val="28"/>
          <w:szCs w:val="28"/>
        </w:rPr>
      </w:pPr>
      <w:bookmarkStart w:id="389" w:name="_Toc204923062"/>
      <w:bookmarkStart w:id="390" w:name="_Toc204933396"/>
      <w:bookmarkStart w:id="391" w:name="_Toc208496707"/>
      <w:bookmarkStart w:id="392" w:name="_Toc208668989"/>
      <w:bookmarkStart w:id="393" w:name="_Toc212804338"/>
      <w:r w:rsidRPr="00577593">
        <w:rPr>
          <w:rFonts w:ascii="Times New Roman" w:eastAsia="Times New Roman" w:hAnsi="Times New Roman"/>
          <w:color w:val="auto"/>
          <w:sz w:val="28"/>
          <w:szCs w:val="28"/>
        </w:rPr>
        <w:t>9.2.5.1</w:t>
      </w:r>
      <w:r w:rsidR="004700CB">
        <w:rPr>
          <w:rFonts w:ascii="Times New Roman" w:eastAsia="Times New Roman" w:hAnsi="Times New Roman"/>
          <w:color w:val="auto"/>
          <w:sz w:val="28"/>
          <w:szCs w:val="28"/>
        </w:rPr>
        <w:t>.</w:t>
      </w:r>
      <w:r w:rsidRPr="00577593">
        <w:rPr>
          <w:rFonts w:ascii="Times New Roman" w:eastAsia="Times New Roman" w:hAnsi="Times New Roman"/>
          <w:color w:val="auto"/>
          <w:sz w:val="28"/>
          <w:szCs w:val="28"/>
        </w:rPr>
        <w:t xml:space="preserve"> Модернизация и развитие спортивной инфраструктуры</w:t>
      </w:r>
      <w:bookmarkEnd w:id="389"/>
      <w:bookmarkEnd w:id="390"/>
      <w:bookmarkEnd w:id="391"/>
      <w:bookmarkEnd w:id="392"/>
      <w:bookmarkEnd w:id="393"/>
    </w:p>
    <w:p w:rsidR="00FC41F4" w:rsidRPr="00577593" w:rsidRDefault="008925FA" w:rsidP="008D738C">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Продолжится модернизация действующих спортивных объектов, будут создаваться новые объекты спорта. </w:t>
      </w:r>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Приоритетными направлениями являются: строительство многофункциональных спортивных комплексов, физкультурно-оздоровительных комплексов с универсальными спортивными залами, а также со спортивными залами для игровых видов спорта (мини-футбол, волейбол, баскетбол), ледовых катков для организации тренировочного процесса по </w:t>
      </w:r>
      <w:r w:rsidR="001E3A62" w:rsidRPr="00577593">
        <w:rPr>
          <w:rFonts w:ascii="Times New Roman" w:eastAsia="Times New Roman" w:hAnsi="Times New Roman"/>
          <w:sz w:val="28"/>
          <w:szCs w:val="28"/>
        </w:rPr>
        <w:t>зимним видам спорта</w:t>
      </w:r>
      <w:r w:rsidRPr="00577593">
        <w:rPr>
          <w:rFonts w:ascii="Times New Roman" w:eastAsia="Times New Roman" w:hAnsi="Times New Roman"/>
          <w:sz w:val="28"/>
          <w:szCs w:val="28"/>
        </w:rPr>
        <w:t>, специализированного манежа для занятий легкой атлетикой в зимний период, центра по адаптивной физкультуре.</w:t>
      </w:r>
    </w:p>
    <w:p w:rsidR="00FC41F4" w:rsidRPr="00577593" w:rsidRDefault="008925FA" w:rsidP="008D738C">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В Индустриальном районе планируется построить многофункциональный физкультурно-о</w:t>
      </w:r>
      <w:r w:rsidR="00D53DC9" w:rsidRPr="00577593">
        <w:rPr>
          <w:rFonts w:ascii="Times New Roman" w:eastAsia="Times New Roman" w:hAnsi="Times New Roman"/>
          <w:sz w:val="28"/>
          <w:szCs w:val="28"/>
        </w:rPr>
        <w:t xml:space="preserve">здоровительный комплекс </w:t>
      </w:r>
      <w:r w:rsidR="004700CB">
        <w:rPr>
          <w:rFonts w:ascii="Times New Roman" w:eastAsia="Times New Roman" w:hAnsi="Times New Roman"/>
          <w:sz w:val="28"/>
          <w:szCs w:val="28"/>
        </w:rPr>
        <w:br/>
      </w:r>
      <w:r w:rsidR="00D53DC9" w:rsidRPr="00577593">
        <w:rPr>
          <w:rFonts w:ascii="Times New Roman" w:eastAsia="Times New Roman" w:hAnsi="Times New Roman"/>
          <w:sz w:val="28"/>
          <w:szCs w:val="28"/>
        </w:rPr>
        <w:t>на 1000</w:t>
      </w:r>
      <w:r w:rsidRPr="00577593">
        <w:rPr>
          <w:rFonts w:ascii="Times New Roman" w:eastAsia="Times New Roman" w:hAnsi="Times New Roman"/>
          <w:sz w:val="28"/>
          <w:szCs w:val="28"/>
        </w:rPr>
        <w:t xml:space="preserve"> человек. В Ленинском районе предполагается создание бассейна. Планируется строительство легкоатлетического манежа.</w:t>
      </w:r>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Дальнейшее развитие должна получить система частных спортивных клубов, тренажерных залов и других форм организации предоставления услуг оздоровительного характера.</w:t>
      </w:r>
    </w:p>
    <w:p w:rsidR="00FC41F4" w:rsidRPr="00577593" w:rsidRDefault="008925FA" w:rsidP="008D738C">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В рамках благоустройства </w:t>
      </w:r>
      <w:r w:rsidR="00CE7D28">
        <w:rPr>
          <w:rFonts w:ascii="Times New Roman" w:eastAsia="Times New Roman" w:hAnsi="Times New Roman"/>
          <w:sz w:val="28"/>
          <w:szCs w:val="28"/>
        </w:rPr>
        <w:t xml:space="preserve">города </w:t>
      </w:r>
      <w:r w:rsidRPr="00577593">
        <w:rPr>
          <w:rFonts w:ascii="Times New Roman" w:eastAsia="Times New Roman" w:hAnsi="Times New Roman"/>
          <w:sz w:val="28"/>
          <w:szCs w:val="28"/>
        </w:rPr>
        <w:t>Барнаула должно продолжиться развитие городской инфраструктуры, обеспечивающей условия для ведения здорового образа жизни.</w:t>
      </w:r>
    </w:p>
    <w:p w:rsidR="00FC41F4" w:rsidRPr="00577593" w:rsidRDefault="008925FA" w:rsidP="008D738C">
      <w:pPr>
        <w:pStyle w:val="3"/>
        <w:spacing w:before="0" w:line="240" w:lineRule="auto"/>
        <w:ind w:firstLine="709"/>
        <w:jc w:val="both"/>
        <w:rPr>
          <w:rFonts w:ascii="Times New Roman" w:eastAsia="Times New Roman" w:hAnsi="Times New Roman"/>
          <w:color w:val="auto"/>
          <w:sz w:val="28"/>
          <w:szCs w:val="28"/>
        </w:rPr>
      </w:pPr>
      <w:bookmarkStart w:id="394" w:name="_Toc204923063"/>
      <w:bookmarkStart w:id="395" w:name="_Toc204933397"/>
      <w:bookmarkStart w:id="396" w:name="_Toc208496708"/>
      <w:bookmarkStart w:id="397" w:name="_Toc208668990"/>
      <w:bookmarkStart w:id="398" w:name="_Toc212804339"/>
      <w:r w:rsidRPr="00577593">
        <w:rPr>
          <w:rFonts w:ascii="Times New Roman" w:eastAsia="Times New Roman" w:hAnsi="Times New Roman"/>
          <w:color w:val="auto"/>
          <w:sz w:val="28"/>
          <w:szCs w:val="28"/>
        </w:rPr>
        <w:t>9.2.5.2</w:t>
      </w:r>
      <w:r w:rsidR="004700CB">
        <w:rPr>
          <w:rFonts w:ascii="Times New Roman" w:eastAsia="Times New Roman" w:hAnsi="Times New Roman"/>
          <w:color w:val="auto"/>
          <w:sz w:val="28"/>
          <w:szCs w:val="28"/>
        </w:rPr>
        <w:t>.</w:t>
      </w:r>
      <w:r w:rsidRPr="00577593">
        <w:rPr>
          <w:rFonts w:ascii="Times New Roman" w:eastAsia="Times New Roman" w:hAnsi="Times New Roman"/>
          <w:color w:val="auto"/>
          <w:sz w:val="28"/>
          <w:szCs w:val="28"/>
        </w:rPr>
        <w:t xml:space="preserve"> Развитие дополнительного образования в сфере спорта</w:t>
      </w:r>
      <w:bookmarkEnd w:id="394"/>
      <w:bookmarkEnd w:id="395"/>
      <w:bookmarkEnd w:id="396"/>
      <w:bookmarkEnd w:id="397"/>
      <w:bookmarkEnd w:id="398"/>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Планируется перевод муниципальных учреждений спортивной подготовки в отдельные здания, обустроенные для их потребностей. Должно продолжиться обновление оборудования и инвентаря спортивных школ, обеспечение экипировкой.</w:t>
      </w:r>
    </w:p>
    <w:p w:rsidR="00FC41F4" w:rsidRPr="00577593" w:rsidRDefault="008925FA" w:rsidP="008D738C">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На базе действующих учреждений спортивной подготовки планируется развивать современные виды спорта, предполагающие совмещение с компьютерными технологиями. Элементы фиджитал спорта должны внедряться в систему подготовки и в спортивные соревнования.</w:t>
      </w:r>
    </w:p>
    <w:p w:rsidR="00FC41F4" w:rsidRPr="00577593" w:rsidRDefault="008925FA" w:rsidP="008D738C">
      <w:pPr>
        <w:pStyle w:val="3"/>
        <w:spacing w:before="0" w:line="240" w:lineRule="auto"/>
        <w:ind w:firstLine="709"/>
        <w:jc w:val="both"/>
        <w:rPr>
          <w:rFonts w:ascii="Times New Roman" w:hAnsi="Times New Roman"/>
          <w:b/>
          <w:color w:val="auto"/>
          <w:sz w:val="28"/>
          <w:szCs w:val="28"/>
        </w:rPr>
      </w:pPr>
      <w:bookmarkStart w:id="399" w:name="_Toc204923064"/>
      <w:bookmarkStart w:id="400" w:name="_Toc204933398"/>
      <w:bookmarkStart w:id="401" w:name="_Toc208496709"/>
      <w:bookmarkStart w:id="402" w:name="_Toc208668991"/>
      <w:bookmarkStart w:id="403" w:name="_Toc212804340"/>
      <w:r w:rsidRPr="00577593">
        <w:rPr>
          <w:rFonts w:ascii="Times New Roman" w:eastAsia="Times New Roman" w:hAnsi="Times New Roman"/>
          <w:b/>
          <w:color w:val="auto"/>
          <w:sz w:val="28"/>
          <w:szCs w:val="28"/>
        </w:rPr>
        <w:t>9.2.6</w:t>
      </w:r>
      <w:r w:rsidR="004700CB">
        <w:rPr>
          <w:rFonts w:ascii="Times New Roman" w:eastAsia="Times New Roman" w:hAnsi="Times New Roman"/>
          <w:b/>
          <w:color w:val="auto"/>
          <w:sz w:val="28"/>
          <w:szCs w:val="28"/>
        </w:rPr>
        <w:t>.</w:t>
      </w:r>
      <w:r w:rsidRPr="00577593">
        <w:rPr>
          <w:rFonts w:ascii="Times New Roman" w:eastAsia="Times New Roman" w:hAnsi="Times New Roman"/>
          <w:b/>
          <w:color w:val="auto"/>
          <w:sz w:val="28"/>
          <w:szCs w:val="28"/>
        </w:rPr>
        <w:t xml:space="preserve"> Реализация молодежной политики</w:t>
      </w:r>
      <w:bookmarkEnd w:id="399"/>
      <w:bookmarkEnd w:id="400"/>
      <w:bookmarkEnd w:id="401"/>
      <w:bookmarkEnd w:id="402"/>
      <w:bookmarkEnd w:id="403"/>
    </w:p>
    <w:p w:rsidR="00FC41F4" w:rsidRPr="00577593" w:rsidRDefault="008925FA" w:rsidP="008D738C">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В рамках национальной цели развития Российской Федерации </w:t>
      </w:r>
      <w:r w:rsidR="002D68E1" w:rsidRPr="00577593">
        <w:rPr>
          <w:rFonts w:ascii="Times New Roman" w:eastAsia="Times New Roman" w:hAnsi="Times New Roman"/>
          <w:sz w:val="28"/>
          <w:szCs w:val="28"/>
        </w:rPr>
        <w:br/>
      </w:r>
      <w:r w:rsidRPr="00577593">
        <w:rPr>
          <w:rFonts w:ascii="Times New Roman" w:eastAsia="Times New Roman" w:hAnsi="Times New Roman"/>
          <w:sz w:val="28"/>
          <w:szCs w:val="28"/>
        </w:rPr>
        <w:t>на период</w:t>
      </w:r>
      <w:r w:rsidR="002D68E1" w:rsidRPr="00577593">
        <w:rPr>
          <w:rFonts w:ascii="Times New Roman" w:eastAsia="Times New Roman" w:hAnsi="Times New Roman"/>
          <w:sz w:val="28"/>
          <w:szCs w:val="28"/>
        </w:rPr>
        <w:t xml:space="preserve"> </w:t>
      </w:r>
      <w:r w:rsidRPr="00577593">
        <w:rPr>
          <w:rFonts w:ascii="Times New Roman" w:eastAsia="Times New Roman" w:hAnsi="Times New Roman"/>
          <w:sz w:val="28"/>
          <w:szCs w:val="28"/>
        </w:rPr>
        <w:t>до 2030 года и на перспективу до 2036 года «Реализация потенциала каждого человека, развитие его талантов, воспитание патриотичной и социально ответственной личности» определены следующие целевые показатели и задачи в области молодежной политики:</w:t>
      </w:r>
    </w:p>
    <w:p w:rsidR="00FC41F4" w:rsidRPr="004700CB" w:rsidRDefault="004700CB" w:rsidP="004700CB">
      <w:pPr>
        <w:tabs>
          <w:tab w:val="left" w:pos="990"/>
        </w:tabs>
        <w:spacing w:after="0" w:line="240" w:lineRule="auto"/>
        <w:ind w:firstLine="709"/>
        <w:jc w:val="both"/>
        <w:rPr>
          <w:rFonts w:ascii="Times New Roman" w:eastAsia="Times New Roman" w:hAnsi="Times New Roman"/>
          <w:sz w:val="28"/>
          <w:szCs w:val="28"/>
        </w:rPr>
      </w:pPr>
      <w:r w:rsidRPr="004700CB">
        <w:rPr>
          <w:rFonts w:ascii="Times New Roman" w:eastAsia="Times New Roman" w:hAnsi="Times New Roman"/>
          <w:sz w:val="28"/>
          <w:szCs w:val="28"/>
        </w:rPr>
        <w:lastRenderedPageBreak/>
        <w:t>– </w:t>
      </w:r>
      <w:r w:rsidR="008925FA" w:rsidRPr="004700CB">
        <w:rPr>
          <w:rFonts w:ascii="Times New Roman" w:eastAsia="Times New Roman" w:hAnsi="Times New Roman"/>
          <w:sz w:val="28"/>
          <w:szCs w:val="28"/>
        </w:rPr>
        <w:t>создание к 2030 году условий для воспитания гармонично развитой, патриотичной и социально ответственной личности на основе традиционных российских духовно-нравственных и культурно-исторических ценностей;</w:t>
      </w:r>
    </w:p>
    <w:p w:rsidR="00FC41F4" w:rsidRPr="004700CB" w:rsidRDefault="004700CB" w:rsidP="004700CB">
      <w:pPr>
        <w:tabs>
          <w:tab w:val="left" w:pos="990"/>
        </w:tabs>
        <w:spacing w:after="0" w:line="240" w:lineRule="auto"/>
        <w:ind w:firstLine="709"/>
        <w:jc w:val="both"/>
        <w:rPr>
          <w:rFonts w:ascii="Times New Roman" w:eastAsia="Times New Roman" w:hAnsi="Times New Roman"/>
          <w:sz w:val="28"/>
          <w:szCs w:val="28"/>
        </w:rPr>
      </w:pPr>
      <w:r w:rsidRPr="004700CB">
        <w:rPr>
          <w:rFonts w:ascii="Times New Roman" w:eastAsia="Times New Roman" w:hAnsi="Times New Roman"/>
          <w:sz w:val="28"/>
          <w:szCs w:val="28"/>
        </w:rPr>
        <w:t>– </w:t>
      </w:r>
      <w:r>
        <w:rPr>
          <w:rFonts w:ascii="Times New Roman" w:eastAsia="Times New Roman" w:hAnsi="Times New Roman"/>
          <w:sz w:val="28"/>
          <w:szCs w:val="28"/>
        </w:rPr>
        <w:t>у</w:t>
      </w:r>
      <w:r w:rsidR="008925FA" w:rsidRPr="004700CB">
        <w:rPr>
          <w:rFonts w:ascii="Times New Roman" w:eastAsia="Times New Roman" w:hAnsi="Times New Roman"/>
          <w:sz w:val="28"/>
          <w:szCs w:val="28"/>
        </w:rPr>
        <w:t xml:space="preserve">величение к 2030 году доли молодых людей, участвующих </w:t>
      </w:r>
      <w:r w:rsidR="002D68E1" w:rsidRPr="004700CB">
        <w:rPr>
          <w:rFonts w:ascii="Times New Roman" w:eastAsia="Times New Roman" w:hAnsi="Times New Roman"/>
          <w:sz w:val="28"/>
          <w:szCs w:val="28"/>
        </w:rPr>
        <w:br/>
      </w:r>
      <w:r w:rsidR="008925FA" w:rsidRPr="004700CB">
        <w:rPr>
          <w:rFonts w:ascii="Times New Roman" w:eastAsia="Times New Roman" w:hAnsi="Times New Roman"/>
          <w:sz w:val="28"/>
          <w:szCs w:val="28"/>
        </w:rPr>
        <w:t>в проектах и программах, направленных на профессиональное, личностное развитие и патриотическое воспитание, не менее чем до 75 процентов;</w:t>
      </w:r>
    </w:p>
    <w:p w:rsidR="00FC41F4" w:rsidRPr="004700CB" w:rsidRDefault="004700CB" w:rsidP="004700CB">
      <w:pPr>
        <w:tabs>
          <w:tab w:val="left" w:pos="990"/>
        </w:tabs>
        <w:spacing w:after="0" w:line="240" w:lineRule="auto"/>
        <w:ind w:firstLine="709"/>
        <w:jc w:val="both"/>
        <w:rPr>
          <w:rFonts w:ascii="Times New Roman" w:eastAsia="Times New Roman" w:hAnsi="Times New Roman"/>
          <w:sz w:val="28"/>
          <w:szCs w:val="28"/>
        </w:rPr>
      </w:pPr>
      <w:r w:rsidRPr="004700CB">
        <w:rPr>
          <w:rFonts w:ascii="Times New Roman" w:eastAsia="Times New Roman" w:hAnsi="Times New Roman"/>
          <w:sz w:val="28"/>
          <w:szCs w:val="28"/>
        </w:rPr>
        <w:t>– </w:t>
      </w:r>
      <w:r w:rsidR="008925FA" w:rsidRPr="004700CB">
        <w:rPr>
          <w:rFonts w:ascii="Times New Roman" w:eastAsia="Times New Roman" w:hAnsi="Times New Roman"/>
          <w:sz w:val="28"/>
          <w:szCs w:val="28"/>
        </w:rPr>
        <w:t xml:space="preserve">увеличение к 2030 году доли молодых людей, верящих </w:t>
      </w:r>
      <w:r w:rsidR="002D68E1" w:rsidRPr="004700CB">
        <w:rPr>
          <w:rFonts w:ascii="Times New Roman" w:eastAsia="Times New Roman" w:hAnsi="Times New Roman"/>
          <w:sz w:val="28"/>
          <w:szCs w:val="28"/>
        </w:rPr>
        <w:br/>
      </w:r>
      <w:r w:rsidR="008925FA" w:rsidRPr="004700CB">
        <w:rPr>
          <w:rFonts w:ascii="Times New Roman" w:eastAsia="Times New Roman" w:hAnsi="Times New Roman"/>
          <w:sz w:val="28"/>
          <w:szCs w:val="28"/>
        </w:rPr>
        <w:t>в возможности самореализации в России, не менее чем до 85 процентов;</w:t>
      </w:r>
    </w:p>
    <w:p w:rsidR="00FC41F4" w:rsidRPr="004700CB" w:rsidRDefault="004700CB" w:rsidP="004700CB">
      <w:pPr>
        <w:tabs>
          <w:tab w:val="left" w:pos="990"/>
        </w:tabs>
        <w:spacing w:after="0" w:line="240" w:lineRule="auto"/>
        <w:ind w:firstLine="709"/>
        <w:jc w:val="both"/>
        <w:rPr>
          <w:rFonts w:ascii="Times New Roman" w:eastAsia="Times New Roman" w:hAnsi="Times New Roman"/>
          <w:sz w:val="28"/>
          <w:szCs w:val="28"/>
        </w:rPr>
      </w:pPr>
      <w:r w:rsidRPr="004700CB">
        <w:rPr>
          <w:rFonts w:ascii="Times New Roman" w:eastAsia="Times New Roman" w:hAnsi="Times New Roman"/>
          <w:sz w:val="28"/>
          <w:szCs w:val="28"/>
        </w:rPr>
        <w:t>– </w:t>
      </w:r>
      <w:r w:rsidR="008925FA" w:rsidRPr="004700CB">
        <w:rPr>
          <w:rFonts w:ascii="Times New Roman" w:eastAsia="Times New Roman" w:hAnsi="Times New Roman"/>
          <w:sz w:val="28"/>
          <w:szCs w:val="28"/>
        </w:rPr>
        <w:t xml:space="preserve">увеличение к 2030 году доли молодых людей, вовлеченных </w:t>
      </w:r>
      <w:r w:rsidR="002D68E1" w:rsidRPr="004700CB">
        <w:rPr>
          <w:rFonts w:ascii="Times New Roman" w:eastAsia="Times New Roman" w:hAnsi="Times New Roman"/>
          <w:sz w:val="28"/>
          <w:szCs w:val="28"/>
        </w:rPr>
        <w:br/>
      </w:r>
      <w:r w:rsidR="008925FA" w:rsidRPr="004700CB">
        <w:rPr>
          <w:rFonts w:ascii="Times New Roman" w:eastAsia="Times New Roman" w:hAnsi="Times New Roman"/>
          <w:sz w:val="28"/>
          <w:szCs w:val="28"/>
        </w:rPr>
        <w:t xml:space="preserve">в добровольческую и общественную деятельность, не менее чем </w:t>
      </w:r>
      <w:r w:rsidR="002D68E1" w:rsidRPr="004700CB">
        <w:rPr>
          <w:rFonts w:ascii="Times New Roman" w:eastAsia="Times New Roman" w:hAnsi="Times New Roman"/>
          <w:sz w:val="28"/>
          <w:szCs w:val="28"/>
        </w:rPr>
        <w:br/>
      </w:r>
      <w:r w:rsidR="008925FA" w:rsidRPr="004700CB">
        <w:rPr>
          <w:rFonts w:ascii="Times New Roman" w:eastAsia="Times New Roman" w:hAnsi="Times New Roman"/>
          <w:sz w:val="28"/>
          <w:szCs w:val="28"/>
        </w:rPr>
        <w:t>до 45 процентов.</w:t>
      </w:r>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Направления реализации задачи «Реализация молодежной политики»</w:t>
      </w:r>
      <w:r w:rsidR="00491C2F" w:rsidRPr="00577593">
        <w:rPr>
          <w:rFonts w:ascii="Times New Roman" w:eastAsia="Times New Roman" w:hAnsi="Times New Roman"/>
          <w:sz w:val="28"/>
          <w:szCs w:val="28"/>
        </w:rPr>
        <w:t xml:space="preserve"> </w:t>
      </w:r>
      <w:r w:rsidR="002D68E1" w:rsidRPr="00577593">
        <w:rPr>
          <w:rFonts w:ascii="Times New Roman" w:eastAsia="Times New Roman" w:hAnsi="Times New Roman"/>
          <w:sz w:val="28"/>
          <w:szCs w:val="28"/>
        </w:rPr>
        <w:br/>
      </w:r>
      <w:r w:rsidR="00491C2F" w:rsidRPr="00577593">
        <w:rPr>
          <w:rFonts w:ascii="Times New Roman" w:eastAsia="Times New Roman" w:hAnsi="Times New Roman"/>
          <w:sz w:val="28"/>
          <w:szCs w:val="28"/>
        </w:rPr>
        <w:t>в городе Барнауле</w:t>
      </w:r>
      <w:r w:rsidRPr="00577593">
        <w:rPr>
          <w:rFonts w:ascii="Times New Roman" w:eastAsia="Times New Roman" w:hAnsi="Times New Roman"/>
          <w:sz w:val="28"/>
          <w:szCs w:val="28"/>
        </w:rPr>
        <w:t>:</w:t>
      </w:r>
    </w:p>
    <w:p w:rsidR="00FC41F4" w:rsidRPr="004700CB" w:rsidRDefault="004700CB" w:rsidP="004700CB">
      <w:pPr>
        <w:spacing w:after="0" w:line="240" w:lineRule="auto"/>
        <w:ind w:firstLine="709"/>
        <w:jc w:val="both"/>
        <w:rPr>
          <w:rFonts w:ascii="Times New Roman" w:eastAsia="Times New Roman" w:hAnsi="Times New Roman"/>
          <w:sz w:val="28"/>
          <w:szCs w:val="28"/>
        </w:rPr>
      </w:pPr>
      <w:r w:rsidRPr="004700CB">
        <w:rPr>
          <w:rFonts w:ascii="Times New Roman" w:eastAsia="Times New Roman" w:hAnsi="Times New Roman"/>
          <w:sz w:val="28"/>
          <w:szCs w:val="28"/>
        </w:rPr>
        <w:t>– </w:t>
      </w:r>
      <w:r>
        <w:rPr>
          <w:rFonts w:ascii="Times New Roman" w:eastAsia="Times New Roman" w:hAnsi="Times New Roman"/>
          <w:sz w:val="28"/>
          <w:szCs w:val="28"/>
        </w:rPr>
        <w:t>в</w:t>
      </w:r>
      <w:r w:rsidR="008925FA" w:rsidRPr="004700CB">
        <w:rPr>
          <w:rFonts w:ascii="Times New Roman" w:eastAsia="Times New Roman" w:hAnsi="Times New Roman"/>
          <w:sz w:val="28"/>
          <w:szCs w:val="28"/>
        </w:rPr>
        <w:t xml:space="preserve">овлечение молодежи в проекты и программы, добровольческую </w:t>
      </w:r>
      <w:r w:rsidR="002D68E1" w:rsidRPr="004700CB">
        <w:rPr>
          <w:rFonts w:ascii="Times New Roman" w:eastAsia="Times New Roman" w:hAnsi="Times New Roman"/>
          <w:sz w:val="28"/>
          <w:szCs w:val="28"/>
        </w:rPr>
        <w:br/>
      </w:r>
      <w:r w:rsidR="008925FA" w:rsidRPr="004700CB">
        <w:rPr>
          <w:rFonts w:ascii="Times New Roman" w:eastAsia="Times New Roman" w:hAnsi="Times New Roman"/>
          <w:sz w:val="28"/>
          <w:szCs w:val="28"/>
        </w:rPr>
        <w:t>и общественную деятельность;</w:t>
      </w:r>
    </w:p>
    <w:p w:rsidR="00FC41F4" w:rsidRPr="004700CB" w:rsidRDefault="004700CB" w:rsidP="004700CB">
      <w:pPr>
        <w:spacing w:after="0" w:line="240" w:lineRule="auto"/>
        <w:ind w:firstLine="709"/>
        <w:jc w:val="both"/>
        <w:rPr>
          <w:rFonts w:ascii="Times New Roman" w:eastAsia="Times New Roman" w:hAnsi="Times New Roman"/>
          <w:sz w:val="28"/>
          <w:szCs w:val="28"/>
        </w:rPr>
      </w:pPr>
      <w:r w:rsidRPr="004700CB">
        <w:rPr>
          <w:rFonts w:ascii="Times New Roman" w:eastAsia="Times New Roman" w:hAnsi="Times New Roman"/>
          <w:sz w:val="28"/>
          <w:szCs w:val="28"/>
        </w:rPr>
        <w:t>– </w:t>
      </w:r>
      <w:r>
        <w:rPr>
          <w:rFonts w:ascii="Times New Roman" w:eastAsia="Times New Roman" w:hAnsi="Times New Roman"/>
          <w:sz w:val="28"/>
          <w:szCs w:val="28"/>
        </w:rPr>
        <w:t>р</w:t>
      </w:r>
      <w:r w:rsidR="008925FA" w:rsidRPr="004700CB">
        <w:rPr>
          <w:rFonts w:ascii="Times New Roman" w:eastAsia="Times New Roman" w:hAnsi="Times New Roman"/>
          <w:sz w:val="28"/>
          <w:szCs w:val="28"/>
        </w:rPr>
        <w:t>азвитие инфраструктуры для молодежи;</w:t>
      </w:r>
    </w:p>
    <w:p w:rsidR="00FC41F4" w:rsidRPr="004700CB" w:rsidRDefault="004700CB" w:rsidP="004700CB">
      <w:pPr>
        <w:spacing w:after="0" w:line="240" w:lineRule="auto"/>
        <w:ind w:firstLine="709"/>
        <w:jc w:val="both"/>
        <w:rPr>
          <w:rFonts w:ascii="Times New Roman" w:eastAsia="Times New Roman" w:hAnsi="Times New Roman"/>
          <w:sz w:val="28"/>
          <w:szCs w:val="28"/>
        </w:rPr>
      </w:pPr>
      <w:r w:rsidRPr="004700CB">
        <w:rPr>
          <w:rFonts w:ascii="Times New Roman" w:eastAsia="Times New Roman" w:hAnsi="Times New Roman"/>
          <w:sz w:val="28"/>
          <w:szCs w:val="28"/>
        </w:rPr>
        <w:t>– </w:t>
      </w:r>
      <w:r>
        <w:rPr>
          <w:rFonts w:ascii="Times New Roman" w:eastAsia="Times New Roman" w:hAnsi="Times New Roman"/>
          <w:sz w:val="28"/>
          <w:szCs w:val="28"/>
        </w:rPr>
        <w:t>п</w:t>
      </w:r>
      <w:r w:rsidR="008925FA" w:rsidRPr="004700CB">
        <w:rPr>
          <w:rFonts w:ascii="Times New Roman" w:eastAsia="Times New Roman" w:hAnsi="Times New Roman"/>
          <w:sz w:val="28"/>
          <w:szCs w:val="28"/>
        </w:rPr>
        <w:t>оддержка талантливой молодежи.</w:t>
      </w:r>
    </w:p>
    <w:p w:rsidR="00FC41F4" w:rsidRPr="00577593" w:rsidRDefault="008925FA" w:rsidP="008D738C">
      <w:pPr>
        <w:pStyle w:val="3"/>
        <w:spacing w:before="0" w:line="240" w:lineRule="auto"/>
        <w:ind w:firstLine="709"/>
        <w:jc w:val="both"/>
        <w:rPr>
          <w:rFonts w:ascii="Times New Roman" w:eastAsia="Times New Roman" w:hAnsi="Times New Roman"/>
          <w:color w:val="auto"/>
          <w:sz w:val="28"/>
          <w:szCs w:val="28"/>
        </w:rPr>
      </w:pPr>
      <w:bookmarkStart w:id="404" w:name="_Toc204923065"/>
      <w:bookmarkStart w:id="405" w:name="_Toc204933399"/>
      <w:bookmarkStart w:id="406" w:name="_Toc208496710"/>
      <w:bookmarkStart w:id="407" w:name="_Toc208668992"/>
      <w:bookmarkStart w:id="408" w:name="_Toc212804341"/>
      <w:r w:rsidRPr="00577593">
        <w:rPr>
          <w:rFonts w:ascii="Times New Roman" w:eastAsia="Times New Roman" w:hAnsi="Times New Roman"/>
          <w:color w:val="auto"/>
          <w:sz w:val="28"/>
          <w:szCs w:val="28"/>
        </w:rPr>
        <w:t>9.2.6.1</w:t>
      </w:r>
      <w:r w:rsidR="004700CB">
        <w:rPr>
          <w:rFonts w:ascii="Times New Roman" w:eastAsia="Times New Roman" w:hAnsi="Times New Roman"/>
          <w:color w:val="auto"/>
          <w:sz w:val="28"/>
          <w:szCs w:val="28"/>
        </w:rPr>
        <w:t>.</w:t>
      </w:r>
      <w:r w:rsidR="00936001">
        <w:rPr>
          <w:rFonts w:ascii="Times New Roman" w:eastAsia="Times New Roman" w:hAnsi="Times New Roman"/>
          <w:color w:val="auto"/>
          <w:sz w:val="28"/>
          <w:szCs w:val="28"/>
        </w:rPr>
        <w:t> </w:t>
      </w:r>
      <w:r w:rsidRPr="00577593">
        <w:rPr>
          <w:rFonts w:ascii="Times New Roman" w:eastAsia="Times New Roman" w:hAnsi="Times New Roman"/>
          <w:color w:val="auto"/>
          <w:sz w:val="28"/>
          <w:szCs w:val="28"/>
        </w:rPr>
        <w:t>Вовлечение молодежи в проекты и программы, добровольческую и общественную деятельность</w:t>
      </w:r>
      <w:bookmarkEnd w:id="404"/>
      <w:bookmarkEnd w:id="405"/>
      <w:bookmarkEnd w:id="406"/>
      <w:bookmarkEnd w:id="407"/>
      <w:bookmarkEnd w:id="408"/>
    </w:p>
    <w:p w:rsidR="00FC41F4" w:rsidRPr="00577593" w:rsidRDefault="008925FA" w:rsidP="008D738C">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Молодежная политика на муниципальном уровне должна содействовать вовлечению молодежи, включая молодые семьи, в мероприятия, направленные на профессиональное развитие, вовлечению в проекты и программы, направленные на патриотическое воспитание, вовлечению в добровольческую и общественную деятельность.</w:t>
      </w:r>
    </w:p>
    <w:p w:rsidR="00FC41F4" w:rsidRPr="00577593" w:rsidRDefault="008925FA" w:rsidP="008D738C">
      <w:pPr>
        <w:pStyle w:val="3"/>
        <w:spacing w:before="0" w:line="240" w:lineRule="auto"/>
        <w:ind w:firstLine="709"/>
        <w:jc w:val="both"/>
        <w:rPr>
          <w:rFonts w:ascii="Times New Roman" w:hAnsi="Times New Roman"/>
          <w:color w:val="auto"/>
          <w:sz w:val="28"/>
          <w:szCs w:val="28"/>
        </w:rPr>
      </w:pPr>
      <w:bookmarkStart w:id="409" w:name="_Toc204923066"/>
      <w:bookmarkStart w:id="410" w:name="_Toc204933400"/>
      <w:bookmarkStart w:id="411" w:name="_Toc208496711"/>
      <w:bookmarkStart w:id="412" w:name="_Toc208668993"/>
      <w:bookmarkStart w:id="413" w:name="_Toc212804342"/>
      <w:r w:rsidRPr="00577593">
        <w:rPr>
          <w:rFonts w:ascii="Times New Roman" w:eastAsia="Times New Roman" w:hAnsi="Times New Roman"/>
          <w:color w:val="auto"/>
          <w:sz w:val="28"/>
          <w:szCs w:val="28"/>
        </w:rPr>
        <w:t>9.2.6.2</w:t>
      </w:r>
      <w:r w:rsidR="004700CB">
        <w:rPr>
          <w:rFonts w:ascii="Times New Roman" w:eastAsia="Times New Roman" w:hAnsi="Times New Roman"/>
          <w:color w:val="auto"/>
          <w:sz w:val="28"/>
          <w:szCs w:val="28"/>
        </w:rPr>
        <w:t>.</w:t>
      </w:r>
      <w:r w:rsidRPr="00577593">
        <w:rPr>
          <w:rFonts w:ascii="Times New Roman" w:eastAsia="Times New Roman" w:hAnsi="Times New Roman"/>
          <w:color w:val="auto"/>
          <w:sz w:val="28"/>
          <w:szCs w:val="28"/>
        </w:rPr>
        <w:t xml:space="preserve"> Развитие инфраструктуры для молодежи</w:t>
      </w:r>
      <w:bookmarkEnd w:id="409"/>
      <w:bookmarkEnd w:id="410"/>
      <w:bookmarkEnd w:id="411"/>
      <w:bookmarkEnd w:id="412"/>
      <w:bookmarkEnd w:id="413"/>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Для стимулирования молодежной активности, коммуникации между учащимися школ, студентами вузов и профессиональных образовательных организаций </w:t>
      </w:r>
      <w:r w:rsidR="004700CB">
        <w:rPr>
          <w:rFonts w:ascii="Times New Roman" w:eastAsia="Times New Roman" w:hAnsi="Times New Roman"/>
          <w:sz w:val="28"/>
          <w:szCs w:val="28"/>
        </w:rPr>
        <w:t xml:space="preserve">города </w:t>
      </w:r>
      <w:r w:rsidRPr="00577593">
        <w:rPr>
          <w:rFonts w:ascii="Times New Roman" w:eastAsia="Times New Roman" w:hAnsi="Times New Roman"/>
          <w:sz w:val="28"/>
          <w:szCs w:val="28"/>
        </w:rPr>
        <w:t>Барнаула планируется оказание методической, информационной, административной поддержки общественным организациям, а также учреждениям высшего и среднего профессионального образования для участия в городских, краевых, федеральных конкурсах грантов и субсидий, для создания молодежных центров и пространств, прежде всего в центральной части города, где сконцентрированы образовательные организации. Создание новых молодежных пространств должно опираться на опыт действующих и действовавших в городе площадок (таких как «ЕЖ») и на успешный опыт других городов.</w:t>
      </w:r>
    </w:p>
    <w:p w:rsidR="00FC41F4" w:rsidRPr="00577593" w:rsidRDefault="008925FA" w:rsidP="008D738C">
      <w:pP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Создаваемые пространства могут использоваться для проведения лекций, мастер-классов, концертов, проектной работы, звукозаписи, записи фото- и видеоконтента, киберспорта, настольных игр, спортивных занятий и других активностей.</w:t>
      </w:r>
      <w:r w:rsidRPr="00577593">
        <w:rPr>
          <w:rFonts w:ascii="Times New Roman" w:hAnsi="Times New Roman"/>
          <w:sz w:val="28"/>
          <w:szCs w:val="28"/>
        </w:rPr>
        <w:t xml:space="preserve"> </w:t>
      </w:r>
      <w:r w:rsidRPr="00577593">
        <w:rPr>
          <w:rFonts w:ascii="Times New Roman" w:eastAsia="Times New Roman" w:hAnsi="Times New Roman"/>
          <w:sz w:val="28"/>
          <w:szCs w:val="28"/>
        </w:rPr>
        <w:t>Должна быть предусмотрена онлайн-система бронирования пространств, что обеспечит их открытость и доступность.</w:t>
      </w:r>
    </w:p>
    <w:p w:rsidR="00FC41F4" w:rsidRPr="00577593" w:rsidRDefault="008925FA" w:rsidP="008D738C">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lastRenderedPageBreak/>
        <w:t xml:space="preserve">При благоустройстве </w:t>
      </w:r>
      <w:r w:rsidR="004700CB">
        <w:rPr>
          <w:rFonts w:ascii="Times New Roman" w:eastAsia="Times New Roman" w:hAnsi="Times New Roman"/>
          <w:sz w:val="28"/>
          <w:szCs w:val="28"/>
        </w:rPr>
        <w:t xml:space="preserve">города </w:t>
      </w:r>
      <w:r w:rsidRPr="00577593">
        <w:rPr>
          <w:rFonts w:ascii="Times New Roman" w:eastAsia="Times New Roman" w:hAnsi="Times New Roman"/>
          <w:sz w:val="28"/>
          <w:szCs w:val="28"/>
        </w:rPr>
        <w:t>Барнаула, развитии зеленого каркаса города должны учитываться потребности молодежи, создаваться открытые пространства, ориентированные на потребности данной группы населения.</w:t>
      </w:r>
    </w:p>
    <w:p w:rsidR="00FC41F4" w:rsidRPr="00577593" w:rsidRDefault="008925FA" w:rsidP="008D738C">
      <w:pPr>
        <w:pStyle w:val="3"/>
        <w:spacing w:before="0" w:line="240" w:lineRule="auto"/>
        <w:ind w:firstLine="709"/>
        <w:jc w:val="both"/>
        <w:rPr>
          <w:rFonts w:ascii="Times New Roman" w:eastAsia="Times New Roman" w:hAnsi="Times New Roman"/>
          <w:color w:val="auto"/>
          <w:sz w:val="28"/>
          <w:szCs w:val="28"/>
        </w:rPr>
      </w:pPr>
      <w:bookmarkStart w:id="414" w:name="_Toc204923067"/>
      <w:bookmarkStart w:id="415" w:name="_Toc204933401"/>
      <w:bookmarkStart w:id="416" w:name="_Toc208496712"/>
      <w:bookmarkStart w:id="417" w:name="_Toc208668994"/>
      <w:bookmarkStart w:id="418" w:name="_Toc212804343"/>
      <w:r w:rsidRPr="00577593">
        <w:rPr>
          <w:rFonts w:ascii="Times New Roman" w:eastAsia="Times New Roman" w:hAnsi="Times New Roman"/>
          <w:color w:val="auto"/>
          <w:sz w:val="28"/>
          <w:szCs w:val="28"/>
        </w:rPr>
        <w:t>9.2.6.3</w:t>
      </w:r>
      <w:r w:rsidR="004700CB">
        <w:rPr>
          <w:rFonts w:ascii="Times New Roman" w:eastAsia="Times New Roman" w:hAnsi="Times New Roman"/>
          <w:color w:val="auto"/>
          <w:sz w:val="28"/>
          <w:szCs w:val="28"/>
        </w:rPr>
        <w:t>.</w:t>
      </w:r>
      <w:r w:rsidRPr="00577593">
        <w:rPr>
          <w:rFonts w:ascii="Times New Roman" w:eastAsia="Times New Roman" w:hAnsi="Times New Roman"/>
          <w:color w:val="auto"/>
          <w:sz w:val="28"/>
          <w:szCs w:val="28"/>
        </w:rPr>
        <w:t xml:space="preserve"> Поддержка талантливой молодежи</w:t>
      </w:r>
      <w:bookmarkEnd w:id="414"/>
      <w:bookmarkEnd w:id="415"/>
      <w:bookmarkEnd w:id="416"/>
      <w:bookmarkEnd w:id="417"/>
      <w:bookmarkEnd w:id="418"/>
    </w:p>
    <w:p w:rsidR="00FC41F4" w:rsidRPr="00577593" w:rsidRDefault="008925FA" w:rsidP="008D738C">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Должны увеличиваться размер и количество получателей единовременных денежных выплат главы города Барнаула студентам, аспирантам, докторантам, учащимся муниципальных общеобразовательных организаций, учащимся детских музыкальных, художественных школ, школ искусств, участникам детских творческих коллективов, спортсменам, учащимся муниципальных организаций дополнительного образования.</w:t>
      </w:r>
    </w:p>
    <w:p w:rsidR="00FC41F4" w:rsidRPr="00577593" w:rsidRDefault="00FC41F4" w:rsidP="008D738C">
      <w:pPr>
        <w:spacing w:after="0" w:line="240" w:lineRule="auto"/>
        <w:ind w:firstLine="709"/>
        <w:jc w:val="both"/>
        <w:rPr>
          <w:rFonts w:ascii="Times New Roman" w:hAnsi="Times New Roman"/>
          <w:sz w:val="28"/>
          <w:szCs w:val="28"/>
        </w:rPr>
      </w:pPr>
    </w:p>
    <w:p w:rsidR="00FC41F4" w:rsidRPr="00577593" w:rsidRDefault="008925FA" w:rsidP="008D738C">
      <w:pPr>
        <w:pStyle w:val="3"/>
        <w:spacing w:before="0" w:line="240" w:lineRule="auto"/>
        <w:ind w:firstLine="709"/>
        <w:jc w:val="both"/>
        <w:rPr>
          <w:rFonts w:ascii="Times New Roman" w:hAnsi="Times New Roman"/>
          <w:color w:val="auto"/>
          <w:sz w:val="28"/>
          <w:szCs w:val="28"/>
        </w:rPr>
      </w:pPr>
      <w:bookmarkStart w:id="419" w:name="_Toc212804344"/>
      <w:r w:rsidRPr="00577593">
        <w:rPr>
          <w:rFonts w:ascii="Times New Roman" w:eastAsia="Times New Roman" w:hAnsi="Times New Roman"/>
          <w:b/>
          <w:bCs/>
          <w:color w:val="auto"/>
          <w:sz w:val="28"/>
          <w:szCs w:val="28"/>
        </w:rPr>
        <w:t>9.3</w:t>
      </w:r>
      <w:r w:rsidR="004700CB">
        <w:rPr>
          <w:rFonts w:ascii="Times New Roman" w:eastAsia="Times New Roman" w:hAnsi="Times New Roman"/>
          <w:b/>
          <w:bCs/>
          <w:color w:val="auto"/>
          <w:sz w:val="28"/>
          <w:szCs w:val="28"/>
        </w:rPr>
        <w:t>.</w:t>
      </w:r>
      <w:r w:rsidRPr="00577593">
        <w:rPr>
          <w:rFonts w:ascii="Times New Roman" w:eastAsia="Times New Roman" w:hAnsi="Times New Roman"/>
          <w:b/>
          <w:bCs/>
          <w:color w:val="auto"/>
          <w:sz w:val="28"/>
          <w:szCs w:val="28"/>
        </w:rPr>
        <w:t xml:space="preserve"> Стратегическое направление «Создание комфортной городской среды»</w:t>
      </w:r>
      <w:bookmarkEnd w:id="419"/>
      <w:r w:rsidRPr="00577593">
        <w:rPr>
          <w:rFonts w:ascii="Times New Roman" w:eastAsia="Times New Roman" w:hAnsi="Times New Roman"/>
          <w:b/>
          <w:bCs/>
          <w:color w:val="auto"/>
          <w:sz w:val="28"/>
          <w:szCs w:val="28"/>
        </w:rPr>
        <w:t xml:space="preserve"> </w:t>
      </w:r>
    </w:p>
    <w:p w:rsidR="00FC41F4" w:rsidRPr="00577593" w:rsidRDefault="008925FA" w:rsidP="008D738C">
      <w:pPr>
        <w:pStyle w:val="3"/>
        <w:pBdr>
          <w:top w:val="none" w:sz="4" w:space="0" w:color="000000"/>
          <w:left w:val="none" w:sz="4" w:space="0" w:color="000000"/>
          <w:bottom w:val="none" w:sz="4" w:space="0" w:color="000000"/>
          <w:right w:val="none" w:sz="4" w:space="0" w:color="000000"/>
        </w:pBdr>
        <w:spacing w:before="0" w:line="240" w:lineRule="auto"/>
        <w:ind w:firstLine="709"/>
        <w:jc w:val="both"/>
        <w:rPr>
          <w:rFonts w:ascii="Times New Roman" w:hAnsi="Times New Roman"/>
          <w:b/>
          <w:bCs/>
          <w:color w:val="auto"/>
          <w:sz w:val="28"/>
          <w:szCs w:val="28"/>
        </w:rPr>
      </w:pPr>
      <w:bookmarkStart w:id="420" w:name="_Toc208496714"/>
      <w:bookmarkStart w:id="421" w:name="_Toc208668996"/>
      <w:bookmarkStart w:id="422" w:name="_Toc212804345"/>
      <w:r w:rsidRPr="00577593">
        <w:rPr>
          <w:rFonts w:ascii="Times New Roman" w:eastAsia="Times New Roman" w:hAnsi="Times New Roman"/>
          <w:b/>
          <w:bCs/>
          <w:color w:val="auto"/>
          <w:sz w:val="28"/>
          <w:szCs w:val="28"/>
        </w:rPr>
        <w:t>9.3.1</w:t>
      </w:r>
      <w:r w:rsidR="004700CB">
        <w:rPr>
          <w:rFonts w:ascii="Times New Roman" w:eastAsia="Times New Roman" w:hAnsi="Times New Roman"/>
          <w:b/>
          <w:bCs/>
          <w:color w:val="auto"/>
          <w:sz w:val="28"/>
          <w:szCs w:val="28"/>
        </w:rPr>
        <w:t>.</w:t>
      </w:r>
      <w:r w:rsidRPr="00577593">
        <w:rPr>
          <w:rFonts w:ascii="Times New Roman" w:eastAsia="Times New Roman" w:hAnsi="Times New Roman"/>
          <w:b/>
          <w:bCs/>
          <w:color w:val="auto"/>
          <w:sz w:val="28"/>
          <w:szCs w:val="28"/>
        </w:rPr>
        <w:t xml:space="preserve"> Градостроительная политика и пространственное развитие</w:t>
      </w:r>
      <w:bookmarkEnd w:id="420"/>
      <w:bookmarkEnd w:id="421"/>
      <w:bookmarkEnd w:id="422"/>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В рамках национальной цели развития Российской Федерации </w:t>
      </w:r>
      <w:r w:rsidR="00A91267" w:rsidRPr="00577593">
        <w:rPr>
          <w:rFonts w:ascii="Times New Roman" w:eastAsia="Times New Roman" w:hAnsi="Times New Roman"/>
          <w:sz w:val="28"/>
          <w:szCs w:val="28"/>
        </w:rPr>
        <w:br/>
      </w:r>
      <w:r w:rsidRPr="00577593">
        <w:rPr>
          <w:rFonts w:ascii="Times New Roman" w:eastAsia="Times New Roman" w:hAnsi="Times New Roman"/>
          <w:sz w:val="28"/>
          <w:szCs w:val="28"/>
        </w:rPr>
        <w:t>на период до 2030 года и на перспективу до 2036 года «Комфортная и безопасная среда для жизни» определены следующие целевые показатели и задачи:</w:t>
      </w:r>
    </w:p>
    <w:p w:rsidR="00FC41F4" w:rsidRPr="004700CB" w:rsidRDefault="004700CB" w:rsidP="004700CB">
      <w:pPr>
        <w:pBdr>
          <w:top w:val="none" w:sz="4" w:space="0" w:color="000000"/>
          <w:left w:val="none" w:sz="4" w:space="0" w:color="000000"/>
          <w:bottom w:val="none" w:sz="4" w:space="0" w:color="000000"/>
          <w:right w:val="none" w:sz="4" w:space="0" w:color="000000"/>
        </w:pBdr>
        <w:tabs>
          <w:tab w:val="left" w:pos="993"/>
        </w:tabs>
        <w:spacing w:after="0" w:line="240" w:lineRule="auto"/>
        <w:ind w:firstLine="709"/>
        <w:jc w:val="both"/>
        <w:rPr>
          <w:rFonts w:ascii="Times New Roman" w:eastAsia="Times New Roman" w:hAnsi="Times New Roman"/>
          <w:sz w:val="28"/>
          <w:szCs w:val="28"/>
        </w:rPr>
      </w:pPr>
      <w:r w:rsidRPr="004700CB">
        <w:rPr>
          <w:rFonts w:ascii="Times New Roman" w:eastAsia="Times New Roman" w:hAnsi="Times New Roman"/>
          <w:sz w:val="28"/>
          <w:szCs w:val="28"/>
        </w:rPr>
        <w:t>– </w:t>
      </w:r>
      <w:r w:rsidR="00906252" w:rsidRPr="004700CB">
        <w:rPr>
          <w:rFonts w:ascii="Times New Roman" w:eastAsia="Times New Roman" w:hAnsi="Times New Roman"/>
          <w:sz w:val="28"/>
          <w:szCs w:val="28"/>
        </w:rPr>
        <w:t>о</w:t>
      </w:r>
      <w:r w:rsidR="008925FA" w:rsidRPr="004700CB">
        <w:rPr>
          <w:rFonts w:ascii="Times New Roman" w:eastAsia="Times New Roman" w:hAnsi="Times New Roman"/>
          <w:sz w:val="28"/>
          <w:szCs w:val="28"/>
        </w:rPr>
        <w:t xml:space="preserve">беспечение граждан жильем общей площадью не менее </w:t>
      </w:r>
      <w:r w:rsidR="00A91267" w:rsidRPr="004700CB">
        <w:rPr>
          <w:rFonts w:ascii="Times New Roman" w:eastAsia="Times New Roman" w:hAnsi="Times New Roman"/>
          <w:sz w:val="28"/>
          <w:szCs w:val="28"/>
        </w:rPr>
        <w:br/>
      </w:r>
      <w:r w:rsidR="008925FA" w:rsidRPr="004700CB">
        <w:rPr>
          <w:rFonts w:ascii="Times New Roman" w:eastAsia="Times New Roman" w:hAnsi="Times New Roman"/>
          <w:sz w:val="28"/>
          <w:szCs w:val="28"/>
        </w:rPr>
        <w:t xml:space="preserve">33 </w:t>
      </w:r>
      <w:r w:rsidR="000F76C4" w:rsidRPr="004700CB">
        <w:rPr>
          <w:rFonts w:ascii="Times New Roman" w:eastAsia="Times New Roman" w:hAnsi="Times New Roman"/>
          <w:sz w:val="28"/>
          <w:szCs w:val="28"/>
        </w:rPr>
        <w:t>кв. м</w:t>
      </w:r>
      <w:r w:rsidR="008925FA" w:rsidRPr="004700CB">
        <w:rPr>
          <w:rFonts w:ascii="Times New Roman" w:eastAsia="Times New Roman" w:hAnsi="Times New Roman"/>
          <w:sz w:val="28"/>
          <w:szCs w:val="28"/>
        </w:rPr>
        <w:t xml:space="preserve">етров на человека к 2030 году и не менее 38 </w:t>
      </w:r>
      <w:r w:rsidR="000F76C4" w:rsidRPr="004700CB">
        <w:rPr>
          <w:rFonts w:ascii="Times New Roman" w:eastAsia="Times New Roman" w:hAnsi="Times New Roman"/>
          <w:sz w:val="28"/>
          <w:szCs w:val="28"/>
        </w:rPr>
        <w:t>кв. м</w:t>
      </w:r>
      <w:r w:rsidR="008925FA" w:rsidRPr="004700CB">
        <w:rPr>
          <w:rFonts w:ascii="Times New Roman" w:eastAsia="Times New Roman" w:hAnsi="Times New Roman"/>
          <w:sz w:val="28"/>
          <w:szCs w:val="28"/>
        </w:rPr>
        <w:t>етров к 2036 году</w:t>
      </w:r>
      <w:r w:rsidR="00BC44B0" w:rsidRPr="004700CB">
        <w:rPr>
          <w:rFonts w:ascii="Times New Roman" w:eastAsia="Times New Roman" w:hAnsi="Times New Roman"/>
          <w:sz w:val="28"/>
          <w:szCs w:val="28"/>
        </w:rPr>
        <w:t>;</w:t>
      </w:r>
    </w:p>
    <w:p w:rsidR="00FC41F4" w:rsidRPr="004700CB" w:rsidRDefault="004700CB" w:rsidP="004700CB">
      <w:pPr>
        <w:pBdr>
          <w:top w:val="none" w:sz="4" w:space="0" w:color="000000"/>
          <w:left w:val="none" w:sz="4" w:space="0" w:color="000000"/>
          <w:bottom w:val="none" w:sz="4" w:space="0" w:color="000000"/>
          <w:right w:val="none" w:sz="4" w:space="0" w:color="000000"/>
        </w:pBdr>
        <w:tabs>
          <w:tab w:val="left" w:pos="993"/>
        </w:tabs>
        <w:spacing w:after="0" w:line="240" w:lineRule="auto"/>
        <w:ind w:firstLine="709"/>
        <w:jc w:val="both"/>
        <w:rPr>
          <w:rFonts w:ascii="Times New Roman" w:eastAsia="Times New Roman" w:hAnsi="Times New Roman"/>
          <w:sz w:val="28"/>
          <w:szCs w:val="28"/>
        </w:rPr>
      </w:pPr>
      <w:r w:rsidRPr="004700CB">
        <w:rPr>
          <w:rFonts w:ascii="Times New Roman" w:eastAsia="Times New Roman" w:hAnsi="Times New Roman"/>
          <w:sz w:val="28"/>
          <w:szCs w:val="28"/>
        </w:rPr>
        <w:t>– </w:t>
      </w:r>
      <w:r w:rsidR="00906252" w:rsidRPr="004700CB">
        <w:rPr>
          <w:rFonts w:ascii="Times New Roman" w:eastAsia="Times New Roman" w:hAnsi="Times New Roman"/>
          <w:sz w:val="28"/>
          <w:szCs w:val="28"/>
        </w:rPr>
        <w:t>о</w:t>
      </w:r>
      <w:r w:rsidR="008925FA" w:rsidRPr="004700CB">
        <w:rPr>
          <w:rFonts w:ascii="Times New Roman" w:eastAsia="Times New Roman" w:hAnsi="Times New Roman"/>
          <w:sz w:val="28"/>
          <w:szCs w:val="28"/>
        </w:rPr>
        <w:t xml:space="preserve">бновление к 2030 году жилищного фонда не менее чем </w:t>
      </w:r>
      <w:r w:rsidR="00A91267" w:rsidRPr="004700CB">
        <w:rPr>
          <w:rFonts w:ascii="Times New Roman" w:eastAsia="Times New Roman" w:hAnsi="Times New Roman"/>
          <w:sz w:val="28"/>
          <w:szCs w:val="28"/>
        </w:rPr>
        <w:br/>
      </w:r>
      <w:r w:rsidR="008925FA" w:rsidRPr="004700CB">
        <w:rPr>
          <w:rFonts w:ascii="Times New Roman" w:eastAsia="Times New Roman" w:hAnsi="Times New Roman"/>
          <w:sz w:val="28"/>
          <w:szCs w:val="28"/>
        </w:rPr>
        <w:t>на 20 процентов по сравнению с показателем 2019 года</w:t>
      </w:r>
      <w:r w:rsidR="00BC44B0" w:rsidRPr="004700CB">
        <w:rPr>
          <w:rFonts w:ascii="Times New Roman" w:eastAsia="Times New Roman" w:hAnsi="Times New Roman"/>
          <w:sz w:val="28"/>
          <w:szCs w:val="28"/>
        </w:rPr>
        <w:t>;</w:t>
      </w:r>
    </w:p>
    <w:p w:rsidR="00FC41F4" w:rsidRPr="004700CB" w:rsidRDefault="004700CB" w:rsidP="004700CB">
      <w:pPr>
        <w:pBdr>
          <w:top w:val="none" w:sz="4" w:space="0" w:color="000000"/>
          <w:left w:val="none" w:sz="4" w:space="0" w:color="000000"/>
          <w:bottom w:val="none" w:sz="4" w:space="0" w:color="000000"/>
          <w:right w:val="none" w:sz="4" w:space="0" w:color="000000"/>
        </w:pBdr>
        <w:tabs>
          <w:tab w:val="left" w:pos="993"/>
        </w:tabs>
        <w:spacing w:after="0" w:line="240" w:lineRule="auto"/>
        <w:ind w:firstLine="709"/>
        <w:jc w:val="both"/>
        <w:rPr>
          <w:rFonts w:ascii="Times New Roman" w:eastAsia="Times New Roman" w:hAnsi="Times New Roman"/>
          <w:sz w:val="28"/>
          <w:szCs w:val="28"/>
        </w:rPr>
      </w:pPr>
      <w:r w:rsidRPr="004700CB">
        <w:rPr>
          <w:rFonts w:ascii="Times New Roman" w:eastAsia="Times New Roman" w:hAnsi="Times New Roman"/>
          <w:sz w:val="28"/>
          <w:szCs w:val="28"/>
        </w:rPr>
        <w:t>– </w:t>
      </w:r>
      <w:r w:rsidR="00906252" w:rsidRPr="004700CB">
        <w:rPr>
          <w:rFonts w:ascii="Times New Roman" w:eastAsia="Times New Roman" w:hAnsi="Times New Roman"/>
          <w:sz w:val="28"/>
          <w:szCs w:val="28"/>
        </w:rPr>
        <w:t>у</w:t>
      </w:r>
      <w:r w:rsidR="008925FA" w:rsidRPr="004700CB">
        <w:rPr>
          <w:rFonts w:ascii="Times New Roman" w:eastAsia="Times New Roman" w:hAnsi="Times New Roman"/>
          <w:sz w:val="28"/>
          <w:szCs w:val="28"/>
        </w:rPr>
        <w:t>стойчивое сокращение непригодного для проживания жилищного фонда</w:t>
      </w:r>
      <w:r w:rsidR="00BC44B0" w:rsidRPr="004700CB">
        <w:rPr>
          <w:rFonts w:ascii="Times New Roman" w:eastAsia="Times New Roman" w:hAnsi="Times New Roman"/>
          <w:sz w:val="28"/>
          <w:szCs w:val="28"/>
        </w:rPr>
        <w:t>;</w:t>
      </w:r>
    </w:p>
    <w:p w:rsidR="00FC41F4" w:rsidRPr="004700CB" w:rsidRDefault="004700CB" w:rsidP="004700CB">
      <w:pPr>
        <w:pStyle w:val="af5"/>
        <w:pBdr>
          <w:top w:val="none" w:sz="4" w:space="0" w:color="000000"/>
          <w:left w:val="none" w:sz="4" w:space="0" w:color="000000"/>
          <w:bottom w:val="none" w:sz="4" w:space="0" w:color="000000"/>
          <w:right w:val="none" w:sz="4" w:space="0" w:color="000000"/>
        </w:pBdr>
        <w:tabs>
          <w:tab w:val="left" w:pos="993"/>
        </w:tabs>
        <w:spacing w:after="0" w:line="240" w:lineRule="auto"/>
        <w:ind w:left="0" w:firstLine="709"/>
        <w:jc w:val="both"/>
        <w:rPr>
          <w:rFonts w:ascii="Times New Roman" w:eastAsia="Times New Roman" w:hAnsi="Times New Roman"/>
          <w:sz w:val="28"/>
          <w:szCs w:val="28"/>
        </w:rPr>
      </w:pPr>
      <w:r w:rsidRPr="004700CB">
        <w:rPr>
          <w:rFonts w:ascii="Times New Roman" w:eastAsia="Times New Roman" w:hAnsi="Times New Roman"/>
          <w:sz w:val="28"/>
          <w:szCs w:val="28"/>
        </w:rPr>
        <w:t>– </w:t>
      </w:r>
      <w:r w:rsidR="00906252" w:rsidRPr="00577593">
        <w:rPr>
          <w:rFonts w:ascii="Times New Roman" w:eastAsia="Times New Roman" w:hAnsi="Times New Roman"/>
          <w:sz w:val="28"/>
          <w:szCs w:val="28"/>
        </w:rPr>
        <w:t>д</w:t>
      </w:r>
      <w:r w:rsidR="008925FA" w:rsidRPr="00577593">
        <w:rPr>
          <w:rFonts w:ascii="Times New Roman" w:eastAsia="Times New Roman" w:hAnsi="Times New Roman"/>
          <w:sz w:val="28"/>
          <w:szCs w:val="28"/>
        </w:rPr>
        <w:t>оступность жилья на первичном рынке</w:t>
      </w:r>
      <w:r w:rsidR="00BC44B0" w:rsidRPr="00577593">
        <w:rPr>
          <w:rFonts w:ascii="Times New Roman" w:eastAsia="Times New Roman" w:hAnsi="Times New Roman"/>
          <w:sz w:val="28"/>
          <w:szCs w:val="28"/>
        </w:rPr>
        <w:t>;</w:t>
      </w:r>
    </w:p>
    <w:p w:rsidR="00FC41F4" w:rsidRPr="004700CB" w:rsidRDefault="004700CB" w:rsidP="004700CB">
      <w:pPr>
        <w:pStyle w:val="af5"/>
        <w:pBdr>
          <w:top w:val="none" w:sz="4" w:space="0" w:color="000000"/>
          <w:left w:val="none" w:sz="4" w:space="0" w:color="000000"/>
          <w:bottom w:val="none" w:sz="4" w:space="0" w:color="000000"/>
          <w:right w:val="none" w:sz="4" w:space="0" w:color="000000"/>
        </w:pBdr>
        <w:tabs>
          <w:tab w:val="left" w:pos="993"/>
        </w:tabs>
        <w:spacing w:after="0" w:line="240" w:lineRule="auto"/>
        <w:ind w:left="0" w:firstLine="709"/>
        <w:jc w:val="both"/>
        <w:rPr>
          <w:rFonts w:ascii="Times New Roman" w:eastAsia="Times New Roman" w:hAnsi="Times New Roman"/>
          <w:sz w:val="28"/>
          <w:szCs w:val="28"/>
        </w:rPr>
      </w:pPr>
      <w:r w:rsidRPr="004700CB">
        <w:rPr>
          <w:rFonts w:ascii="Times New Roman" w:eastAsia="Times New Roman" w:hAnsi="Times New Roman"/>
          <w:sz w:val="28"/>
          <w:szCs w:val="28"/>
        </w:rPr>
        <w:t>– </w:t>
      </w:r>
      <w:r w:rsidR="00906252" w:rsidRPr="00577593">
        <w:rPr>
          <w:rFonts w:ascii="Times New Roman" w:eastAsia="Times New Roman" w:hAnsi="Times New Roman"/>
          <w:sz w:val="28"/>
          <w:szCs w:val="28"/>
        </w:rPr>
        <w:t>б</w:t>
      </w:r>
      <w:r w:rsidR="008925FA" w:rsidRPr="00577593">
        <w:rPr>
          <w:rFonts w:ascii="Times New Roman" w:eastAsia="Times New Roman" w:hAnsi="Times New Roman"/>
          <w:sz w:val="28"/>
          <w:szCs w:val="28"/>
        </w:rPr>
        <w:t>лагоустройство не менее чем 30 тыс. общественных территорий</w:t>
      </w:r>
      <w:r w:rsidR="00BC44B0" w:rsidRPr="00577593">
        <w:rPr>
          <w:rFonts w:ascii="Times New Roman" w:eastAsia="Times New Roman" w:hAnsi="Times New Roman"/>
          <w:sz w:val="28"/>
          <w:szCs w:val="28"/>
        </w:rPr>
        <w:t>;</w:t>
      </w:r>
    </w:p>
    <w:p w:rsidR="00FC41F4" w:rsidRPr="004700CB" w:rsidRDefault="004700CB" w:rsidP="004700CB">
      <w:pPr>
        <w:pStyle w:val="af5"/>
        <w:pBdr>
          <w:top w:val="none" w:sz="4" w:space="0" w:color="000000"/>
          <w:left w:val="none" w:sz="4" w:space="0" w:color="000000"/>
          <w:bottom w:val="none" w:sz="4" w:space="0" w:color="000000"/>
          <w:right w:val="none" w:sz="4" w:space="0" w:color="000000"/>
        </w:pBdr>
        <w:tabs>
          <w:tab w:val="left" w:pos="993"/>
        </w:tabs>
        <w:spacing w:after="0" w:line="240" w:lineRule="auto"/>
        <w:ind w:left="0" w:firstLine="709"/>
        <w:jc w:val="both"/>
        <w:rPr>
          <w:rFonts w:ascii="Times New Roman" w:eastAsia="Times New Roman" w:hAnsi="Times New Roman"/>
          <w:sz w:val="28"/>
          <w:szCs w:val="28"/>
        </w:rPr>
      </w:pPr>
      <w:r w:rsidRPr="004700CB">
        <w:rPr>
          <w:rFonts w:ascii="Times New Roman" w:eastAsia="Times New Roman" w:hAnsi="Times New Roman"/>
          <w:sz w:val="28"/>
          <w:szCs w:val="28"/>
        </w:rPr>
        <w:t>– </w:t>
      </w:r>
      <w:r w:rsidR="00906252" w:rsidRPr="00577593">
        <w:rPr>
          <w:rFonts w:ascii="Times New Roman" w:eastAsia="Times New Roman" w:hAnsi="Times New Roman"/>
          <w:sz w:val="28"/>
          <w:szCs w:val="28"/>
        </w:rPr>
        <w:t>о</w:t>
      </w:r>
      <w:r w:rsidR="008925FA" w:rsidRPr="00577593">
        <w:rPr>
          <w:rFonts w:ascii="Times New Roman" w:eastAsia="Times New Roman" w:hAnsi="Times New Roman"/>
          <w:sz w:val="28"/>
          <w:szCs w:val="28"/>
        </w:rPr>
        <w:t>беспечение значимого роста энергетической и ресурсной эффективности в</w:t>
      </w:r>
      <w:r w:rsidR="00BC44B0" w:rsidRPr="00577593">
        <w:rPr>
          <w:rFonts w:ascii="Times New Roman" w:eastAsia="Times New Roman" w:hAnsi="Times New Roman"/>
          <w:sz w:val="28"/>
          <w:szCs w:val="28"/>
        </w:rPr>
        <w:t> </w:t>
      </w:r>
      <w:r w:rsidR="008925FA" w:rsidRPr="00577593">
        <w:rPr>
          <w:rFonts w:ascii="Times New Roman" w:eastAsia="Times New Roman" w:hAnsi="Times New Roman"/>
          <w:sz w:val="28"/>
          <w:szCs w:val="28"/>
        </w:rPr>
        <w:t>жилищно-коммунальном хозяйстве, промышленном и инфраструктурном строительстве</w:t>
      </w:r>
      <w:r w:rsidR="00BC44B0" w:rsidRPr="00577593">
        <w:rPr>
          <w:rFonts w:ascii="Times New Roman" w:eastAsia="Times New Roman" w:hAnsi="Times New Roman"/>
          <w:sz w:val="28"/>
          <w:szCs w:val="28"/>
        </w:rPr>
        <w:t>;</w:t>
      </w:r>
    </w:p>
    <w:p w:rsidR="00FC41F4" w:rsidRPr="00577593" w:rsidRDefault="004700CB" w:rsidP="004700CB">
      <w:pPr>
        <w:pStyle w:val="af5"/>
        <w:pBdr>
          <w:top w:val="none" w:sz="4" w:space="0" w:color="000000"/>
          <w:left w:val="none" w:sz="4" w:space="0" w:color="000000"/>
          <w:bottom w:val="none" w:sz="4" w:space="0" w:color="000000"/>
          <w:right w:val="none" w:sz="4" w:space="0" w:color="000000"/>
        </w:pBdr>
        <w:tabs>
          <w:tab w:val="left" w:pos="993"/>
        </w:tabs>
        <w:spacing w:after="0" w:line="240" w:lineRule="auto"/>
        <w:ind w:left="0" w:firstLine="709"/>
        <w:jc w:val="both"/>
        <w:rPr>
          <w:rFonts w:ascii="Times New Roman" w:hAnsi="Times New Roman"/>
          <w:sz w:val="28"/>
          <w:szCs w:val="28"/>
        </w:rPr>
      </w:pPr>
      <w:r w:rsidRPr="004700CB">
        <w:rPr>
          <w:rFonts w:ascii="Times New Roman" w:eastAsia="Times New Roman" w:hAnsi="Times New Roman"/>
          <w:sz w:val="28"/>
          <w:szCs w:val="28"/>
        </w:rPr>
        <w:t>– </w:t>
      </w:r>
      <w:r w:rsidR="00906252" w:rsidRPr="00577593">
        <w:rPr>
          <w:rFonts w:ascii="Times New Roman" w:eastAsia="Times New Roman" w:hAnsi="Times New Roman"/>
          <w:sz w:val="28"/>
          <w:szCs w:val="28"/>
        </w:rPr>
        <w:t>у</w:t>
      </w:r>
      <w:r w:rsidR="008925FA" w:rsidRPr="00577593">
        <w:rPr>
          <w:rFonts w:ascii="Times New Roman" w:eastAsia="Times New Roman" w:hAnsi="Times New Roman"/>
          <w:sz w:val="28"/>
          <w:szCs w:val="28"/>
        </w:rPr>
        <w:t>лучшение качества среды для жизни в опорных населенных пунктах на</w:t>
      </w:r>
      <w:r w:rsidR="00BC44B0" w:rsidRPr="00577593">
        <w:rPr>
          <w:rFonts w:ascii="Times New Roman" w:eastAsia="Times New Roman" w:hAnsi="Times New Roman"/>
          <w:sz w:val="28"/>
          <w:szCs w:val="28"/>
        </w:rPr>
        <w:t> </w:t>
      </w:r>
      <w:r w:rsidR="008925FA" w:rsidRPr="00577593">
        <w:rPr>
          <w:rFonts w:ascii="Times New Roman" w:eastAsia="Times New Roman" w:hAnsi="Times New Roman"/>
          <w:sz w:val="28"/>
          <w:szCs w:val="28"/>
        </w:rPr>
        <w:t>30</w:t>
      </w:r>
      <w:r w:rsidR="00BC44B0" w:rsidRPr="00577593">
        <w:rPr>
          <w:rFonts w:ascii="Times New Roman" w:eastAsia="Times New Roman" w:hAnsi="Times New Roman"/>
          <w:sz w:val="28"/>
          <w:szCs w:val="28"/>
        </w:rPr>
        <w:t> </w:t>
      </w:r>
      <w:r w:rsidR="008925FA" w:rsidRPr="00577593">
        <w:rPr>
          <w:rFonts w:ascii="Times New Roman" w:eastAsia="Times New Roman" w:hAnsi="Times New Roman"/>
          <w:sz w:val="28"/>
          <w:szCs w:val="28"/>
        </w:rPr>
        <w:t>процентов к 2030 году и на 60 процентов к 2036 году</w:t>
      </w:r>
      <w:r w:rsidR="00BC44B0" w:rsidRPr="00577593">
        <w:rPr>
          <w:rFonts w:ascii="Times New Roman" w:eastAsia="Times New Roman" w:hAnsi="Times New Roman"/>
          <w:sz w:val="28"/>
          <w:szCs w:val="28"/>
        </w:rPr>
        <w:t>;</w:t>
      </w:r>
    </w:p>
    <w:p w:rsidR="00FC41F4" w:rsidRPr="00577593" w:rsidRDefault="008925FA" w:rsidP="004700CB">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В Стратегии социально-экономического развития Алтайского края </w:t>
      </w:r>
      <w:r w:rsidR="00A91267" w:rsidRPr="00577593">
        <w:rPr>
          <w:rFonts w:ascii="Times New Roman" w:eastAsia="Times New Roman" w:hAnsi="Times New Roman"/>
          <w:sz w:val="28"/>
          <w:szCs w:val="28"/>
        </w:rPr>
        <w:br/>
      </w:r>
      <w:r w:rsidRPr="00577593">
        <w:rPr>
          <w:rFonts w:ascii="Times New Roman" w:eastAsia="Times New Roman" w:hAnsi="Times New Roman"/>
          <w:sz w:val="28"/>
          <w:szCs w:val="28"/>
        </w:rPr>
        <w:t>до 2035 года определена следующая задача:</w:t>
      </w:r>
    </w:p>
    <w:p w:rsidR="00704AF6" w:rsidRPr="00577593" w:rsidRDefault="004700CB" w:rsidP="004700CB">
      <w:pPr>
        <w:pStyle w:val="af5"/>
        <w:pBdr>
          <w:top w:val="none" w:sz="4" w:space="0" w:color="000000"/>
          <w:left w:val="none" w:sz="4" w:space="0" w:color="000000"/>
          <w:bottom w:val="none" w:sz="4" w:space="0" w:color="000000"/>
          <w:right w:val="none" w:sz="4" w:space="0" w:color="000000"/>
        </w:pBdr>
        <w:tabs>
          <w:tab w:val="left" w:pos="993"/>
        </w:tabs>
        <w:spacing w:after="0" w:line="240" w:lineRule="auto"/>
        <w:ind w:left="0" w:firstLine="709"/>
        <w:jc w:val="both"/>
        <w:rPr>
          <w:rFonts w:ascii="Times New Roman" w:eastAsia="Times New Roman" w:hAnsi="Times New Roman"/>
          <w:sz w:val="28"/>
          <w:szCs w:val="28"/>
        </w:rPr>
      </w:pPr>
      <w:r w:rsidRPr="004700CB">
        <w:rPr>
          <w:rFonts w:ascii="Times New Roman" w:eastAsia="Times New Roman" w:hAnsi="Times New Roman"/>
          <w:sz w:val="28"/>
          <w:szCs w:val="28"/>
        </w:rPr>
        <w:t>– </w:t>
      </w:r>
      <w:r w:rsidR="00906252" w:rsidRPr="00577593">
        <w:rPr>
          <w:rFonts w:ascii="Times New Roman" w:eastAsia="Times New Roman" w:hAnsi="Times New Roman"/>
          <w:sz w:val="28"/>
          <w:szCs w:val="28"/>
        </w:rPr>
        <w:t>с</w:t>
      </w:r>
      <w:r w:rsidR="008925FA" w:rsidRPr="00577593">
        <w:rPr>
          <w:rFonts w:ascii="Times New Roman" w:eastAsia="Times New Roman" w:hAnsi="Times New Roman"/>
          <w:sz w:val="28"/>
          <w:szCs w:val="28"/>
        </w:rPr>
        <w:t>оздание комфортных условий проживания и обеспечение населения качественными жилищно-коммунальными услугами на всей территории края.</w:t>
      </w:r>
    </w:p>
    <w:p w:rsidR="00704AF6" w:rsidRPr="00577593" w:rsidRDefault="00704AF6" w:rsidP="004700CB">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Направления реализации задачи «</w:t>
      </w:r>
      <w:r w:rsidRPr="00577593">
        <w:rPr>
          <w:rFonts w:ascii="Times New Roman" w:eastAsia="Times New Roman" w:hAnsi="Times New Roman"/>
          <w:bCs/>
          <w:sz w:val="28"/>
          <w:szCs w:val="28"/>
        </w:rPr>
        <w:t>Градостроительная политика и пространственное развитие</w:t>
      </w:r>
      <w:r w:rsidRPr="00577593">
        <w:rPr>
          <w:rFonts w:ascii="Times New Roman" w:eastAsia="Times New Roman" w:hAnsi="Times New Roman"/>
          <w:sz w:val="28"/>
          <w:szCs w:val="28"/>
        </w:rPr>
        <w:t>» в городе Барнауле:</w:t>
      </w:r>
    </w:p>
    <w:p w:rsidR="001B180B" w:rsidRPr="00577593" w:rsidRDefault="004700CB" w:rsidP="004700CB">
      <w:pPr>
        <w:spacing w:after="0" w:line="240" w:lineRule="auto"/>
        <w:ind w:firstLine="709"/>
        <w:contextualSpacing/>
        <w:jc w:val="both"/>
        <w:rPr>
          <w:rFonts w:ascii="Times New Roman" w:hAnsi="Times New Roman"/>
          <w:sz w:val="28"/>
          <w:szCs w:val="28"/>
        </w:rPr>
      </w:pPr>
      <w:r w:rsidRPr="004700CB">
        <w:rPr>
          <w:rFonts w:ascii="Times New Roman" w:eastAsia="Times New Roman" w:hAnsi="Times New Roman"/>
          <w:bCs/>
          <w:sz w:val="28"/>
          <w:szCs w:val="28"/>
        </w:rPr>
        <w:t>– </w:t>
      </w:r>
      <w:r>
        <w:rPr>
          <w:rFonts w:ascii="Times New Roman" w:eastAsia="Times New Roman" w:hAnsi="Times New Roman"/>
          <w:bCs/>
          <w:sz w:val="28"/>
          <w:szCs w:val="28"/>
        </w:rPr>
        <w:t>п</w:t>
      </w:r>
      <w:r w:rsidR="001B180B" w:rsidRPr="00577593">
        <w:rPr>
          <w:rFonts w:ascii="Times New Roman" w:eastAsia="Times New Roman" w:hAnsi="Times New Roman"/>
          <w:bCs/>
          <w:sz w:val="28"/>
          <w:szCs w:val="28"/>
        </w:rPr>
        <w:t>роведение комплексной градостроительной политики;</w:t>
      </w:r>
    </w:p>
    <w:p w:rsidR="001B180B" w:rsidRPr="00577593" w:rsidRDefault="004700CB" w:rsidP="004700CB">
      <w:pPr>
        <w:spacing w:after="0" w:line="240" w:lineRule="auto"/>
        <w:ind w:firstLine="709"/>
        <w:contextualSpacing/>
        <w:jc w:val="both"/>
        <w:rPr>
          <w:rFonts w:ascii="Times New Roman" w:hAnsi="Times New Roman"/>
          <w:sz w:val="28"/>
          <w:szCs w:val="28"/>
        </w:rPr>
      </w:pPr>
      <w:r w:rsidRPr="004700CB">
        <w:rPr>
          <w:rFonts w:ascii="Times New Roman" w:eastAsia="Times New Roman" w:hAnsi="Times New Roman"/>
          <w:bCs/>
          <w:sz w:val="28"/>
          <w:szCs w:val="28"/>
        </w:rPr>
        <w:t>– </w:t>
      </w:r>
      <w:r w:rsidR="0000746E">
        <w:rPr>
          <w:rFonts w:ascii="Times New Roman" w:eastAsia="Times New Roman" w:hAnsi="Times New Roman"/>
          <w:bCs/>
          <w:sz w:val="28"/>
          <w:szCs w:val="28"/>
        </w:rPr>
        <w:t xml:space="preserve">внедрение </w:t>
      </w:r>
      <w:r>
        <w:rPr>
          <w:rFonts w:ascii="Times New Roman" w:eastAsia="Times New Roman" w:hAnsi="Times New Roman"/>
          <w:bCs/>
          <w:sz w:val="28"/>
          <w:szCs w:val="28"/>
        </w:rPr>
        <w:t>э</w:t>
      </w:r>
      <w:r w:rsidR="001B180B" w:rsidRPr="00577593">
        <w:rPr>
          <w:rFonts w:ascii="Times New Roman" w:eastAsia="Times New Roman" w:hAnsi="Times New Roman"/>
          <w:bCs/>
          <w:sz w:val="28"/>
          <w:szCs w:val="28"/>
        </w:rPr>
        <w:t>лектронн</w:t>
      </w:r>
      <w:r w:rsidR="0000746E">
        <w:rPr>
          <w:rFonts w:ascii="Times New Roman" w:eastAsia="Times New Roman" w:hAnsi="Times New Roman"/>
          <w:bCs/>
          <w:sz w:val="28"/>
          <w:szCs w:val="28"/>
        </w:rPr>
        <w:t>ой</w:t>
      </w:r>
      <w:r w:rsidR="001B180B" w:rsidRPr="00577593">
        <w:rPr>
          <w:rFonts w:ascii="Times New Roman" w:eastAsia="Times New Roman" w:hAnsi="Times New Roman"/>
          <w:bCs/>
          <w:sz w:val="28"/>
          <w:szCs w:val="28"/>
        </w:rPr>
        <w:t xml:space="preserve"> систем</w:t>
      </w:r>
      <w:r w:rsidR="0000746E">
        <w:rPr>
          <w:rFonts w:ascii="Times New Roman" w:eastAsia="Times New Roman" w:hAnsi="Times New Roman"/>
          <w:bCs/>
          <w:sz w:val="28"/>
          <w:szCs w:val="28"/>
        </w:rPr>
        <w:t>ы</w:t>
      </w:r>
      <w:r w:rsidR="001B180B" w:rsidRPr="00577593">
        <w:rPr>
          <w:rFonts w:ascii="Times New Roman" w:eastAsia="Times New Roman" w:hAnsi="Times New Roman"/>
          <w:bCs/>
          <w:sz w:val="28"/>
          <w:szCs w:val="28"/>
        </w:rPr>
        <w:t xml:space="preserve"> градостроительной деятельности;</w:t>
      </w:r>
    </w:p>
    <w:p w:rsidR="001B180B" w:rsidRPr="00577593" w:rsidRDefault="004700CB" w:rsidP="004700CB">
      <w:pPr>
        <w:spacing w:after="0" w:line="240" w:lineRule="auto"/>
        <w:ind w:firstLine="709"/>
        <w:contextualSpacing/>
        <w:jc w:val="both"/>
        <w:rPr>
          <w:rFonts w:ascii="Times New Roman" w:hAnsi="Times New Roman"/>
          <w:sz w:val="28"/>
          <w:szCs w:val="28"/>
        </w:rPr>
      </w:pPr>
      <w:r w:rsidRPr="004700CB">
        <w:rPr>
          <w:rFonts w:ascii="Times New Roman" w:eastAsia="Times New Roman" w:hAnsi="Times New Roman"/>
          <w:bCs/>
          <w:sz w:val="28"/>
          <w:szCs w:val="28"/>
        </w:rPr>
        <w:t>– </w:t>
      </w:r>
      <w:r>
        <w:rPr>
          <w:rFonts w:ascii="Times New Roman" w:eastAsia="Times New Roman" w:hAnsi="Times New Roman"/>
          <w:bCs/>
          <w:sz w:val="28"/>
          <w:szCs w:val="28"/>
        </w:rPr>
        <w:t>с</w:t>
      </w:r>
      <w:r w:rsidR="001B180B" w:rsidRPr="00577593">
        <w:rPr>
          <w:rFonts w:ascii="Times New Roman" w:eastAsia="Times New Roman" w:hAnsi="Times New Roman"/>
          <w:bCs/>
          <w:sz w:val="28"/>
          <w:szCs w:val="28"/>
        </w:rPr>
        <w:t>балансированное развитие застроенных территорий города;</w:t>
      </w:r>
    </w:p>
    <w:p w:rsidR="001B180B" w:rsidRPr="00577593" w:rsidRDefault="004700CB" w:rsidP="004700CB">
      <w:pPr>
        <w:spacing w:after="0" w:line="240" w:lineRule="auto"/>
        <w:ind w:firstLine="709"/>
        <w:contextualSpacing/>
        <w:jc w:val="both"/>
        <w:rPr>
          <w:rFonts w:ascii="Times New Roman" w:hAnsi="Times New Roman"/>
          <w:sz w:val="28"/>
          <w:szCs w:val="28"/>
        </w:rPr>
      </w:pPr>
      <w:r w:rsidRPr="004700CB">
        <w:rPr>
          <w:rFonts w:ascii="Times New Roman" w:eastAsia="Times New Roman" w:hAnsi="Times New Roman"/>
          <w:bCs/>
          <w:sz w:val="28"/>
          <w:szCs w:val="28"/>
        </w:rPr>
        <w:t>– </w:t>
      </w:r>
      <w:r>
        <w:rPr>
          <w:rFonts w:ascii="Times New Roman" w:eastAsia="Times New Roman" w:hAnsi="Times New Roman"/>
          <w:bCs/>
          <w:sz w:val="28"/>
          <w:szCs w:val="28"/>
        </w:rPr>
        <w:t>р</w:t>
      </w:r>
      <w:r w:rsidR="001B180B" w:rsidRPr="00577593">
        <w:rPr>
          <w:rFonts w:ascii="Times New Roman" w:eastAsia="Times New Roman" w:hAnsi="Times New Roman"/>
          <w:bCs/>
          <w:sz w:val="28"/>
          <w:szCs w:val="28"/>
        </w:rPr>
        <w:t>азвитие исторического центра и сохранение исторического наследия;</w:t>
      </w:r>
    </w:p>
    <w:p w:rsidR="001B180B" w:rsidRPr="00577593" w:rsidRDefault="004700CB" w:rsidP="004700CB">
      <w:pPr>
        <w:spacing w:after="0" w:line="240" w:lineRule="auto"/>
        <w:ind w:firstLine="709"/>
        <w:contextualSpacing/>
        <w:jc w:val="both"/>
        <w:rPr>
          <w:rFonts w:ascii="Times New Roman" w:hAnsi="Times New Roman"/>
          <w:sz w:val="28"/>
          <w:szCs w:val="28"/>
        </w:rPr>
      </w:pPr>
      <w:r w:rsidRPr="004700CB">
        <w:rPr>
          <w:rFonts w:ascii="Times New Roman" w:eastAsia="Times New Roman" w:hAnsi="Times New Roman"/>
          <w:bCs/>
          <w:sz w:val="28"/>
          <w:szCs w:val="28"/>
        </w:rPr>
        <w:t>– </w:t>
      </w:r>
      <w:r>
        <w:rPr>
          <w:rFonts w:ascii="Times New Roman" w:eastAsia="Times New Roman" w:hAnsi="Times New Roman"/>
          <w:bCs/>
          <w:sz w:val="28"/>
          <w:szCs w:val="28"/>
        </w:rPr>
        <w:t>у</w:t>
      </w:r>
      <w:r w:rsidR="001B180B" w:rsidRPr="00577593">
        <w:rPr>
          <w:rFonts w:ascii="Times New Roman" w:eastAsia="Times New Roman" w:hAnsi="Times New Roman"/>
          <w:bCs/>
          <w:sz w:val="28"/>
          <w:szCs w:val="28"/>
        </w:rPr>
        <w:t>плотнение застройки и насыщение функциями Центрального района города Барнаула;</w:t>
      </w:r>
    </w:p>
    <w:p w:rsidR="001B180B" w:rsidRPr="00577593" w:rsidRDefault="004700CB" w:rsidP="004700CB">
      <w:pPr>
        <w:spacing w:after="0" w:line="240" w:lineRule="auto"/>
        <w:ind w:firstLine="709"/>
        <w:contextualSpacing/>
        <w:jc w:val="both"/>
        <w:rPr>
          <w:rFonts w:ascii="Times New Roman" w:hAnsi="Times New Roman"/>
          <w:sz w:val="28"/>
          <w:szCs w:val="28"/>
        </w:rPr>
      </w:pPr>
      <w:r w:rsidRPr="004700CB">
        <w:rPr>
          <w:rFonts w:ascii="Times New Roman" w:eastAsia="Times New Roman" w:hAnsi="Times New Roman"/>
          <w:bCs/>
          <w:sz w:val="28"/>
          <w:szCs w:val="28"/>
        </w:rPr>
        <w:lastRenderedPageBreak/>
        <w:t>– </w:t>
      </w:r>
      <w:r>
        <w:rPr>
          <w:rFonts w:ascii="Times New Roman" w:eastAsia="Times New Roman" w:hAnsi="Times New Roman"/>
          <w:bCs/>
          <w:sz w:val="28"/>
          <w:szCs w:val="28"/>
        </w:rPr>
        <w:t>к</w:t>
      </w:r>
      <w:r w:rsidR="001B180B" w:rsidRPr="00577593">
        <w:rPr>
          <w:rFonts w:ascii="Times New Roman" w:eastAsia="Times New Roman" w:hAnsi="Times New Roman"/>
          <w:bCs/>
          <w:sz w:val="28"/>
          <w:szCs w:val="28"/>
        </w:rPr>
        <w:t>омплексное развитие городских территорий;</w:t>
      </w:r>
    </w:p>
    <w:p w:rsidR="001B180B" w:rsidRPr="00577593" w:rsidRDefault="004700CB" w:rsidP="004700CB">
      <w:pPr>
        <w:spacing w:after="0" w:line="240" w:lineRule="auto"/>
        <w:ind w:firstLine="709"/>
        <w:contextualSpacing/>
        <w:jc w:val="both"/>
        <w:rPr>
          <w:rFonts w:ascii="Times New Roman" w:hAnsi="Times New Roman"/>
          <w:sz w:val="28"/>
          <w:szCs w:val="28"/>
        </w:rPr>
      </w:pPr>
      <w:r w:rsidRPr="004700CB">
        <w:rPr>
          <w:rFonts w:ascii="Times New Roman" w:eastAsia="Times New Roman" w:hAnsi="Times New Roman"/>
          <w:bCs/>
          <w:sz w:val="28"/>
          <w:szCs w:val="28"/>
        </w:rPr>
        <w:t>– </w:t>
      </w:r>
      <w:r>
        <w:rPr>
          <w:rFonts w:ascii="Times New Roman" w:eastAsia="Times New Roman" w:hAnsi="Times New Roman"/>
          <w:bCs/>
          <w:sz w:val="28"/>
          <w:szCs w:val="28"/>
        </w:rPr>
        <w:t>р</w:t>
      </w:r>
      <w:r w:rsidR="001B180B" w:rsidRPr="00577593">
        <w:rPr>
          <w:rFonts w:ascii="Times New Roman" w:eastAsia="Times New Roman" w:hAnsi="Times New Roman"/>
          <w:bCs/>
          <w:sz w:val="28"/>
          <w:szCs w:val="28"/>
        </w:rPr>
        <w:t>асселение аварийного жилого фонда;</w:t>
      </w:r>
    </w:p>
    <w:p w:rsidR="001B180B" w:rsidRPr="00577593" w:rsidRDefault="004700CB" w:rsidP="004700CB">
      <w:pPr>
        <w:spacing w:after="0" w:line="240" w:lineRule="auto"/>
        <w:ind w:firstLine="709"/>
        <w:contextualSpacing/>
        <w:jc w:val="both"/>
        <w:rPr>
          <w:rFonts w:ascii="Times New Roman" w:hAnsi="Times New Roman"/>
          <w:sz w:val="28"/>
          <w:szCs w:val="28"/>
        </w:rPr>
      </w:pPr>
      <w:r w:rsidRPr="004700CB">
        <w:rPr>
          <w:rFonts w:ascii="Times New Roman" w:eastAsia="Times New Roman" w:hAnsi="Times New Roman"/>
          <w:bCs/>
          <w:sz w:val="28"/>
          <w:szCs w:val="28"/>
        </w:rPr>
        <w:t>– </w:t>
      </w:r>
      <w:r>
        <w:rPr>
          <w:rFonts w:ascii="Times New Roman" w:eastAsia="Times New Roman" w:hAnsi="Times New Roman"/>
          <w:bCs/>
          <w:sz w:val="28"/>
          <w:szCs w:val="28"/>
        </w:rPr>
        <w:t>р</w:t>
      </w:r>
      <w:r w:rsidR="001B180B" w:rsidRPr="00577593">
        <w:rPr>
          <w:rFonts w:ascii="Times New Roman" w:eastAsia="Times New Roman" w:hAnsi="Times New Roman"/>
          <w:bCs/>
          <w:sz w:val="28"/>
          <w:szCs w:val="28"/>
        </w:rPr>
        <w:t>азвитие новой жилой застройки на основах социального партнерства с застройщиками и другими заинтересованными сторонами</w:t>
      </w:r>
      <w:r w:rsidR="00341900" w:rsidRPr="00577593">
        <w:rPr>
          <w:rFonts w:ascii="Times New Roman" w:eastAsia="Times New Roman" w:hAnsi="Times New Roman"/>
          <w:bCs/>
          <w:sz w:val="28"/>
          <w:szCs w:val="28"/>
        </w:rPr>
        <w:t>;</w:t>
      </w:r>
    </w:p>
    <w:p w:rsidR="00341900" w:rsidRPr="00577593" w:rsidRDefault="004700CB" w:rsidP="004700CB">
      <w:pPr>
        <w:spacing w:after="0" w:line="240" w:lineRule="auto"/>
        <w:ind w:firstLine="709"/>
        <w:contextualSpacing/>
        <w:jc w:val="both"/>
        <w:rPr>
          <w:rFonts w:ascii="Times New Roman" w:hAnsi="Times New Roman"/>
          <w:sz w:val="28"/>
          <w:szCs w:val="28"/>
        </w:rPr>
      </w:pPr>
      <w:r w:rsidRPr="004700CB">
        <w:rPr>
          <w:rFonts w:ascii="Times New Roman" w:eastAsia="Times New Roman" w:hAnsi="Times New Roman"/>
          <w:bCs/>
          <w:sz w:val="28"/>
          <w:szCs w:val="28"/>
        </w:rPr>
        <w:t>– </w:t>
      </w:r>
      <w:r>
        <w:rPr>
          <w:rFonts w:ascii="Times New Roman" w:eastAsia="Times New Roman" w:hAnsi="Times New Roman"/>
          <w:bCs/>
          <w:sz w:val="28"/>
          <w:szCs w:val="28"/>
        </w:rPr>
        <w:t>н</w:t>
      </w:r>
      <w:r w:rsidR="00341900" w:rsidRPr="00577593">
        <w:rPr>
          <w:rFonts w:ascii="Times New Roman" w:eastAsia="Times New Roman" w:hAnsi="Times New Roman"/>
          <w:bCs/>
          <w:sz w:val="28"/>
          <w:szCs w:val="28"/>
        </w:rPr>
        <w:t>овое жилищное строительство;</w:t>
      </w:r>
    </w:p>
    <w:p w:rsidR="00E06492" w:rsidRPr="00577593" w:rsidRDefault="004700CB" w:rsidP="004700CB">
      <w:pPr>
        <w:spacing w:after="0" w:line="240" w:lineRule="auto"/>
        <w:ind w:firstLine="709"/>
        <w:contextualSpacing/>
        <w:jc w:val="both"/>
        <w:rPr>
          <w:rFonts w:ascii="Times New Roman" w:hAnsi="Times New Roman"/>
          <w:sz w:val="28"/>
          <w:szCs w:val="28"/>
        </w:rPr>
      </w:pPr>
      <w:r w:rsidRPr="004700CB">
        <w:rPr>
          <w:rFonts w:ascii="Times New Roman" w:eastAsia="Times New Roman" w:hAnsi="Times New Roman"/>
          <w:bCs/>
          <w:sz w:val="28"/>
          <w:szCs w:val="28"/>
        </w:rPr>
        <w:t>– </w:t>
      </w:r>
      <w:r>
        <w:rPr>
          <w:rFonts w:ascii="Times New Roman" w:eastAsia="Times New Roman" w:hAnsi="Times New Roman"/>
          <w:bCs/>
          <w:sz w:val="28"/>
          <w:szCs w:val="28"/>
        </w:rPr>
        <w:t>м</w:t>
      </w:r>
      <w:r w:rsidR="00341900" w:rsidRPr="00577593">
        <w:rPr>
          <w:rFonts w:ascii="Times New Roman" w:eastAsia="Times New Roman" w:hAnsi="Times New Roman"/>
          <w:bCs/>
          <w:sz w:val="28"/>
          <w:szCs w:val="28"/>
        </w:rPr>
        <w:t xml:space="preserve">алоэтажное строительство в пригородной зоне </w:t>
      </w:r>
      <w:r>
        <w:rPr>
          <w:rFonts w:ascii="Times New Roman" w:eastAsia="Times New Roman" w:hAnsi="Times New Roman"/>
          <w:bCs/>
          <w:sz w:val="28"/>
          <w:szCs w:val="28"/>
        </w:rPr>
        <w:t xml:space="preserve">города </w:t>
      </w:r>
      <w:r w:rsidR="00341900" w:rsidRPr="00577593">
        <w:rPr>
          <w:rFonts w:ascii="Times New Roman" w:eastAsia="Times New Roman" w:hAnsi="Times New Roman"/>
          <w:bCs/>
          <w:sz w:val="28"/>
          <w:szCs w:val="28"/>
        </w:rPr>
        <w:t>Барнаула.</w:t>
      </w:r>
    </w:p>
    <w:p w:rsidR="00FC41F4" w:rsidRPr="00577593" w:rsidRDefault="008925FA" w:rsidP="008D738C">
      <w:pPr>
        <w:pStyle w:val="3"/>
        <w:pBdr>
          <w:top w:val="none" w:sz="4" w:space="0" w:color="000000"/>
          <w:left w:val="none" w:sz="4" w:space="0" w:color="000000"/>
          <w:bottom w:val="none" w:sz="4" w:space="0" w:color="000000"/>
          <w:right w:val="none" w:sz="4" w:space="0" w:color="000000"/>
        </w:pBdr>
        <w:spacing w:before="0" w:line="240" w:lineRule="auto"/>
        <w:ind w:firstLine="709"/>
        <w:jc w:val="both"/>
        <w:rPr>
          <w:rFonts w:ascii="Times New Roman" w:hAnsi="Times New Roman"/>
          <w:bCs/>
          <w:color w:val="auto"/>
          <w:sz w:val="28"/>
          <w:szCs w:val="28"/>
        </w:rPr>
      </w:pPr>
      <w:bookmarkStart w:id="423" w:name="_Toc208496715"/>
      <w:bookmarkStart w:id="424" w:name="_Toc208668997"/>
      <w:bookmarkStart w:id="425" w:name="_Toc212804346"/>
      <w:r w:rsidRPr="00577593">
        <w:rPr>
          <w:rFonts w:ascii="Times New Roman" w:eastAsia="Times New Roman" w:hAnsi="Times New Roman"/>
          <w:bCs/>
          <w:color w:val="auto"/>
          <w:sz w:val="28"/>
          <w:szCs w:val="28"/>
        </w:rPr>
        <w:t>9.3.1.1</w:t>
      </w:r>
      <w:r w:rsidR="004700CB">
        <w:rPr>
          <w:rFonts w:ascii="Times New Roman" w:eastAsia="Times New Roman" w:hAnsi="Times New Roman"/>
          <w:bCs/>
          <w:color w:val="auto"/>
          <w:sz w:val="28"/>
          <w:szCs w:val="28"/>
        </w:rPr>
        <w:t>.</w:t>
      </w:r>
      <w:r w:rsidRPr="00577593">
        <w:rPr>
          <w:rFonts w:ascii="Times New Roman" w:eastAsia="Times New Roman" w:hAnsi="Times New Roman"/>
          <w:bCs/>
          <w:color w:val="auto"/>
          <w:sz w:val="28"/>
          <w:szCs w:val="28"/>
        </w:rPr>
        <w:t xml:space="preserve"> Проведение комплексной градостроительной политики</w:t>
      </w:r>
      <w:bookmarkEnd w:id="423"/>
      <w:bookmarkEnd w:id="424"/>
      <w:bookmarkEnd w:id="425"/>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Достижение целей Стратегии социально-экономического развития </w:t>
      </w:r>
      <w:r w:rsidR="00CE7D28">
        <w:rPr>
          <w:rFonts w:ascii="Times New Roman" w:eastAsia="Times New Roman" w:hAnsi="Times New Roman"/>
          <w:sz w:val="28"/>
          <w:szCs w:val="28"/>
        </w:rPr>
        <w:t>города Барнаула</w:t>
      </w:r>
      <w:r w:rsidRPr="00577593">
        <w:rPr>
          <w:rFonts w:ascii="Times New Roman" w:eastAsia="Times New Roman" w:hAnsi="Times New Roman"/>
          <w:sz w:val="28"/>
          <w:szCs w:val="28"/>
        </w:rPr>
        <w:t xml:space="preserve"> возможно только во взаимоувязке с Генеральным планом. Выбор приоритетов пространственного развития столицы Алтайского края должен опираться на план реализации мероприятий и положений Генерального плана. Необходимо на регулярной основе актуализировать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Одной из задач градостроительной политики городского округа является совершенствование механизмов градостроительного зонирования городской территории. Инструмент градостроительного зонирования позволяет настраивать использование территорий города в целях сбалансированного развития городского округа, внедрения оптимального землепользования, предотвращения разрастания городской застройки, реализации компактной модели города. В </w:t>
      </w:r>
      <w:r w:rsidR="00CE7D28">
        <w:rPr>
          <w:rFonts w:ascii="Times New Roman" w:eastAsia="Times New Roman" w:hAnsi="Times New Roman"/>
          <w:sz w:val="28"/>
          <w:szCs w:val="28"/>
        </w:rPr>
        <w:t xml:space="preserve">городе </w:t>
      </w:r>
      <w:r w:rsidRPr="00577593">
        <w:rPr>
          <w:rFonts w:ascii="Times New Roman" w:eastAsia="Times New Roman" w:hAnsi="Times New Roman"/>
          <w:sz w:val="28"/>
          <w:szCs w:val="28"/>
        </w:rPr>
        <w:t xml:space="preserve">Барнауле ограничено предложение свободных земельных участков для застройки, наблюдается их дефицит. Новое жилое и коммерческое строительство на окраинах города растягивает коммуникации, увеличивает маятниковую миграцию, усиливает нагрузку на городской бюджет. Приоритетным направлением градостроительной политики должно быть уплотнение застройки в центральных частях города на территориях с неэффективным землепользованием через новое жилищное строительство и строительство объектов общественно-деловой застройки. </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Следует улучшать архитектурный облик города через реализацию положений местных нормативов градостроительной деятельности, правил землепользования и застройки, за счет внедрения требований архитектурно-градостроительного облика в градостроительную практику. Необходимо эффективно использовать рекламное пространство города, в том числе за счет внедрения дизайн-кода города.</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Дополнительный импульс к проведению комплексной градостроительной политики должна дать разработка мастер-плана </w:t>
      </w:r>
      <w:r w:rsidR="00CE7D28">
        <w:rPr>
          <w:rFonts w:ascii="Times New Roman" w:eastAsia="Times New Roman" w:hAnsi="Times New Roman"/>
          <w:sz w:val="28"/>
          <w:szCs w:val="28"/>
        </w:rPr>
        <w:t xml:space="preserve">города </w:t>
      </w:r>
      <w:r w:rsidRPr="00577593">
        <w:rPr>
          <w:rFonts w:ascii="Times New Roman" w:eastAsia="Times New Roman" w:hAnsi="Times New Roman"/>
          <w:sz w:val="28"/>
          <w:szCs w:val="28"/>
        </w:rPr>
        <w:t xml:space="preserve">Барнаула, который обеспечит взаимную увязку документов стратегического и территориального планирования местного, регионального и федерального значения, касающихся </w:t>
      </w:r>
      <w:r w:rsidR="00CE7D28">
        <w:rPr>
          <w:rFonts w:ascii="Times New Roman" w:eastAsia="Times New Roman" w:hAnsi="Times New Roman"/>
          <w:sz w:val="28"/>
          <w:szCs w:val="28"/>
        </w:rPr>
        <w:t>города</w:t>
      </w:r>
      <w:r w:rsidRPr="00577593">
        <w:rPr>
          <w:rFonts w:ascii="Times New Roman" w:eastAsia="Times New Roman" w:hAnsi="Times New Roman"/>
          <w:sz w:val="28"/>
          <w:szCs w:val="28"/>
        </w:rPr>
        <w:t xml:space="preserve">. Мастер-план должен сформировать основу для планирования и управления пространственным развитием </w:t>
      </w:r>
      <w:r w:rsidR="00CE7D28">
        <w:rPr>
          <w:rFonts w:ascii="Times New Roman" w:eastAsia="Times New Roman" w:hAnsi="Times New Roman"/>
          <w:sz w:val="28"/>
          <w:szCs w:val="28"/>
        </w:rPr>
        <w:t>города</w:t>
      </w:r>
      <w:r w:rsidRPr="00577593">
        <w:rPr>
          <w:rFonts w:ascii="Times New Roman" w:eastAsia="Times New Roman" w:hAnsi="Times New Roman"/>
          <w:sz w:val="28"/>
          <w:szCs w:val="28"/>
        </w:rPr>
        <w:t>. Мастер-пл</w:t>
      </w:r>
      <w:r w:rsidR="00CE7D28">
        <w:rPr>
          <w:rFonts w:ascii="Times New Roman" w:eastAsia="Times New Roman" w:hAnsi="Times New Roman"/>
          <w:sz w:val="28"/>
          <w:szCs w:val="28"/>
        </w:rPr>
        <w:t>ан</w:t>
      </w:r>
      <w:r w:rsidRPr="00577593">
        <w:rPr>
          <w:rFonts w:ascii="Times New Roman" w:eastAsia="Times New Roman" w:hAnsi="Times New Roman"/>
          <w:sz w:val="28"/>
          <w:szCs w:val="28"/>
        </w:rPr>
        <w:t xml:space="preserve"> должен ориентироваться на повышение эффективности экономики города за счет концентрации экономической деятельности и развития агломерационных связей, обеспечение научно-</w:t>
      </w:r>
      <w:r w:rsidR="00CE7D28">
        <w:rPr>
          <w:rFonts w:ascii="Times New Roman" w:eastAsia="Times New Roman" w:hAnsi="Times New Roman"/>
          <w:sz w:val="28"/>
          <w:szCs w:val="28"/>
        </w:rPr>
        <w:br/>
      </w:r>
      <w:r w:rsidRPr="00577593">
        <w:rPr>
          <w:rFonts w:ascii="Times New Roman" w:eastAsia="Times New Roman" w:hAnsi="Times New Roman"/>
          <w:sz w:val="28"/>
          <w:szCs w:val="28"/>
        </w:rPr>
        <w:lastRenderedPageBreak/>
        <w:t>технологического и инновационного развития столицы Алтайского края, обеспечение транспортной и социальной инфраструктурой инвестиционных проектов, создание условий для активного жилищного строительства, применение инфраструктурных инструментов развития территорий, направленных на вовлечение в экономический оборот неэффективно используемых территорий с учетом исторически сложившейся экономической специализации города и Алтайского края.</w:t>
      </w:r>
    </w:p>
    <w:p w:rsidR="00FC41F4" w:rsidRPr="00577593" w:rsidRDefault="008925FA" w:rsidP="008D738C">
      <w:pPr>
        <w:pStyle w:val="3"/>
        <w:pBdr>
          <w:top w:val="none" w:sz="4" w:space="0" w:color="000000"/>
          <w:left w:val="none" w:sz="4" w:space="0" w:color="000000"/>
          <w:bottom w:val="none" w:sz="4" w:space="0" w:color="000000"/>
          <w:right w:val="none" w:sz="4" w:space="0" w:color="000000"/>
        </w:pBdr>
        <w:spacing w:before="0" w:line="240" w:lineRule="auto"/>
        <w:ind w:firstLine="709"/>
        <w:jc w:val="both"/>
        <w:rPr>
          <w:rFonts w:ascii="Times New Roman" w:hAnsi="Times New Roman"/>
          <w:bCs/>
          <w:color w:val="auto"/>
          <w:sz w:val="28"/>
          <w:szCs w:val="28"/>
        </w:rPr>
      </w:pPr>
      <w:bookmarkStart w:id="426" w:name="_Toc208496716"/>
      <w:bookmarkStart w:id="427" w:name="_Toc208668998"/>
      <w:bookmarkStart w:id="428" w:name="_Toc212804347"/>
      <w:r w:rsidRPr="00577593">
        <w:rPr>
          <w:rFonts w:ascii="Times New Roman" w:eastAsia="Times New Roman" w:hAnsi="Times New Roman"/>
          <w:bCs/>
          <w:color w:val="auto"/>
          <w:sz w:val="28"/>
          <w:szCs w:val="28"/>
        </w:rPr>
        <w:t>9.3.1.2</w:t>
      </w:r>
      <w:r w:rsidR="004700CB">
        <w:rPr>
          <w:rFonts w:ascii="Times New Roman" w:eastAsia="Times New Roman" w:hAnsi="Times New Roman"/>
          <w:bCs/>
          <w:color w:val="auto"/>
          <w:sz w:val="28"/>
          <w:szCs w:val="28"/>
        </w:rPr>
        <w:t>.</w:t>
      </w:r>
      <w:r w:rsidRPr="00577593">
        <w:rPr>
          <w:rFonts w:ascii="Times New Roman" w:eastAsia="Times New Roman" w:hAnsi="Times New Roman"/>
          <w:bCs/>
          <w:color w:val="auto"/>
          <w:sz w:val="28"/>
          <w:szCs w:val="28"/>
        </w:rPr>
        <w:t xml:space="preserve"> </w:t>
      </w:r>
      <w:r w:rsidR="00200597">
        <w:rPr>
          <w:rFonts w:ascii="Times New Roman" w:eastAsia="Times New Roman" w:hAnsi="Times New Roman"/>
          <w:bCs/>
          <w:color w:val="auto"/>
          <w:sz w:val="28"/>
          <w:szCs w:val="28"/>
        </w:rPr>
        <w:t>В</w:t>
      </w:r>
      <w:r w:rsidR="00200597" w:rsidRPr="00200597">
        <w:rPr>
          <w:rFonts w:ascii="Times New Roman" w:eastAsia="Times New Roman" w:hAnsi="Times New Roman"/>
          <w:bCs/>
          <w:color w:val="auto"/>
          <w:sz w:val="28"/>
          <w:szCs w:val="28"/>
        </w:rPr>
        <w:t xml:space="preserve">недрение </w:t>
      </w:r>
      <w:r w:rsidR="00200597">
        <w:rPr>
          <w:rFonts w:ascii="Times New Roman" w:eastAsia="Times New Roman" w:hAnsi="Times New Roman"/>
          <w:bCs/>
          <w:color w:val="auto"/>
          <w:sz w:val="28"/>
          <w:szCs w:val="28"/>
        </w:rPr>
        <w:t>э</w:t>
      </w:r>
      <w:r w:rsidRPr="00577593">
        <w:rPr>
          <w:rFonts w:ascii="Times New Roman" w:eastAsia="Times New Roman" w:hAnsi="Times New Roman"/>
          <w:bCs/>
          <w:color w:val="auto"/>
          <w:sz w:val="28"/>
          <w:szCs w:val="28"/>
        </w:rPr>
        <w:t>лектронн</w:t>
      </w:r>
      <w:r w:rsidR="00200597">
        <w:rPr>
          <w:rFonts w:ascii="Times New Roman" w:eastAsia="Times New Roman" w:hAnsi="Times New Roman"/>
          <w:bCs/>
          <w:color w:val="auto"/>
          <w:sz w:val="28"/>
          <w:szCs w:val="28"/>
        </w:rPr>
        <w:t>ой</w:t>
      </w:r>
      <w:r w:rsidRPr="00577593">
        <w:rPr>
          <w:rFonts w:ascii="Times New Roman" w:eastAsia="Times New Roman" w:hAnsi="Times New Roman"/>
          <w:bCs/>
          <w:color w:val="auto"/>
          <w:sz w:val="28"/>
          <w:szCs w:val="28"/>
        </w:rPr>
        <w:t xml:space="preserve"> систем</w:t>
      </w:r>
      <w:r w:rsidR="00200597">
        <w:rPr>
          <w:rFonts w:ascii="Times New Roman" w:eastAsia="Times New Roman" w:hAnsi="Times New Roman"/>
          <w:bCs/>
          <w:color w:val="auto"/>
          <w:sz w:val="28"/>
          <w:szCs w:val="28"/>
        </w:rPr>
        <w:t>ы</w:t>
      </w:r>
      <w:r w:rsidRPr="00577593">
        <w:rPr>
          <w:rFonts w:ascii="Times New Roman" w:eastAsia="Times New Roman" w:hAnsi="Times New Roman"/>
          <w:bCs/>
          <w:color w:val="auto"/>
          <w:sz w:val="28"/>
          <w:szCs w:val="28"/>
        </w:rPr>
        <w:t xml:space="preserve"> градостроительной деятельности</w:t>
      </w:r>
      <w:bookmarkEnd w:id="426"/>
      <w:bookmarkEnd w:id="427"/>
      <w:bookmarkEnd w:id="428"/>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В целях оптимизации градостроительной деятельности в </w:t>
      </w:r>
      <w:r w:rsidR="00CE7D28">
        <w:rPr>
          <w:rFonts w:ascii="Times New Roman" w:eastAsia="Times New Roman" w:hAnsi="Times New Roman"/>
          <w:sz w:val="28"/>
          <w:szCs w:val="28"/>
        </w:rPr>
        <w:t xml:space="preserve">городе </w:t>
      </w:r>
      <w:r w:rsidRPr="00577593">
        <w:rPr>
          <w:rFonts w:ascii="Times New Roman" w:eastAsia="Times New Roman" w:hAnsi="Times New Roman"/>
          <w:sz w:val="28"/>
          <w:szCs w:val="28"/>
        </w:rPr>
        <w:t>Барнауле будет развиваться специальная электронная интерактивная система, совмещенная с федеральным порталом пространственных данных</w:t>
      </w:r>
      <w:r w:rsidR="00652D3F" w:rsidRPr="00577593">
        <w:rPr>
          <w:rFonts w:ascii="Times New Roman" w:eastAsia="Times New Roman" w:hAnsi="Times New Roman"/>
          <w:sz w:val="28"/>
          <w:szCs w:val="28"/>
        </w:rPr>
        <w:t>.</w:t>
      </w:r>
    </w:p>
    <w:p w:rsidR="00FC41F4" w:rsidRPr="00577593" w:rsidRDefault="008925FA" w:rsidP="008D738C">
      <w:pPr>
        <w:pStyle w:val="3"/>
        <w:pBdr>
          <w:top w:val="none" w:sz="4" w:space="0" w:color="000000"/>
          <w:left w:val="none" w:sz="4" w:space="0" w:color="000000"/>
          <w:bottom w:val="none" w:sz="4" w:space="0" w:color="000000"/>
          <w:right w:val="none" w:sz="4" w:space="0" w:color="000000"/>
        </w:pBdr>
        <w:spacing w:before="0" w:line="240" w:lineRule="auto"/>
        <w:ind w:firstLine="709"/>
        <w:jc w:val="both"/>
        <w:rPr>
          <w:rFonts w:ascii="Times New Roman" w:hAnsi="Times New Roman"/>
          <w:bCs/>
          <w:color w:val="auto"/>
          <w:sz w:val="28"/>
          <w:szCs w:val="28"/>
        </w:rPr>
      </w:pPr>
      <w:bookmarkStart w:id="429" w:name="_Toc208496717"/>
      <w:bookmarkStart w:id="430" w:name="_Toc208668999"/>
      <w:bookmarkStart w:id="431" w:name="_Toc212804348"/>
      <w:r w:rsidRPr="00577593">
        <w:rPr>
          <w:rFonts w:ascii="Times New Roman" w:eastAsia="Times New Roman" w:hAnsi="Times New Roman"/>
          <w:bCs/>
          <w:color w:val="auto"/>
          <w:sz w:val="28"/>
          <w:szCs w:val="28"/>
        </w:rPr>
        <w:t>9.3.1.3</w:t>
      </w:r>
      <w:r w:rsidR="004700CB">
        <w:rPr>
          <w:rFonts w:ascii="Times New Roman" w:eastAsia="Times New Roman" w:hAnsi="Times New Roman"/>
          <w:bCs/>
          <w:color w:val="auto"/>
          <w:sz w:val="28"/>
          <w:szCs w:val="28"/>
        </w:rPr>
        <w:t>.</w:t>
      </w:r>
      <w:r w:rsidRPr="00577593">
        <w:rPr>
          <w:rFonts w:ascii="Times New Roman" w:eastAsia="Times New Roman" w:hAnsi="Times New Roman"/>
          <w:bCs/>
          <w:color w:val="auto"/>
          <w:sz w:val="28"/>
          <w:szCs w:val="28"/>
        </w:rPr>
        <w:t xml:space="preserve"> Сбалансированное развитие застроенных территорий города</w:t>
      </w:r>
      <w:bookmarkEnd w:id="429"/>
      <w:bookmarkEnd w:id="430"/>
      <w:bookmarkEnd w:id="431"/>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Градостроительная политика города должна быть направлена на сбалансированное развитие уже застроенных и сложившихся территорий массовой индустриальной застройки, как советской, так и современной (на территории Индустриального района), а не только новых строящихся районов. Такой подход к преобразованию уже застроенных городских территорий направлен на создание гармоничной и комфортной городской среды с учетом всех факторов городского развития за счет оптимизации плотности застройки, создания удобной транспортной инфраструктуры, организации новых общественных пространств, создания визуально привлекательной среды, развитие новых объектов социальной инфраструктуры, повышения доступности городских благ и услуг. </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Городу необходим переход от практики так называемой точечной застройки к комплексному освоению территории, в том числе к внедрению комплексного развития территорий и застройке на основе проектов планировки территорий. Уплотнительная застройка сложившихся кварталов должна учитывать имеющуюся социальную и инженерную инфраструктуру, не создавать дисбалансы по использованию имеющейся инфраструктуры. Уплотнительная застройка должна сопровождаться мероприятиями по реконструкции социальной, инженерной и транспортной инфраструктуры, в том числе за счет средств частных инвесторов, на основе комплексных программ развития инфраструктуры: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Развитие застроенных территорий необходимо сопрягать с существующей транспортной инфраструктурой, особенно со сложившейся сетью городс</w:t>
      </w:r>
      <w:r w:rsidR="00D53DC9" w:rsidRPr="00577593">
        <w:rPr>
          <w:rFonts w:ascii="Times New Roman" w:eastAsia="Times New Roman" w:hAnsi="Times New Roman"/>
          <w:sz w:val="28"/>
          <w:szCs w:val="28"/>
        </w:rPr>
        <w:t>кого электрического транспорта –</w:t>
      </w:r>
      <w:r w:rsidRPr="00577593">
        <w:rPr>
          <w:rFonts w:ascii="Times New Roman" w:eastAsia="Times New Roman" w:hAnsi="Times New Roman"/>
          <w:sz w:val="28"/>
          <w:szCs w:val="28"/>
        </w:rPr>
        <w:t xml:space="preserve"> трамвая, имеющего высокий пропускной и перевозочный потенциал.  </w:t>
      </w:r>
    </w:p>
    <w:p w:rsidR="00FC41F4" w:rsidRPr="00577593" w:rsidRDefault="008925FA" w:rsidP="008D738C">
      <w:pPr>
        <w:pStyle w:val="3"/>
        <w:pBdr>
          <w:top w:val="none" w:sz="4" w:space="0" w:color="000000"/>
          <w:left w:val="none" w:sz="4" w:space="0" w:color="000000"/>
          <w:bottom w:val="none" w:sz="4" w:space="0" w:color="000000"/>
          <w:right w:val="none" w:sz="4" w:space="0" w:color="000000"/>
        </w:pBdr>
        <w:spacing w:before="0" w:line="240" w:lineRule="auto"/>
        <w:ind w:firstLine="709"/>
        <w:jc w:val="both"/>
        <w:rPr>
          <w:rFonts w:ascii="Times New Roman" w:hAnsi="Times New Roman"/>
          <w:bCs/>
          <w:color w:val="auto"/>
          <w:sz w:val="28"/>
          <w:szCs w:val="28"/>
        </w:rPr>
      </w:pPr>
      <w:bookmarkStart w:id="432" w:name="_Toc208496718"/>
      <w:bookmarkStart w:id="433" w:name="_Toc208669000"/>
      <w:bookmarkStart w:id="434" w:name="_Toc212804349"/>
      <w:r w:rsidRPr="00577593">
        <w:rPr>
          <w:rFonts w:ascii="Times New Roman" w:eastAsia="Times New Roman" w:hAnsi="Times New Roman"/>
          <w:bCs/>
          <w:color w:val="auto"/>
          <w:sz w:val="28"/>
          <w:szCs w:val="28"/>
        </w:rPr>
        <w:t>9.3.1.4</w:t>
      </w:r>
      <w:r w:rsidR="004700CB">
        <w:rPr>
          <w:rFonts w:ascii="Times New Roman" w:eastAsia="Times New Roman" w:hAnsi="Times New Roman"/>
          <w:bCs/>
          <w:color w:val="auto"/>
          <w:sz w:val="28"/>
          <w:szCs w:val="28"/>
        </w:rPr>
        <w:t>.</w:t>
      </w:r>
      <w:r w:rsidRPr="00577593">
        <w:rPr>
          <w:rFonts w:ascii="Times New Roman" w:eastAsia="Times New Roman" w:hAnsi="Times New Roman"/>
          <w:bCs/>
          <w:color w:val="auto"/>
          <w:sz w:val="28"/>
          <w:szCs w:val="28"/>
        </w:rPr>
        <w:t xml:space="preserve"> Развитие исторического центра и сохранение исторического наследия</w:t>
      </w:r>
      <w:bookmarkEnd w:id="432"/>
      <w:bookmarkEnd w:id="433"/>
      <w:bookmarkEnd w:id="434"/>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Сохранение объектов культурного наследия (памятников истории и культуры) </w:t>
      </w:r>
      <w:r w:rsidR="00D53DC9" w:rsidRPr="00577593">
        <w:rPr>
          <w:rFonts w:ascii="Times New Roman" w:eastAsia="Times New Roman" w:hAnsi="Times New Roman"/>
          <w:sz w:val="28"/>
          <w:szCs w:val="28"/>
        </w:rPr>
        <w:t>–</w:t>
      </w:r>
      <w:r w:rsidRPr="00577593">
        <w:rPr>
          <w:rFonts w:ascii="Times New Roman" w:eastAsia="Times New Roman" w:hAnsi="Times New Roman"/>
          <w:sz w:val="28"/>
          <w:szCs w:val="28"/>
        </w:rPr>
        <w:t xml:space="preserve"> это одна из задач городского сообщества, долг перед будущими </w:t>
      </w:r>
      <w:r w:rsidRPr="00577593">
        <w:rPr>
          <w:rFonts w:ascii="Times New Roman" w:eastAsia="Times New Roman" w:hAnsi="Times New Roman"/>
          <w:sz w:val="28"/>
          <w:szCs w:val="28"/>
        </w:rPr>
        <w:lastRenderedPageBreak/>
        <w:t>поколениями. Градостроительная политика города должна ориентироваться на сохранение объектов культурного наследия и бережное отношение к ним. В зоне исторической застройки применяются более строгие градостроительные регламенты. Необходимо привлекать частных инвесторов для реконструкции и восстановления памятников архитектуры, вовлекать горожан на общественных началах. Необходимы организация и проведение мероприятий по обеспечению сохранности памятников истории и культуры, в том числе за счет ремонта и реставрации памятников монументального искусства, находящихся на балансе городского округа.</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Необходимо сохранение как отдельных памятников, так и архитектурно-планировочных ансамблей отдельных улиц, имеющих историческое и градостроительно-планировочное значение. Зона исторической застройки формирует культурный пласт города и оказывает влияние на идентичность горожан. Она является основой для единого культурно-туристического и рекреационного пространства в центральной части</w:t>
      </w:r>
      <w:r w:rsidR="004700CB">
        <w:rPr>
          <w:rFonts w:ascii="Times New Roman" w:eastAsia="Times New Roman" w:hAnsi="Times New Roman"/>
          <w:sz w:val="28"/>
          <w:szCs w:val="28"/>
        </w:rPr>
        <w:t xml:space="preserve"> города</w:t>
      </w:r>
      <w:r w:rsidRPr="00577593">
        <w:rPr>
          <w:rFonts w:ascii="Times New Roman" w:eastAsia="Times New Roman" w:hAnsi="Times New Roman"/>
          <w:sz w:val="28"/>
          <w:szCs w:val="28"/>
        </w:rPr>
        <w:t xml:space="preserve"> Барнаула. </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Будет сформировано новое общегородское пространство </w:t>
      </w:r>
      <w:r w:rsidR="00D53DC9" w:rsidRPr="00577593">
        <w:rPr>
          <w:rFonts w:ascii="Times New Roman" w:eastAsia="Times New Roman" w:hAnsi="Times New Roman"/>
          <w:sz w:val="28"/>
          <w:szCs w:val="28"/>
        </w:rPr>
        <w:t>–</w:t>
      </w:r>
      <w:r w:rsidRPr="00577593">
        <w:rPr>
          <w:rFonts w:ascii="Times New Roman" w:eastAsia="Times New Roman" w:hAnsi="Times New Roman"/>
          <w:sz w:val="28"/>
          <w:szCs w:val="28"/>
        </w:rPr>
        <w:t xml:space="preserve"> место для отдыха горожан и массовых праздников, которое включит в себя преобразованный Сереброплавильный завод, благоустроенную набережную реки Барнаулки и реки Обь, Нагорный парк, Центральный парк, пешеходную Мало-Тобольскую улицу, реконструируемые улицы в зоне исторической застройки, такие как улица Льва Толстого.  </w:t>
      </w:r>
    </w:p>
    <w:p w:rsidR="00FC41F4" w:rsidRPr="00577593" w:rsidRDefault="008925FA" w:rsidP="008D738C">
      <w:pPr>
        <w:pStyle w:val="3"/>
        <w:pBdr>
          <w:top w:val="none" w:sz="4" w:space="0" w:color="000000"/>
          <w:left w:val="none" w:sz="4" w:space="0" w:color="000000"/>
          <w:bottom w:val="none" w:sz="4" w:space="0" w:color="000000"/>
          <w:right w:val="none" w:sz="4" w:space="0" w:color="000000"/>
        </w:pBdr>
        <w:spacing w:before="0" w:line="240" w:lineRule="auto"/>
        <w:ind w:firstLine="709"/>
        <w:jc w:val="both"/>
        <w:rPr>
          <w:rFonts w:ascii="Times New Roman" w:hAnsi="Times New Roman"/>
          <w:bCs/>
          <w:color w:val="auto"/>
          <w:sz w:val="28"/>
          <w:szCs w:val="28"/>
        </w:rPr>
      </w:pPr>
      <w:bookmarkStart w:id="435" w:name="_Toc208496719"/>
      <w:bookmarkStart w:id="436" w:name="_Toc208669001"/>
      <w:bookmarkStart w:id="437" w:name="_Toc212804350"/>
      <w:r w:rsidRPr="00577593">
        <w:rPr>
          <w:rFonts w:ascii="Times New Roman" w:eastAsia="Times New Roman" w:hAnsi="Times New Roman"/>
          <w:bCs/>
          <w:color w:val="auto"/>
          <w:sz w:val="28"/>
          <w:szCs w:val="28"/>
        </w:rPr>
        <w:t>9.3.1.5</w:t>
      </w:r>
      <w:r w:rsidR="004700CB">
        <w:rPr>
          <w:rFonts w:ascii="Times New Roman" w:eastAsia="Times New Roman" w:hAnsi="Times New Roman"/>
          <w:bCs/>
          <w:color w:val="auto"/>
          <w:sz w:val="28"/>
          <w:szCs w:val="28"/>
        </w:rPr>
        <w:t>.</w:t>
      </w:r>
      <w:r w:rsidRPr="00577593">
        <w:rPr>
          <w:rFonts w:ascii="Times New Roman" w:eastAsia="Times New Roman" w:hAnsi="Times New Roman"/>
          <w:bCs/>
          <w:color w:val="auto"/>
          <w:sz w:val="28"/>
          <w:szCs w:val="28"/>
        </w:rPr>
        <w:t xml:space="preserve"> Уплотнение застройки и насыщение функциями Центрального района города Барнаула</w:t>
      </w:r>
      <w:bookmarkEnd w:id="435"/>
      <w:bookmarkEnd w:id="436"/>
      <w:bookmarkEnd w:id="437"/>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Центральный район </w:t>
      </w:r>
      <w:r w:rsidR="009C7BF9">
        <w:rPr>
          <w:rFonts w:ascii="Times New Roman" w:eastAsia="Times New Roman" w:hAnsi="Times New Roman"/>
          <w:sz w:val="28"/>
          <w:szCs w:val="28"/>
        </w:rPr>
        <w:t xml:space="preserve">города </w:t>
      </w:r>
      <w:r w:rsidRPr="00577593">
        <w:rPr>
          <w:rFonts w:ascii="Times New Roman" w:eastAsia="Times New Roman" w:hAnsi="Times New Roman"/>
          <w:sz w:val="28"/>
          <w:szCs w:val="28"/>
        </w:rPr>
        <w:t xml:space="preserve">Барнаула занимает особое место в пространственной структуре города. Здесь, в исторической части, сосредоточена социальная, экономическая и деловая жизнь города. Градостроительная политика на период реализации стратегии социально-экономического развития </w:t>
      </w:r>
      <w:r w:rsidR="004700CB">
        <w:rPr>
          <w:rFonts w:ascii="Times New Roman" w:eastAsia="Times New Roman" w:hAnsi="Times New Roman"/>
          <w:sz w:val="28"/>
          <w:szCs w:val="28"/>
        </w:rPr>
        <w:t xml:space="preserve">города </w:t>
      </w:r>
      <w:r w:rsidRPr="00577593">
        <w:rPr>
          <w:rFonts w:ascii="Times New Roman" w:eastAsia="Times New Roman" w:hAnsi="Times New Roman"/>
          <w:sz w:val="28"/>
          <w:szCs w:val="28"/>
        </w:rPr>
        <w:t>Барнаула с учетом положений Генерального плана должна включать в себя мероприятия по уплотнению застройки через повышение этажности и плотности застройки, насыщению новыми функциями, развитию улично-дорожной сети и инженерной инфраструктуры.</w:t>
      </w:r>
    </w:p>
    <w:p w:rsidR="00F06D39"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Особого отношения требует территориальная зона исторического центра </w:t>
      </w:r>
      <w:r w:rsidR="009C7BF9">
        <w:rPr>
          <w:rFonts w:ascii="Times New Roman" w:eastAsia="Times New Roman" w:hAnsi="Times New Roman"/>
          <w:sz w:val="28"/>
          <w:szCs w:val="28"/>
        </w:rPr>
        <w:t xml:space="preserve">города </w:t>
      </w:r>
      <w:r w:rsidRPr="00577593">
        <w:rPr>
          <w:rFonts w:ascii="Times New Roman" w:eastAsia="Times New Roman" w:hAnsi="Times New Roman"/>
          <w:sz w:val="28"/>
          <w:szCs w:val="28"/>
        </w:rPr>
        <w:t xml:space="preserve">Барнаула и окружающих ее пространств. В период действия стратегии предполагается насыщение зоны дополнительными рекреационными функциями. Должно быть сформировано общегородское пространство для отдыха и массовых праздников. Толчок для развития должны дать редевелопмент Сереброплавильного завода и благоустройство набережной реки Барнаулки. </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Предполагается, что комплексное развитие вдоль улицы Промышленной включит в себя инженерное обеспечение территории Ковша у о. Побочень, новое высокоэтажное жилое строительство с видовыми панорамами, продление набережной, развитие улично-дорожной инфраструктуры с выходом на Старый мост, появление новых </w:t>
      </w:r>
      <w:r w:rsidRPr="00577593">
        <w:rPr>
          <w:rFonts w:ascii="Times New Roman" w:eastAsia="Times New Roman" w:hAnsi="Times New Roman"/>
          <w:sz w:val="28"/>
          <w:szCs w:val="28"/>
        </w:rPr>
        <w:lastRenderedPageBreak/>
        <w:t>горизонтальных связей внутри сложившейся застройки, в том числе через продление Обского бульвара до новой набережной.</w:t>
      </w:r>
    </w:p>
    <w:p w:rsidR="00FC41F4" w:rsidRPr="00577593" w:rsidRDefault="008925FA" w:rsidP="008D738C">
      <w:pPr>
        <w:pStyle w:val="3"/>
        <w:pBdr>
          <w:top w:val="none" w:sz="4" w:space="0" w:color="000000"/>
          <w:left w:val="none" w:sz="4" w:space="0" w:color="000000"/>
          <w:bottom w:val="none" w:sz="4" w:space="0" w:color="000000"/>
          <w:right w:val="none" w:sz="4" w:space="0" w:color="000000"/>
        </w:pBdr>
        <w:spacing w:before="0" w:line="240" w:lineRule="auto"/>
        <w:ind w:firstLine="709"/>
        <w:jc w:val="both"/>
        <w:rPr>
          <w:rFonts w:ascii="Times New Roman" w:hAnsi="Times New Roman"/>
          <w:bCs/>
          <w:color w:val="auto"/>
          <w:sz w:val="28"/>
          <w:szCs w:val="28"/>
        </w:rPr>
      </w:pPr>
      <w:bookmarkStart w:id="438" w:name="_Toc208496720"/>
      <w:bookmarkStart w:id="439" w:name="_Toc208669002"/>
      <w:bookmarkStart w:id="440" w:name="_Toc212804351"/>
      <w:r w:rsidRPr="00577593">
        <w:rPr>
          <w:rFonts w:ascii="Times New Roman" w:eastAsia="Times New Roman" w:hAnsi="Times New Roman"/>
          <w:bCs/>
          <w:color w:val="auto"/>
          <w:sz w:val="28"/>
          <w:szCs w:val="28"/>
        </w:rPr>
        <w:t>9.3.1.6</w:t>
      </w:r>
      <w:r w:rsidR="004700CB">
        <w:rPr>
          <w:rFonts w:ascii="Times New Roman" w:eastAsia="Times New Roman" w:hAnsi="Times New Roman"/>
          <w:bCs/>
          <w:color w:val="auto"/>
          <w:sz w:val="28"/>
          <w:szCs w:val="28"/>
        </w:rPr>
        <w:t>.</w:t>
      </w:r>
      <w:r w:rsidRPr="00577593">
        <w:rPr>
          <w:rFonts w:ascii="Times New Roman" w:eastAsia="Times New Roman" w:hAnsi="Times New Roman"/>
          <w:bCs/>
          <w:color w:val="auto"/>
          <w:sz w:val="28"/>
          <w:szCs w:val="28"/>
        </w:rPr>
        <w:t xml:space="preserve"> Комплексное развитие городских территорий</w:t>
      </w:r>
      <w:bookmarkEnd w:id="438"/>
      <w:bookmarkEnd w:id="439"/>
      <w:bookmarkEnd w:id="440"/>
      <w:r w:rsidRPr="00577593">
        <w:rPr>
          <w:rFonts w:ascii="Times New Roman" w:eastAsia="Times New Roman" w:hAnsi="Times New Roman"/>
          <w:bCs/>
          <w:color w:val="auto"/>
          <w:sz w:val="28"/>
          <w:szCs w:val="28"/>
        </w:rPr>
        <w:t xml:space="preserve"> </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Применение такого градостроительного инструмента как комплексное развитие территорий позволяет интенсифицировать развитие депрессивных или находящихся в упадке территорий. Ревитализация застроенных территорий осуществляется за счет сноса ветхого и аварийного жилья, реконструкции улично-дорожной сети, строительства новых социальных объектов, развития общественно-деловой застройки, реконструкции, обновления и увеличения мощности инженерной инфраструктуры.</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Необходимо проводить мониторинг системы землепользования города для выявления неэффективно используемых территорий и включения их в новые проекты КРТ для обеспечения сбалансированного и устойчивого развития города, достижения показателей, в том числе в сфере жилищного строительства и улучшения жилищных условий граждан, в соответствии с указами Президента Российской Федерации, национальными проектами, государственными программами, создания необходимых условий для развития транспортной, социальной, инженерной инфраструктур, благоустройства территорий.</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Перспективным проектом комплексного развития территории является проект КРТ «Поток», утвержденный постановлением </w:t>
      </w:r>
      <w:r w:rsidR="0000746E">
        <w:rPr>
          <w:rFonts w:ascii="Times New Roman" w:eastAsia="Times New Roman" w:hAnsi="Times New Roman"/>
          <w:sz w:val="28"/>
          <w:szCs w:val="28"/>
        </w:rPr>
        <w:t xml:space="preserve">администрации города Барнаула </w:t>
      </w:r>
      <w:r w:rsidRPr="00577593">
        <w:rPr>
          <w:rFonts w:ascii="Times New Roman" w:eastAsia="Times New Roman" w:hAnsi="Times New Roman"/>
          <w:sz w:val="28"/>
          <w:szCs w:val="28"/>
        </w:rPr>
        <w:t xml:space="preserve">от 11.03.2025 № 334 «О принятии решения о комплексном развитии территории жилой застройки городского округа </w:t>
      </w:r>
      <w:r w:rsidR="00D53DC9" w:rsidRPr="00577593">
        <w:rPr>
          <w:rFonts w:ascii="Times New Roman" w:eastAsia="Times New Roman" w:hAnsi="Times New Roman"/>
          <w:sz w:val="28"/>
          <w:szCs w:val="28"/>
        </w:rPr>
        <w:t>–</w:t>
      </w:r>
      <w:r w:rsidRPr="00577593">
        <w:rPr>
          <w:rFonts w:ascii="Times New Roman" w:eastAsia="Times New Roman" w:hAnsi="Times New Roman"/>
          <w:sz w:val="28"/>
          <w:szCs w:val="28"/>
        </w:rPr>
        <w:t xml:space="preserve"> города Барнаула Алтайского края в границах улицы Эмилии Алексеевой, проспекта Ленина, улицы Горно-Алтайской, улицы Западной 1-й, улицы Чеглецова, улицы 80 Гвардейской Дивизии, улицы Петра Сухова, улицы Смирнова, улицы Чудненко, улицы Западной 5-й, улицы Чеглецова, улицы Малахова». Реализация проекта КРТ «Поток» позволит сформировать новый городской центр в Октябрьском районе за счет увеличения плотности застройки и нового функционального наполнения территории. Близость к обновляемой территории большого парка «Юбилейн</w:t>
      </w:r>
      <w:r w:rsidR="00584F00">
        <w:rPr>
          <w:rFonts w:ascii="Times New Roman" w:eastAsia="Times New Roman" w:hAnsi="Times New Roman"/>
          <w:sz w:val="28"/>
          <w:szCs w:val="28"/>
        </w:rPr>
        <w:t>ый</w:t>
      </w:r>
      <w:r w:rsidRPr="00577593">
        <w:rPr>
          <w:rFonts w:ascii="Times New Roman" w:eastAsia="Times New Roman" w:hAnsi="Times New Roman"/>
          <w:sz w:val="28"/>
          <w:szCs w:val="28"/>
        </w:rPr>
        <w:t xml:space="preserve">», имеющего общегородское значение, дополнит формирующийся новый подцентр рекреационными функциями. </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Успешная реализация проекта КРТ «Поток» станет возможной при предварительной инженерной подготовке территории, планировании и обеспечении коридоров для инженерной инфраструктуры, ведущих к КРТ «Поток» и учитывающих возрастающие потребности ревитализируемых территорий в объемах предоставляемых коммунальных услуг.    </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На основе уже заключенных договоров реализации КРТ должны развиваться территории, принадлежащие АО «ДОМ.РФ», рядом с селом Власиха, где запланирована малоэтажная застройка, и вдоль Павловского тракта, где запланирована высокоэтажная застройка. В рамках КРТ эти территории должны быть обеспечены за счет инвестора инженерной, транспортной и социальной инфраструктурой.  </w:t>
      </w:r>
    </w:p>
    <w:p w:rsidR="00FC41F4" w:rsidRPr="00577593" w:rsidRDefault="008925FA" w:rsidP="00D90B19">
      <w:pPr>
        <w:pStyle w:val="3"/>
        <w:pBdr>
          <w:top w:val="none" w:sz="4" w:space="0" w:color="000000"/>
          <w:left w:val="none" w:sz="4" w:space="0" w:color="000000"/>
          <w:bottom w:val="none" w:sz="4" w:space="0" w:color="000000"/>
          <w:right w:val="none" w:sz="4" w:space="0" w:color="000000"/>
        </w:pBdr>
        <w:spacing w:before="0" w:line="330" w:lineRule="exact"/>
        <w:ind w:firstLine="709"/>
        <w:jc w:val="both"/>
        <w:rPr>
          <w:rFonts w:ascii="Times New Roman" w:hAnsi="Times New Roman"/>
          <w:bCs/>
          <w:color w:val="auto"/>
          <w:sz w:val="28"/>
          <w:szCs w:val="28"/>
        </w:rPr>
      </w:pPr>
      <w:bookmarkStart w:id="441" w:name="_Toc208496721"/>
      <w:bookmarkStart w:id="442" w:name="_Toc208669003"/>
      <w:bookmarkStart w:id="443" w:name="_Toc212804352"/>
      <w:r w:rsidRPr="00577593">
        <w:rPr>
          <w:rFonts w:ascii="Times New Roman" w:eastAsia="Times New Roman" w:hAnsi="Times New Roman"/>
          <w:bCs/>
          <w:color w:val="auto"/>
          <w:sz w:val="28"/>
          <w:szCs w:val="28"/>
        </w:rPr>
        <w:lastRenderedPageBreak/>
        <w:t>9.3.1.7</w:t>
      </w:r>
      <w:r w:rsidR="004700CB">
        <w:rPr>
          <w:rFonts w:ascii="Times New Roman" w:eastAsia="Times New Roman" w:hAnsi="Times New Roman"/>
          <w:bCs/>
          <w:color w:val="auto"/>
          <w:sz w:val="28"/>
          <w:szCs w:val="28"/>
        </w:rPr>
        <w:t>.</w:t>
      </w:r>
      <w:r w:rsidRPr="00577593">
        <w:rPr>
          <w:rFonts w:ascii="Times New Roman" w:eastAsia="Times New Roman" w:hAnsi="Times New Roman"/>
          <w:bCs/>
          <w:color w:val="auto"/>
          <w:sz w:val="28"/>
          <w:szCs w:val="28"/>
        </w:rPr>
        <w:t xml:space="preserve"> Расселение аварийного жилого фонда</w:t>
      </w:r>
      <w:bookmarkEnd w:id="441"/>
      <w:bookmarkEnd w:id="442"/>
      <w:bookmarkEnd w:id="443"/>
    </w:p>
    <w:p w:rsidR="00FC41F4" w:rsidRPr="00577593" w:rsidRDefault="008925FA" w:rsidP="00D90B19">
      <w:pPr>
        <w:pBdr>
          <w:top w:val="none" w:sz="4" w:space="0" w:color="000000"/>
          <w:left w:val="none" w:sz="4" w:space="0" w:color="000000"/>
          <w:bottom w:val="none" w:sz="4" w:space="0" w:color="000000"/>
          <w:right w:val="none" w:sz="4" w:space="0" w:color="000000"/>
        </w:pBdr>
        <w:spacing w:after="0" w:line="330" w:lineRule="exact"/>
        <w:ind w:firstLine="709"/>
        <w:jc w:val="both"/>
        <w:rPr>
          <w:rFonts w:ascii="Times New Roman" w:hAnsi="Times New Roman"/>
          <w:sz w:val="28"/>
          <w:szCs w:val="28"/>
        </w:rPr>
      </w:pPr>
      <w:r w:rsidRPr="00577593">
        <w:rPr>
          <w:rFonts w:ascii="Times New Roman" w:eastAsia="Times New Roman" w:hAnsi="Times New Roman"/>
          <w:sz w:val="28"/>
          <w:szCs w:val="28"/>
        </w:rPr>
        <w:t xml:space="preserve">В </w:t>
      </w:r>
      <w:r w:rsidR="009C7BF9">
        <w:rPr>
          <w:rFonts w:ascii="Times New Roman" w:eastAsia="Times New Roman" w:hAnsi="Times New Roman"/>
          <w:sz w:val="28"/>
          <w:szCs w:val="28"/>
        </w:rPr>
        <w:t xml:space="preserve">городе </w:t>
      </w:r>
      <w:r w:rsidRPr="00577593">
        <w:rPr>
          <w:rFonts w:ascii="Times New Roman" w:eastAsia="Times New Roman" w:hAnsi="Times New Roman"/>
          <w:sz w:val="28"/>
          <w:szCs w:val="28"/>
        </w:rPr>
        <w:t xml:space="preserve">Барнауле наличествует относительно небольшое количество ветхого и аварийного жилья. Расселение аварийного жилого фонда планируется проводить как за счет бюджетов средств всех уровней власти, так и за счет привлечения инвесторов. </w:t>
      </w:r>
    </w:p>
    <w:p w:rsidR="00FC41F4" w:rsidRPr="00577593" w:rsidRDefault="008925FA" w:rsidP="00D90B19">
      <w:pPr>
        <w:pBdr>
          <w:top w:val="none" w:sz="4" w:space="0" w:color="000000"/>
          <w:left w:val="none" w:sz="4" w:space="0" w:color="000000"/>
          <w:bottom w:val="none" w:sz="4" w:space="0" w:color="000000"/>
          <w:right w:val="none" w:sz="4" w:space="0" w:color="000000"/>
        </w:pBdr>
        <w:spacing w:after="0" w:line="330" w:lineRule="exact"/>
        <w:ind w:firstLine="709"/>
        <w:jc w:val="both"/>
        <w:rPr>
          <w:rFonts w:ascii="Times New Roman" w:hAnsi="Times New Roman"/>
          <w:sz w:val="28"/>
          <w:szCs w:val="28"/>
        </w:rPr>
      </w:pPr>
      <w:r w:rsidRPr="00577593">
        <w:rPr>
          <w:rFonts w:ascii="Times New Roman" w:eastAsia="Times New Roman" w:hAnsi="Times New Roman"/>
          <w:sz w:val="28"/>
          <w:szCs w:val="28"/>
        </w:rPr>
        <w:t xml:space="preserve">Необходим мониторинг технического состояния жилого фонда с целью прогноза пространственного развития территорий города. Такой мониторинг позволит выявлять городские территории, нуждающиеся в обновлении и реконструкции, выявлять потенциальное аварийное жилье, вовлекать депрессивные территории в оборот. </w:t>
      </w:r>
    </w:p>
    <w:p w:rsidR="00FC41F4" w:rsidRPr="00577593" w:rsidRDefault="008925FA" w:rsidP="00D90B19">
      <w:pPr>
        <w:pBdr>
          <w:top w:val="none" w:sz="4" w:space="0" w:color="000000"/>
          <w:left w:val="none" w:sz="4" w:space="0" w:color="000000"/>
          <w:bottom w:val="none" w:sz="4" w:space="0" w:color="000000"/>
          <w:right w:val="none" w:sz="4" w:space="0" w:color="000000"/>
        </w:pBdr>
        <w:spacing w:after="0" w:line="330" w:lineRule="exact"/>
        <w:ind w:firstLine="709"/>
        <w:jc w:val="both"/>
        <w:rPr>
          <w:rFonts w:ascii="Times New Roman" w:hAnsi="Times New Roman"/>
          <w:sz w:val="28"/>
          <w:szCs w:val="28"/>
        </w:rPr>
      </w:pPr>
      <w:r w:rsidRPr="00577593">
        <w:rPr>
          <w:rFonts w:ascii="Times New Roman" w:eastAsia="Times New Roman" w:hAnsi="Times New Roman"/>
          <w:sz w:val="28"/>
          <w:szCs w:val="28"/>
        </w:rPr>
        <w:t>Расселение аварийного жилого фонда позволяет решать проблемы социального характера, обеспечивает право граждан на жилище, создает безопасную для жизни среду. Программа расселения аварийного жилого фонда должна ориентироваться на развитие сбалансированного землепользования и функционального разнообразия городской застройки.</w:t>
      </w:r>
    </w:p>
    <w:p w:rsidR="00FC41F4" w:rsidRPr="00577593" w:rsidRDefault="008925FA" w:rsidP="00D90B19">
      <w:pPr>
        <w:pStyle w:val="3"/>
        <w:pBdr>
          <w:top w:val="none" w:sz="4" w:space="0" w:color="000000"/>
          <w:left w:val="none" w:sz="4" w:space="0" w:color="000000"/>
          <w:bottom w:val="none" w:sz="4" w:space="0" w:color="000000"/>
          <w:right w:val="none" w:sz="4" w:space="0" w:color="000000"/>
        </w:pBdr>
        <w:spacing w:before="0" w:line="330" w:lineRule="exact"/>
        <w:ind w:firstLine="709"/>
        <w:jc w:val="both"/>
        <w:rPr>
          <w:rFonts w:ascii="Times New Roman" w:hAnsi="Times New Roman"/>
          <w:bCs/>
          <w:color w:val="auto"/>
          <w:sz w:val="28"/>
          <w:szCs w:val="28"/>
        </w:rPr>
      </w:pPr>
      <w:bookmarkStart w:id="444" w:name="_Toc208496722"/>
      <w:bookmarkStart w:id="445" w:name="_Toc208669004"/>
      <w:bookmarkStart w:id="446" w:name="_Toc212804353"/>
      <w:r w:rsidRPr="00577593">
        <w:rPr>
          <w:rFonts w:ascii="Times New Roman" w:eastAsia="Times New Roman" w:hAnsi="Times New Roman"/>
          <w:bCs/>
          <w:color w:val="auto"/>
          <w:sz w:val="28"/>
          <w:szCs w:val="28"/>
        </w:rPr>
        <w:t>9.3.1.8</w:t>
      </w:r>
      <w:r w:rsidR="004700CB">
        <w:rPr>
          <w:rFonts w:ascii="Times New Roman" w:eastAsia="Times New Roman" w:hAnsi="Times New Roman"/>
          <w:bCs/>
          <w:color w:val="auto"/>
          <w:sz w:val="28"/>
          <w:szCs w:val="28"/>
        </w:rPr>
        <w:t>.</w:t>
      </w:r>
      <w:r w:rsidRPr="00577593">
        <w:rPr>
          <w:rFonts w:ascii="Times New Roman" w:eastAsia="Times New Roman" w:hAnsi="Times New Roman"/>
          <w:bCs/>
          <w:color w:val="auto"/>
          <w:sz w:val="28"/>
          <w:szCs w:val="28"/>
        </w:rPr>
        <w:t xml:space="preserve"> Развитие новой жилой застройки на основах социального партнерства с застройщиками и другими заинтересованными сторонами</w:t>
      </w:r>
      <w:bookmarkEnd w:id="444"/>
      <w:bookmarkEnd w:id="445"/>
      <w:bookmarkEnd w:id="446"/>
    </w:p>
    <w:p w:rsidR="00FC41F4" w:rsidRPr="00577593" w:rsidRDefault="008925FA" w:rsidP="00D90B19">
      <w:pPr>
        <w:pBdr>
          <w:top w:val="none" w:sz="4" w:space="0" w:color="000000"/>
          <w:left w:val="none" w:sz="4" w:space="0" w:color="000000"/>
          <w:bottom w:val="none" w:sz="4" w:space="0" w:color="000000"/>
          <w:right w:val="none" w:sz="4" w:space="0" w:color="000000"/>
        </w:pBdr>
        <w:spacing w:after="0" w:line="330" w:lineRule="exact"/>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Социальное партнерство представляет собой комплексную модель взаимодействия между муниципалитетом, застройщиками, инвесторами и местным сообществом для создания комфортной городской среды. Основная цель – это формирование эффективной системы сотрудничества всех заинтересованных сторон в процессе развития новых жилых районов.</w:t>
      </w:r>
    </w:p>
    <w:p w:rsidR="00FC41F4" w:rsidRPr="00577593" w:rsidRDefault="008925FA" w:rsidP="00D90B19">
      <w:pPr>
        <w:pStyle w:val="3"/>
        <w:pBdr>
          <w:top w:val="none" w:sz="4" w:space="0" w:color="000000"/>
          <w:left w:val="none" w:sz="4" w:space="0" w:color="000000"/>
          <w:bottom w:val="none" w:sz="4" w:space="0" w:color="000000"/>
          <w:right w:val="none" w:sz="4" w:space="0" w:color="000000"/>
        </w:pBdr>
        <w:spacing w:before="0" w:line="330" w:lineRule="exact"/>
        <w:ind w:firstLine="709"/>
        <w:jc w:val="both"/>
        <w:rPr>
          <w:rFonts w:ascii="Times New Roman" w:hAnsi="Times New Roman"/>
          <w:bCs/>
          <w:color w:val="auto"/>
          <w:sz w:val="28"/>
          <w:szCs w:val="28"/>
        </w:rPr>
      </w:pPr>
      <w:bookmarkStart w:id="447" w:name="_Toc208496723"/>
      <w:bookmarkStart w:id="448" w:name="_Toc208669005"/>
      <w:bookmarkStart w:id="449" w:name="_Toc212804354"/>
      <w:r w:rsidRPr="00577593">
        <w:rPr>
          <w:rFonts w:ascii="Times New Roman" w:eastAsia="Times New Roman" w:hAnsi="Times New Roman"/>
          <w:bCs/>
          <w:color w:val="auto"/>
          <w:sz w:val="28"/>
          <w:szCs w:val="28"/>
        </w:rPr>
        <w:t>9.3.1.9</w:t>
      </w:r>
      <w:r w:rsidR="004700CB">
        <w:rPr>
          <w:rFonts w:ascii="Times New Roman" w:eastAsia="Times New Roman" w:hAnsi="Times New Roman"/>
          <w:bCs/>
          <w:color w:val="auto"/>
          <w:sz w:val="28"/>
          <w:szCs w:val="28"/>
        </w:rPr>
        <w:t>.</w:t>
      </w:r>
      <w:r w:rsidRPr="00577593">
        <w:rPr>
          <w:rFonts w:ascii="Times New Roman" w:eastAsia="Times New Roman" w:hAnsi="Times New Roman"/>
          <w:bCs/>
          <w:color w:val="auto"/>
          <w:sz w:val="28"/>
          <w:szCs w:val="28"/>
        </w:rPr>
        <w:t xml:space="preserve"> Новое жилищное строительство</w:t>
      </w:r>
      <w:bookmarkEnd w:id="447"/>
      <w:bookmarkEnd w:id="448"/>
      <w:bookmarkEnd w:id="449"/>
    </w:p>
    <w:p w:rsidR="00FC41F4" w:rsidRPr="00577593" w:rsidRDefault="008925FA" w:rsidP="00D90B19">
      <w:pPr>
        <w:pBdr>
          <w:top w:val="none" w:sz="4" w:space="0" w:color="000000"/>
          <w:left w:val="none" w:sz="4" w:space="0" w:color="000000"/>
          <w:bottom w:val="none" w:sz="4" w:space="0" w:color="000000"/>
          <w:right w:val="none" w:sz="4" w:space="0" w:color="000000"/>
        </w:pBdr>
        <w:spacing w:after="0" w:line="330" w:lineRule="exact"/>
        <w:ind w:firstLine="709"/>
        <w:jc w:val="both"/>
        <w:rPr>
          <w:rFonts w:ascii="Times New Roman" w:hAnsi="Times New Roman"/>
          <w:sz w:val="28"/>
          <w:szCs w:val="28"/>
        </w:rPr>
      </w:pPr>
      <w:r w:rsidRPr="00577593">
        <w:rPr>
          <w:rFonts w:ascii="Times New Roman" w:eastAsia="Times New Roman" w:hAnsi="Times New Roman"/>
          <w:sz w:val="28"/>
          <w:szCs w:val="28"/>
        </w:rPr>
        <w:t>Ограниченная площадь земельных участков в освоенной части города, доступных для застройки, создает риски для расползания городской застройки на окраинах и неэффективного землепользования. Генера</w:t>
      </w:r>
      <w:r w:rsidR="00E34E37" w:rsidRPr="00577593">
        <w:rPr>
          <w:rFonts w:ascii="Times New Roman" w:eastAsia="Times New Roman" w:hAnsi="Times New Roman"/>
          <w:sz w:val="28"/>
          <w:szCs w:val="28"/>
        </w:rPr>
        <w:t>льным планом (в редакции 2024 года</w:t>
      </w:r>
      <w:r w:rsidRPr="00577593">
        <w:rPr>
          <w:rFonts w:ascii="Times New Roman" w:eastAsia="Times New Roman" w:hAnsi="Times New Roman"/>
          <w:sz w:val="28"/>
          <w:szCs w:val="28"/>
        </w:rPr>
        <w:t xml:space="preserve">) заложены масштабное развитие правого берега р. Обь и застройка земель, принадлежащих АО «ДОМ.РФ», рядом с аэропортом. </w:t>
      </w:r>
    </w:p>
    <w:p w:rsidR="00FC41F4" w:rsidRPr="00577593" w:rsidRDefault="008925FA" w:rsidP="00D90B19">
      <w:pPr>
        <w:pBdr>
          <w:top w:val="none" w:sz="4" w:space="0" w:color="000000"/>
          <w:left w:val="none" w:sz="4" w:space="0" w:color="000000"/>
          <w:bottom w:val="none" w:sz="4" w:space="0" w:color="000000"/>
          <w:right w:val="none" w:sz="4" w:space="0" w:color="000000"/>
        </w:pBdr>
        <w:spacing w:after="0" w:line="330" w:lineRule="exact"/>
        <w:ind w:firstLine="709"/>
        <w:jc w:val="both"/>
        <w:rPr>
          <w:rFonts w:ascii="Times New Roman" w:hAnsi="Times New Roman"/>
          <w:sz w:val="28"/>
          <w:szCs w:val="28"/>
        </w:rPr>
      </w:pPr>
      <w:r w:rsidRPr="00577593">
        <w:rPr>
          <w:rFonts w:ascii="Times New Roman" w:eastAsia="Times New Roman" w:hAnsi="Times New Roman"/>
          <w:sz w:val="28"/>
          <w:szCs w:val="28"/>
        </w:rPr>
        <w:t>Развитие правого берега ограничено необходимостью строительства инженерных сооружений, в том числе защитного характера, так как эта территория находится в подтопляемой зоне. Без привлечения инвестиций в инженерное обеспечение территории комплексное развитие правого берега невозможно.</w:t>
      </w:r>
      <w:r w:rsidRPr="00577593">
        <w:rPr>
          <w:rFonts w:ascii="Times New Roman" w:eastAsia="Calibri" w:hAnsi="Times New Roman"/>
          <w:sz w:val="28"/>
          <w:szCs w:val="28"/>
        </w:rPr>
        <w:t xml:space="preserve"> </w:t>
      </w:r>
      <w:r w:rsidRPr="00577593">
        <w:rPr>
          <w:rFonts w:ascii="Times New Roman" w:eastAsia="Times New Roman" w:hAnsi="Times New Roman"/>
          <w:sz w:val="28"/>
          <w:szCs w:val="28"/>
        </w:rPr>
        <w:t xml:space="preserve">Освоение правобережных земель следует осуществлять в рамках агломерационных процессов по линии Барнаул </w:t>
      </w:r>
      <w:r w:rsidR="00D53DC9" w:rsidRPr="00577593">
        <w:rPr>
          <w:rFonts w:ascii="Times New Roman" w:eastAsia="Times New Roman" w:hAnsi="Times New Roman"/>
          <w:sz w:val="28"/>
          <w:szCs w:val="28"/>
        </w:rPr>
        <w:t>–</w:t>
      </w:r>
      <w:r w:rsidRPr="00577593">
        <w:rPr>
          <w:rFonts w:ascii="Times New Roman" w:eastAsia="Times New Roman" w:hAnsi="Times New Roman"/>
          <w:sz w:val="28"/>
          <w:szCs w:val="28"/>
        </w:rPr>
        <w:t>Новоалтайск.</w:t>
      </w:r>
    </w:p>
    <w:p w:rsidR="00D90B19" w:rsidRDefault="008925FA" w:rsidP="00D90B19">
      <w:pPr>
        <w:pBdr>
          <w:top w:val="none" w:sz="4" w:space="0" w:color="000000"/>
          <w:left w:val="none" w:sz="4" w:space="0" w:color="000000"/>
          <w:bottom w:val="none" w:sz="4" w:space="0" w:color="000000"/>
          <w:right w:val="none" w:sz="4" w:space="0" w:color="000000"/>
        </w:pBdr>
        <w:spacing w:after="0" w:line="330" w:lineRule="exact"/>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Застройка земель рядом с аэропортом (земли АО «ДОМ.РФ») должна осуществляться на принципах полифункциональности, разнообразия сред и возможностей горожан для проживания, отдыха и работы, с учетом современных требований к качеству городской среды. Эта территория должна функционировать как зона смешанной застройки: жилой и общественно-деловой. Близость аэропорта позволит усилить деловые функции территории. Удаленность новой застройки от сложившихся городских центров должна быть компенсирована формированием нового</w:t>
      </w:r>
      <w:r w:rsidR="00D90B19">
        <w:rPr>
          <w:rFonts w:ascii="Times New Roman" w:eastAsia="Times New Roman" w:hAnsi="Times New Roman"/>
          <w:sz w:val="28"/>
          <w:szCs w:val="28"/>
        </w:rPr>
        <w:br/>
      </w:r>
    </w:p>
    <w:p w:rsidR="00FC41F4" w:rsidRPr="00577593" w:rsidRDefault="008925FA" w:rsidP="00D90B19">
      <w:pPr>
        <w:pBdr>
          <w:top w:val="none" w:sz="4" w:space="0" w:color="000000"/>
          <w:left w:val="none" w:sz="4" w:space="0" w:color="000000"/>
          <w:bottom w:val="none" w:sz="4" w:space="0" w:color="000000"/>
          <w:right w:val="none" w:sz="4" w:space="0" w:color="000000"/>
        </w:pBdr>
        <w:spacing w:after="0" w:line="330" w:lineRule="exact"/>
        <w:jc w:val="both"/>
        <w:rPr>
          <w:rFonts w:ascii="Times New Roman" w:hAnsi="Times New Roman"/>
          <w:sz w:val="28"/>
          <w:szCs w:val="28"/>
        </w:rPr>
      </w:pPr>
      <w:r w:rsidRPr="00577593">
        <w:rPr>
          <w:rFonts w:ascii="Times New Roman" w:eastAsia="Times New Roman" w:hAnsi="Times New Roman"/>
          <w:sz w:val="28"/>
          <w:szCs w:val="28"/>
        </w:rPr>
        <w:lastRenderedPageBreak/>
        <w:t>функционального городского подцентра на этих территориях. Развитие производственной зоны должно создать новые рабочие места рядом с новой жилой застройкой.</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Освоение этих территорий должно быть комплексным, основанным на положениях генерального плана, обеспеченным необходимой для развития всей территории инженерной инфраструктурой, в том числе наличием инфраструктурных коридоров, подведенных к этой территории. Земельные участки под социальную инфраструктуру местного и регионального значения должны резервироваться под перспективное развитие. Планы развития этих территорий должны учитывать потребность жителей в зеленой инфраструктуре и местах отдыха, в том числе парков районного значения.       </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Первые этажи новых жилых домов </w:t>
      </w:r>
      <w:r w:rsidR="00376417" w:rsidRPr="00577593">
        <w:rPr>
          <w:rFonts w:ascii="Times New Roman" w:eastAsia="Times New Roman" w:hAnsi="Times New Roman"/>
          <w:sz w:val="28"/>
          <w:szCs w:val="28"/>
        </w:rPr>
        <w:t>рекомендуется</w:t>
      </w:r>
      <w:r w:rsidRPr="00577593">
        <w:rPr>
          <w:rFonts w:ascii="Times New Roman" w:eastAsia="Times New Roman" w:hAnsi="Times New Roman"/>
          <w:sz w:val="28"/>
          <w:szCs w:val="28"/>
        </w:rPr>
        <w:t xml:space="preserve"> проектировать в качестве нежилых для размещения коммерческих объектов торговли и услуг, по возможности формируя активный уличный фронт. </w:t>
      </w:r>
    </w:p>
    <w:p w:rsidR="00FC41F4" w:rsidRPr="00577593" w:rsidRDefault="008925FA" w:rsidP="008D738C">
      <w:pPr>
        <w:pStyle w:val="3"/>
        <w:pBdr>
          <w:top w:val="none" w:sz="4" w:space="0" w:color="000000"/>
          <w:left w:val="none" w:sz="4" w:space="0" w:color="000000"/>
          <w:bottom w:val="none" w:sz="4" w:space="0" w:color="000000"/>
          <w:right w:val="none" w:sz="4" w:space="0" w:color="000000"/>
        </w:pBdr>
        <w:spacing w:before="0" w:line="240" w:lineRule="auto"/>
        <w:ind w:firstLine="709"/>
        <w:jc w:val="both"/>
        <w:rPr>
          <w:rFonts w:ascii="Times New Roman" w:hAnsi="Times New Roman"/>
          <w:bCs/>
          <w:color w:val="auto"/>
          <w:sz w:val="28"/>
          <w:szCs w:val="28"/>
        </w:rPr>
      </w:pPr>
      <w:bookmarkStart w:id="450" w:name="_Toc208496724"/>
      <w:bookmarkStart w:id="451" w:name="_Toc208669006"/>
      <w:bookmarkStart w:id="452" w:name="_Toc212804355"/>
      <w:r w:rsidRPr="00577593">
        <w:rPr>
          <w:rFonts w:ascii="Times New Roman" w:eastAsia="Times New Roman" w:hAnsi="Times New Roman"/>
          <w:bCs/>
          <w:color w:val="auto"/>
          <w:sz w:val="28"/>
          <w:szCs w:val="28"/>
        </w:rPr>
        <w:t>9.3.1.10</w:t>
      </w:r>
      <w:r w:rsidR="004700CB">
        <w:rPr>
          <w:rFonts w:ascii="Times New Roman" w:eastAsia="Times New Roman" w:hAnsi="Times New Roman"/>
          <w:bCs/>
          <w:color w:val="auto"/>
          <w:sz w:val="28"/>
          <w:szCs w:val="28"/>
        </w:rPr>
        <w:t>.</w:t>
      </w:r>
      <w:r w:rsidRPr="00577593">
        <w:rPr>
          <w:rFonts w:ascii="Times New Roman" w:eastAsia="Times New Roman" w:hAnsi="Times New Roman"/>
          <w:bCs/>
          <w:color w:val="auto"/>
          <w:sz w:val="28"/>
          <w:szCs w:val="28"/>
        </w:rPr>
        <w:t xml:space="preserve"> Малоэтажное строительство в пригородной зоне </w:t>
      </w:r>
      <w:r w:rsidR="009C7BF9">
        <w:rPr>
          <w:rFonts w:ascii="Times New Roman" w:eastAsia="Times New Roman" w:hAnsi="Times New Roman"/>
          <w:bCs/>
          <w:color w:val="auto"/>
          <w:sz w:val="28"/>
          <w:szCs w:val="28"/>
        </w:rPr>
        <w:t xml:space="preserve">города </w:t>
      </w:r>
      <w:r w:rsidRPr="00577593">
        <w:rPr>
          <w:rFonts w:ascii="Times New Roman" w:eastAsia="Times New Roman" w:hAnsi="Times New Roman"/>
          <w:bCs/>
          <w:color w:val="auto"/>
          <w:sz w:val="28"/>
          <w:szCs w:val="28"/>
        </w:rPr>
        <w:t>Барнаула</w:t>
      </w:r>
      <w:bookmarkEnd w:id="450"/>
      <w:bookmarkEnd w:id="451"/>
      <w:bookmarkEnd w:id="452"/>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В </w:t>
      </w:r>
      <w:r w:rsidR="009C7BF9">
        <w:rPr>
          <w:rFonts w:ascii="Times New Roman" w:eastAsia="Times New Roman" w:hAnsi="Times New Roman"/>
          <w:sz w:val="28"/>
          <w:szCs w:val="28"/>
        </w:rPr>
        <w:t>городе</w:t>
      </w:r>
      <w:r w:rsidRPr="00577593">
        <w:rPr>
          <w:rFonts w:ascii="Times New Roman" w:eastAsia="Times New Roman" w:hAnsi="Times New Roman"/>
          <w:sz w:val="28"/>
          <w:szCs w:val="28"/>
        </w:rPr>
        <w:t xml:space="preserve"> будет продолжаться застройка пригородной зоны малоэтажными индивидуальными домами как гражданами, так и на основе комплексного развития территории с привлечением частных инвесторов. Генеральным планом запланировано индивидуальное жилищное строительство рядом с н.п. Власиха, Бельмесово, Центральный, и др. Застраиваемые территории должны обеспечиваться всей необходимой инфраструктурой, в том числе за счет средств инвесторов.</w:t>
      </w:r>
    </w:p>
    <w:p w:rsidR="00FC41F4" w:rsidRPr="00577593" w:rsidRDefault="008925FA" w:rsidP="008D738C">
      <w:pPr>
        <w:pStyle w:val="3"/>
        <w:pBdr>
          <w:top w:val="none" w:sz="4" w:space="0" w:color="000000"/>
          <w:left w:val="none" w:sz="4" w:space="0" w:color="000000"/>
          <w:bottom w:val="none" w:sz="4" w:space="0" w:color="000000"/>
          <w:right w:val="none" w:sz="4" w:space="0" w:color="000000"/>
        </w:pBdr>
        <w:spacing w:before="0" w:line="240" w:lineRule="auto"/>
        <w:ind w:firstLine="709"/>
        <w:jc w:val="both"/>
        <w:rPr>
          <w:rFonts w:ascii="Times New Roman" w:hAnsi="Times New Roman"/>
          <w:b/>
          <w:bCs/>
          <w:color w:val="auto"/>
          <w:sz w:val="28"/>
          <w:szCs w:val="28"/>
        </w:rPr>
      </w:pPr>
      <w:bookmarkStart w:id="453" w:name="_Toc208496725"/>
      <w:bookmarkStart w:id="454" w:name="_Toc208669007"/>
      <w:bookmarkStart w:id="455" w:name="_Toc212804356"/>
      <w:r w:rsidRPr="00577593">
        <w:rPr>
          <w:rFonts w:ascii="Times New Roman" w:eastAsia="Times New Roman" w:hAnsi="Times New Roman"/>
          <w:b/>
          <w:bCs/>
          <w:color w:val="auto"/>
          <w:sz w:val="28"/>
          <w:szCs w:val="28"/>
        </w:rPr>
        <w:t>9.3.2</w:t>
      </w:r>
      <w:r w:rsidR="004700CB">
        <w:rPr>
          <w:rFonts w:ascii="Times New Roman" w:eastAsia="Times New Roman" w:hAnsi="Times New Roman"/>
          <w:b/>
          <w:bCs/>
          <w:color w:val="auto"/>
          <w:sz w:val="28"/>
          <w:szCs w:val="28"/>
        </w:rPr>
        <w:t>.</w:t>
      </w:r>
      <w:r w:rsidRPr="00577593">
        <w:rPr>
          <w:rFonts w:ascii="Times New Roman" w:eastAsia="Times New Roman" w:hAnsi="Times New Roman"/>
          <w:b/>
          <w:bCs/>
          <w:color w:val="auto"/>
          <w:sz w:val="28"/>
          <w:szCs w:val="28"/>
        </w:rPr>
        <w:t xml:space="preserve"> Развитие жилищно-коммунального хозяйства</w:t>
      </w:r>
      <w:bookmarkEnd w:id="453"/>
      <w:bookmarkEnd w:id="454"/>
      <w:bookmarkEnd w:id="455"/>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В рамках национальной цели развития Российской Федерации </w:t>
      </w:r>
      <w:r w:rsidR="00A91267" w:rsidRPr="00577593">
        <w:rPr>
          <w:rFonts w:ascii="Times New Roman" w:eastAsia="Times New Roman" w:hAnsi="Times New Roman"/>
          <w:sz w:val="28"/>
          <w:szCs w:val="28"/>
        </w:rPr>
        <w:br/>
      </w:r>
      <w:r w:rsidRPr="00577593">
        <w:rPr>
          <w:rFonts w:ascii="Times New Roman" w:eastAsia="Times New Roman" w:hAnsi="Times New Roman"/>
          <w:sz w:val="28"/>
          <w:szCs w:val="28"/>
        </w:rPr>
        <w:t>на период до 2030 года и на перспективу до 2036 года «Комфортная и безопасная среда для жизни» определены следующие целевые показатели и задачи:</w:t>
      </w:r>
    </w:p>
    <w:p w:rsidR="00FC41F4" w:rsidRPr="004700CB" w:rsidRDefault="004700CB" w:rsidP="004700CB">
      <w:pPr>
        <w:pBdr>
          <w:top w:val="none" w:sz="4" w:space="0" w:color="000000"/>
          <w:left w:val="none" w:sz="4" w:space="0" w:color="000000"/>
          <w:bottom w:val="none" w:sz="4" w:space="0" w:color="000000"/>
          <w:right w:val="none" w:sz="4" w:space="0" w:color="000000"/>
        </w:pBdr>
        <w:tabs>
          <w:tab w:val="left" w:pos="993"/>
        </w:tabs>
        <w:spacing w:after="0" w:line="240" w:lineRule="auto"/>
        <w:ind w:firstLine="709"/>
        <w:jc w:val="both"/>
        <w:rPr>
          <w:rFonts w:ascii="Times New Roman" w:eastAsia="Times New Roman" w:hAnsi="Times New Roman"/>
          <w:sz w:val="28"/>
          <w:szCs w:val="28"/>
        </w:rPr>
      </w:pPr>
      <w:r w:rsidRPr="004700CB">
        <w:rPr>
          <w:rFonts w:ascii="Times New Roman" w:eastAsia="Times New Roman" w:hAnsi="Times New Roman"/>
          <w:sz w:val="28"/>
          <w:szCs w:val="28"/>
        </w:rPr>
        <w:t>– </w:t>
      </w:r>
      <w:r w:rsidR="008925FA" w:rsidRPr="004700CB">
        <w:rPr>
          <w:rFonts w:ascii="Times New Roman" w:eastAsia="Times New Roman" w:hAnsi="Times New Roman"/>
          <w:sz w:val="28"/>
          <w:szCs w:val="28"/>
        </w:rPr>
        <w:t>реализация программы модернизации коммунальной инфраструктуры и улучшение качества предоставляемых коммунальных услуг для 20 млн человек к 2030 году;</w:t>
      </w:r>
    </w:p>
    <w:p w:rsidR="00FC41F4" w:rsidRPr="00577593" w:rsidRDefault="004700CB" w:rsidP="004700CB">
      <w:pPr>
        <w:pStyle w:val="af5"/>
        <w:pBdr>
          <w:top w:val="none" w:sz="4" w:space="0" w:color="000000"/>
          <w:left w:val="none" w:sz="4" w:space="0" w:color="000000"/>
          <w:bottom w:val="none" w:sz="4" w:space="0" w:color="000000"/>
          <w:right w:val="none" w:sz="4" w:space="0" w:color="000000"/>
        </w:pBdr>
        <w:tabs>
          <w:tab w:val="left" w:pos="993"/>
        </w:tabs>
        <w:spacing w:after="0" w:line="240" w:lineRule="auto"/>
        <w:ind w:left="0" w:firstLine="709"/>
        <w:jc w:val="both"/>
        <w:rPr>
          <w:rFonts w:ascii="Times New Roman" w:eastAsia="Times New Roman" w:hAnsi="Times New Roman"/>
          <w:sz w:val="28"/>
          <w:szCs w:val="28"/>
        </w:rPr>
      </w:pPr>
      <w:r w:rsidRPr="004700CB">
        <w:rPr>
          <w:rFonts w:ascii="Times New Roman" w:eastAsia="Times New Roman" w:hAnsi="Times New Roman"/>
          <w:sz w:val="28"/>
          <w:szCs w:val="28"/>
        </w:rPr>
        <w:t>– </w:t>
      </w:r>
      <w:r w:rsidR="008925FA" w:rsidRPr="00577593">
        <w:rPr>
          <w:rFonts w:ascii="Times New Roman" w:eastAsia="Times New Roman" w:hAnsi="Times New Roman"/>
          <w:sz w:val="28"/>
          <w:szCs w:val="28"/>
        </w:rPr>
        <w:t xml:space="preserve">строительство и реконструкция (модернизация) не менее </w:t>
      </w:r>
      <w:r w:rsidR="00A91267" w:rsidRPr="00577593">
        <w:rPr>
          <w:rFonts w:ascii="Times New Roman" w:eastAsia="Times New Roman" w:hAnsi="Times New Roman"/>
          <w:sz w:val="28"/>
          <w:szCs w:val="28"/>
        </w:rPr>
        <w:br/>
      </w:r>
      <w:r w:rsidR="008925FA" w:rsidRPr="00577593">
        <w:rPr>
          <w:rFonts w:ascii="Times New Roman" w:eastAsia="Times New Roman" w:hAnsi="Times New Roman"/>
          <w:sz w:val="28"/>
          <w:szCs w:val="28"/>
        </w:rPr>
        <w:t xml:space="preserve">чем 2 тыс. объектов питьевого водоснабжения и водоподготовки </w:t>
      </w:r>
      <w:r w:rsidR="0076671D">
        <w:rPr>
          <w:rFonts w:ascii="Times New Roman" w:eastAsia="Times New Roman" w:hAnsi="Times New Roman"/>
          <w:sz w:val="28"/>
          <w:szCs w:val="28"/>
        </w:rPr>
        <w:br/>
      </w:r>
      <w:r w:rsidR="008925FA" w:rsidRPr="00577593">
        <w:rPr>
          <w:rFonts w:ascii="Times New Roman" w:eastAsia="Times New Roman" w:hAnsi="Times New Roman"/>
          <w:sz w:val="28"/>
          <w:szCs w:val="28"/>
        </w:rPr>
        <w:t>к 2030 году;</w:t>
      </w:r>
    </w:p>
    <w:p w:rsidR="00FC41F4" w:rsidRPr="00577593" w:rsidRDefault="004700CB" w:rsidP="004700CB">
      <w:pPr>
        <w:pStyle w:val="af5"/>
        <w:pBdr>
          <w:top w:val="none" w:sz="4" w:space="0" w:color="000000"/>
          <w:left w:val="none" w:sz="4" w:space="0" w:color="000000"/>
          <w:bottom w:val="none" w:sz="4" w:space="0" w:color="000000"/>
          <w:right w:val="none" w:sz="4" w:space="0" w:color="000000"/>
        </w:pBdr>
        <w:tabs>
          <w:tab w:val="left" w:pos="993"/>
        </w:tabs>
        <w:spacing w:after="0" w:line="240" w:lineRule="auto"/>
        <w:ind w:left="0" w:firstLine="709"/>
        <w:jc w:val="both"/>
        <w:rPr>
          <w:rFonts w:ascii="Times New Roman" w:eastAsia="Times New Roman" w:hAnsi="Times New Roman"/>
          <w:sz w:val="28"/>
          <w:szCs w:val="28"/>
        </w:rPr>
      </w:pPr>
      <w:r w:rsidRPr="004700CB">
        <w:rPr>
          <w:rFonts w:ascii="Times New Roman" w:eastAsia="Times New Roman" w:hAnsi="Times New Roman"/>
          <w:sz w:val="28"/>
          <w:szCs w:val="28"/>
        </w:rPr>
        <w:t>– </w:t>
      </w:r>
      <w:r w:rsidR="008925FA" w:rsidRPr="00577593">
        <w:rPr>
          <w:rFonts w:ascii="Times New Roman" w:eastAsia="Times New Roman" w:hAnsi="Times New Roman"/>
          <w:sz w:val="28"/>
          <w:szCs w:val="28"/>
        </w:rPr>
        <w:t>обеспечение значимого роста энергетической и ресурсной эффективности в</w:t>
      </w:r>
      <w:r w:rsidR="002A0B2C" w:rsidRPr="00577593">
        <w:rPr>
          <w:rFonts w:ascii="Times New Roman" w:eastAsia="Times New Roman" w:hAnsi="Times New Roman"/>
          <w:sz w:val="28"/>
          <w:szCs w:val="28"/>
        </w:rPr>
        <w:t> </w:t>
      </w:r>
      <w:r w:rsidR="008925FA" w:rsidRPr="00577593">
        <w:rPr>
          <w:rFonts w:ascii="Times New Roman" w:eastAsia="Times New Roman" w:hAnsi="Times New Roman"/>
          <w:sz w:val="28"/>
          <w:szCs w:val="28"/>
        </w:rPr>
        <w:t>жилищно-коммунальном хозяйстве, промышленном и инфраструктурном строительстве;</w:t>
      </w:r>
    </w:p>
    <w:p w:rsidR="00FC41F4" w:rsidRPr="00577593" w:rsidRDefault="004700CB" w:rsidP="004700CB">
      <w:pPr>
        <w:pStyle w:val="af5"/>
        <w:pBdr>
          <w:top w:val="none" w:sz="4" w:space="0" w:color="000000"/>
          <w:left w:val="none" w:sz="4" w:space="0" w:color="000000"/>
          <w:bottom w:val="none" w:sz="4" w:space="0" w:color="000000"/>
          <w:right w:val="none" w:sz="4" w:space="0" w:color="000000"/>
        </w:pBdr>
        <w:tabs>
          <w:tab w:val="left" w:pos="993"/>
        </w:tabs>
        <w:spacing w:after="0" w:line="240" w:lineRule="auto"/>
        <w:ind w:left="0" w:firstLine="709"/>
        <w:jc w:val="both"/>
        <w:rPr>
          <w:rFonts w:ascii="Times New Roman" w:eastAsia="Times New Roman" w:hAnsi="Times New Roman"/>
          <w:sz w:val="28"/>
          <w:szCs w:val="28"/>
        </w:rPr>
      </w:pPr>
      <w:r w:rsidRPr="004700CB">
        <w:rPr>
          <w:rFonts w:ascii="Times New Roman" w:eastAsia="Times New Roman" w:hAnsi="Times New Roman"/>
          <w:sz w:val="28"/>
          <w:szCs w:val="28"/>
        </w:rPr>
        <w:t>– </w:t>
      </w:r>
      <w:r w:rsidR="008925FA" w:rsidRPr="00577593">
        <w:rPr>
          <w:rFonts w:ascii="Times New Roman" w:eastAsia="Times New Roman" w:hAnsi="Times New Roman"/>
          <w:sz w:val="28"/>
          <w:szCs w:val="28"/>
        </w:rPr>
        <w:t xml:space="preserve">обеспечение в рамках программы социальной газификации населения подключения к сетевому природному газу не менее </w:t>
      </w:r>
      <w:r w:rsidR="00A91267" w:rsidRPr="00577593">
        <w:rPr>
          <w:rFonts w:ascii="Times New Roman" w:eastAsia="Times New Roman" w:hAnsi="Times New Roman"/>
          <w:sz w:val="28"/>
          <w:szCs w:val="28"/>
        </w:rPr>
        <w:br/>
      </w:r>
      <w:r w:rsidR="008925FA" w:rsidRPr="00577593">
        <w:rPr>
          <w:rFonts w:ascii="Times New Roman" w:eastAsia="Times New Roman" w:hAnsi="Times New Roman"/>
          <w:sz w:val="28"/>
          <w:szCs w:val="28"/>
        </w:rPr>
        <w:t>чем 1,6 млн домовладений к 2030 году и не менее чем 3 млн домовладений к 2036 году.</w:t>
      </w:r>
    </w:p>
    <w:p w:rsidR="00FC41F4" w:rsidRPr="00577593" w:rsidRDefault="008925FA" w:rsidP="004700CB">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В Стратегии социально-экономического развития Алтайского края </w:t>
      </w:r>
      <w:r w:rsidR="00A91267" w:rsidRPr="00577593">
        <w:rPr>
          <w:rFonts w:ascii="Times New Roman" w:eastAsia="Times New Roman" w:hAnsi="Times New Roman"/>
          <w:sz w:val="28"/>
          <w:szCs w:val="28"/>
        </w:rPr>
        <w:br/>
      </w:r>
      <w:r w:rsidRPr="00577593">
        <w:rPr>
          <w:rFonts w:ascii="Times New Roman" w:eastAsia="Times New Roman" w:hAnsi="Times New Roman"/>
          <w:sz w:val="28"/>
          <w:szCs w:val="28"/>
        </w:rPr>
        <w:t>до 2035 года определены следующие задачи:</w:t>
      </w:r>
    </w:p>
    <w:p w:rsidR="00FC41F4" w:rsidRPr="00577593" w:rsidRDefault="004700CB" w:rsidP="004700CB">
      <w:pPr>
        <w:pStyle w:val="af5"/>
        <w:pBdr>
          <w:top w:val="none" w:sz="4" w:space="0" w:color="000000"/>
          <w:left w:val="none" w:sz="4" w:space="0" w:color="000000"/>
          <w:bottom w:val="none" w:sz="4" w:space="0" w:color="000000"/>
          <w:right w:val="none" w:sz="4" w:space="0" w:color="000000"/>
        </w:pBdr>
        <w:tabs>
          <w:tab w:val="left" w:pos="993"/>
        </w:tabs>
        <w:spacing w:after="0" w:line="240" w:lineRule="auto"/>
        <w:ind w:left="0" w:firstLine="709"/>
        <w:jc w:val="both"/>
        <w:rPr>
          <w:rFonts w:ascii="Times New Roman" w:eastAsia="Times New Roman" w:hAnsi="Times New Roman"/>
          <w:sz w:val="28"/>
          <w:szCs w:val="28"/>
        </w:rPr>
      </w:pPr>
      <w:r w:rsidRPr="004700CB">
        <w:rPr>
          <w:rFonts w:ascii="Times New Roman" w:eastAsia="Times New Roman" w:hAnsi="Times New Roman"/>
          <w:sz w:val="28"/>
          <w:szCs w:val="28"/>
        </w:rPr>
        <w:lastRenderedPageBreak/>
        <w:t>– </w:t>
      </w:r>
      <w:r w:rsidR="002A0B2C" w:rsidRPr="00577593">
        <w:rPr>
          <w:rFonts w:ascii="Times New Roman" w:eastAsia="Times New Roman" w:hAnsi="Times New Roman"/>
          <w:sz w:val="28"/>
          <w:szCs w:val="28"/>
        </w:rPr>
        <w:t>с</w:t>
      </w:r>
      <w:r w:rsidR="008925FA" w:rsidRPr="00577593">
        <w:rPr>
          <w:rFonts w:ascii="Times New Roman" w:eastAsia="Times New Roman" w:hAnsi="Times New Roman"/>
          <w:sz w:val="28"/>
          <w:szCs w:val="28"/>
        </w:rPr>
        <w:t>оздание комфортных условий проживания и обеспечение населения качественными жилищно-коммунальными услугами на всей территории края</w:t>
      </w:r>
      <w:r w:rsidR="002A0B2C" w:rsidRPr="00577593">
        <w:rPr>
          <w:rFonts w:ascii="Times New Roman" w:eastAsia="Times New Roman" w:hAnsi="Times New Roman"/>
          <w:sz w:val="28"/>
          <w:szCs w:val="28"/>
        </w:rPr>
        <w:t>;</w:t>
      </w:r>
    </w:p>
    <w:p w:rsidR="00FC41F4" w:rsidRPr="00577593" w:rsidRDefault="004700CB" w:rsidP="004700CB">
      <w:pPr>
        <w:pStyle w:val="af5"/>
        <w:pBdr>
          <w:top w:val="none" w:sz="4" w:space="0" w:color="000000"/>
          <w:left w:val="none" w:sz="4" w:space="0" w:color="000000"/>
          <w:bottom w:val="none" w:sz="4" w:space="0" w:color="000000"/>
          <w:right w:val="none" w:sz="4" w:space="0" w:color="000000"/>
        </w:pBdr>
        <w:tabs>
          <w:tab w:val="left" w:pos="993"/>
        </w:tabs>
        <w:spacing w:after="0" w:line="240" w:lineRule="auto"/>
        <w:ind w:left="0" w:firstLine="709"/>
        <w:jc w:val="both"/>
        <w:rPr>
          <w:rFonts w:ascii="Times New Roman" w:eastAsia="Times New Roman" w:hAnsi="Times New Roman"/>
          <w:sz w:val="28"/>
          <w:szCs w:val="28"/>
        </w:rPr>
      </w:pPr>
      <w:r w:rsidRPr="004700CB">
        <w:rPr>
          <w:rFonts w:ascii="Times New Roman" w:eastAsia="Times New Roman" w:hAnsi="Times New Roman"/>
          <w:sz w:val="28"/>
          <w:szCs w:val="28"/>
        </w:rPr>
        <w:t>– </w:t>
      </w:r>
      <w:r w:rsidR="002A0B2C" w:rsidRPr="00577593">
        <w:rPr>
          <w:rFonts w:ascii="Times New Roman" w:eastAsia="Times New Roman" w:hAnsi="Times New Roman"/>
          <w:sz w:val="28"/>
          <w:szCs w:val="28"/>
        </w:rPr>
        <w:t>р</w:t>
      </w:r>
      <w:r w:rsidR="008925FA" w:rsidRPr="00577593">
        <w:rPr>
          <w:rFonts w:ascii="Times New Roman" w:eastAsia="Times New Roman" w:hAnsi="Times New Roman"/>
          <w:sz w:val="28"/>
          <w:szCs w:val="28"/>
        </w:rPr>
        <w:t>азвитие</w:t>
      </w:r>
      <w:r w:rsidR="0067039B" w:rsidRPr="00577593">
        <w:rPr>
          <w:rFonts w:ascii="Times New Roman" w:eastAsia="Times New Roman" w:hAnsi="Times New Roman"/>
          <w:sz w:val="28"/>
          <w:szCs w:val="28"/>
        </w:rPr>
        <w:t xml:space="preserve"> </w:t>
      </w:r>
      <w:r w:rsidR="008925FA" w:rsidRPr="00577593">
        <w:rPr>
          <w:rFonts w:ascii="Times New Roman" w:eastAsia="Times New Roman" w:hAnsi="Times New Roman"/>
          <w:sz w:val="28"/>
          <w:szCs w:val="28"/>
        </w:rPr>
        <w:t>и</w:t>
      </w:r>
      <w:r w:rsidR="0067039B" w:rsidRPr="00577593">
        <w:rPr>
          <w:rFonts w:ascii="Times New Roman" w:eastAsia="Times New Roman" w:hAnsi="Times New Roman"/>
          <w:sz w:val="28"/>
          <w:szCs w:val="28"/>
        </w:rPr>
        <w:t xml:space="preserve"> </w:t>
      </w:r>
      <w:r w:rsidR="008925FA" w:rsidRPr="00577593">
        <w:rPr>
          <w:rFonts w:ascii="Times New Roman" w:eastAsia="Times New Roman" w:hAnsi="Times New Roman"/>
          <w:sz w:val="28"/>
          <w:szCs w:val="28"/>
        </w:rPr>
        <w:t>повышение</w:t>
      </w:r>
      <w:r w:rsidR="0067039B" w:rsidRPr="00577593">
        <w:rPr>
          <w:rFonts w:ascii="Times New Roman" w:eastAsia="Times New Roman" w:hAnsi="Times New Roman"/>
          <w:sz w:val="28"/>
          <w:szCs w:val="28"/>
        </w:rPr>
        <w:t xml:space="preserve"> </w:t>
      </w:r>
      <w:r w:rsidR="008925FA" w:rsidRPr="00577593">
        <w:rPr>
          <w:rFonts w:ascii="Times New Roman" w:eastAsia="Times New Roman" w:hAnsi="Times New Roman"/>
          <w:sz w:val="28"/>
          <w:szCs w:val="28"/>
        </w:rPr>
        <w:t>эффективности функционирования энергетических отраслей и системы жилищно-коммунального хозяйства</w:t>
      </w:r>
      <w:r w:rsidR="002A0B2C" w:rsidRPr="00577593">
        <w:rPr>
          <w:rFonts w:ascii="Times New Roman" w:eastAsia="Times New Roman" w:hAnsi="Times New Roman"/>
          <w:sz w:val="28"/>
          <w:szCs w:val="28"/>
        </w:rPr>
        <w:t>;</w:t>
      </w:r>
    </w:p>
    <w:p w:rsidR="00FC41F4" w:rsidRPr="00577593" w:rsidRDefault="004700CB" w:rsidP="004700CB">
      <w:pPr>
        <w:pStyle w:val="af5"/>
        <w:pBdr>
          <w:top w:val="none" w:sz="4" w:space="0" w:color="000000"/>
          <w:left w:val="none" w:sz="4" w:space="0" w:color="000000"/>
          <w:bottom w:val="none" w:sz="4" w:space="0" w:color="000000"/>
          <w:right w:val="none" w:sz="4" w:space="0" w:color="000000"/>
        </w:pBdr>
        <w:tabs>
          <w:tab w:val="left" w:pos="993"/>
        </w:tabs>
        <w:spacing w:after="0" w:line="240" w:lineRule="auto"/>
        <w:ind w:left="0" w:firstLine="709"/>
        <w:jc w:val="both"/>
        <w:rPr>
          <w:rFonts w:ascii="Times New Roman" w:eastAsia="Times New Roman" w:hAnsi="Times New Roman"/>
          <w:sz w:val="28"/>
          <w:szCs w:val="28"/>
        </w:rPr>
      </w:pPr>
      <w:r w:rsidRPr="004700CB">
        <w:rPr>
          <w:rFonts w:ascii="Times New Roman" w:eastAsia="Times New Roman" w:hAnsi="Times New Roman"/>
          <w:sz w:val="28"/>
          <w:szCs w:val="28"/>
        </w:rPr>
        <w:t>– </w:t>
      </w:r>
      <w:r w:rsidR="002A0B2C" w:rsidRPr="00577593">
        <w:rPr>
          <w:rFonts w:ascii="Times New Roman" w:eastAsia="Times New Roman" w:hAnsi="Times New Roman"/>
          <w:sz w:val="28"/>
          <w:szCs w:val="28"/>
        </w:rPr>
        <w:t>с</w:t>
      </w:r>
      <w:r w:rsidR="008925FA" w:rsidRPr="00577593">
        <w:rPr>
          <w:rFonts w:ascii="Times New Roman" w:eastAsia="Times New Roman" w:hAnsi="Times New Roman"/>
          <w:sz w:val="28"/>
          <w:szCs w:val="28"/>
        </w:rPr>
        <w:t>нижение негативного воздействия на экологию со стороны энергетики за счет увеличения доли экологически чистых источников топлива, а также расширения использования высокоэффективного фильтрующего оборудования для угольной генерации.</w:t>
      </w:r>
    </w:p>
    <w:p w:rsidR="00C20D66" w:rsidRPr="00577593" w:rsidRDefault="00C20D66" w:rsidP="004700CB">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Направления реализации задачи «</w:t>
      </w:r>
      <w:r w:rsidRPr="00577593">
        <w:rPr>
          <w:rFonts w:ascii="Times New Roman" w:eastAsia="Times New Roman" w:hAnsi="Times New Roman"/>
          <w:bCs/>
          <w:sz w:val="28"/>
          <w:szCs w:val="28"/>
        </w:rPr>
        <w:t>Развитие жилищно-коммунального хозяйства</w:t>
      </w:r>
      <w:r w:rsidRPr="00577593">
        <w:rPr>
          <w:rFonts w:ascii="Times New Roman" w:eastAsia="Times New Roman" w:hAnsi="Times New Roman"/>
          <w:sz w:val="28"/>
          <w:szCs w:val="28"/>
        </w:rPr>
        <w:t>» в городе Барнауле:</w:t>
      </w:r>
    </w:p>
    <w:p w:rsidR="00850BCA" w:rsidRPr="00577593" w:rsidRDefault="004700CB" w:rsidP="00936001">
      <w:pPr>
        <w:pStyle w:val="af5"/>
        <w:pBdr>
          <w:top w:val="none" w:sz="4" w:space="0" w:color="000000"/>
          <w:left w:val="none" w:sz="4" w:space="1" w:color="000000"/>
          <w:bottom w:val="none" w:sz="4" w:space="0" w:color="000000"/>
          <w:right w:val="none" w:sz="4" w:space="0" w:color="000000"/>
        </w:pBdr>
        <w:tabs>
          <w:tab w:val="left" w:pos="993"/>
        </w:tabs>
        <w:spacing w:after="0" w:line="240" w:lineRule="auto"/>
        <w:ind w:left="0" w:firstLine="709"/>
        <w:jc w:val="both"/>
        <w:rPr>
          <w:rFonts w:ascii="Times New Roman" w:eastAsia="Times New Roman" w:hAnsi="Times New Roman"/>
          <w:sz w:val="28"/>
          <w:szCs w:val="28"/>
        </w:rPr>
      </w:pPr>
      <w:r w:rsidRPr="004700CB">
        <w:rPr>
          <w:rFonts w:ascii="Times New Roman" w:eastAsia="Times New Roman" w:hAnsi="Times New Roman"/>
          <w:sz w:val="28"/>
          <w:szCs w:val="28"/>
        </w:rPr>
        <w:t>– снижение износа сетевой инфраструктуры;</w:t>
      </w:r>
    </w:p>
    <w:p w:rsidR="00850BCA" w:rsidRPr="004700CB" w:rsidRDefault="004700CB" w:rsidP="00936001">
      <w:pPr>
        <w:pStyle w:val="af5"/>
        <w:pBdr>
          <w:top w:val="none" w:sz="4" w:space="0" w:color="000000"/>
          <w:left w:val="none" w:sz="4" w:space="1" w:color="000000"/>
          <w:bottom w:val="none" w:sz="4" w:space="0" w:color="000000"/>
          <w:right w:val="none" w:sz="4" w:space="0" w:color="000000"/>
        </w:pBdr>
        <w:tabs>
          <w:tab w:val="left" w:pos="993"/>
        </w:tabs>
        <w:spacing w:after="0" w:line="240" w:lineRule="auto"/>
        <w:ind w:left="0" w:firstLine="709"/>
        <w:jc w:val="both"/>
        <w:rPr>
          <w:rFonts w:ascii="Times New Roman" w:eastAsia="Times New Roman" w:hAnsi="Times New Roman"/>
          <w:sz w:val="28"/>
          <w:szCs w:val="28"/>
        </w:rPr>
      </w:pPr>
      <w:bookmarkStart w:id="456" w:name="_Toc212804357"/>
      <w:r w:rsidRPr="004700CB">
        <w:rPr>
          <w:rFonts w:ascii="Times New Roman" w:eastAsia="Times New Roman" w:hAnsi="Times New Roman"/>
          <w:sz w:val="28"/>
          <w:szCs w:val="28"/>
        </w:rPr>
        <w:t>– </w:t>
      </w:r>
      <w:r>
        <w:rPr>
          <w:rFonts w:ascii="Times New Roman" w:eastAsia="Times New Roman" w:hAnsi="Times New Roman"/>
          <w:sz w:val="28"/>
          <w:szCs w:val="28"/>
        </w:rPr>
        <w:t>п</w:t>
      </w:r>
      <w:r w:rsidR="00850BCA" w:rsidRPr="004700CB">
        <w:rPr>
          <w:rFonts w:ascii="Times New Roman" w:eastAsia="Times New Roman" w:hAnsi="Times New Roman"/>
          <w:sz w:val="28"/>
          <w:szCs w:val="28"/>
        </w:rPr>
        <w:t>овышение ресурсоэффективности ЖКХ;</w:t>
      </w:r>
      <w:bookmarkEnd w:id="456"/>
    </w:p>
    <w:p w:rsidR="00850BCA" w:rsidRPr="00577593" w:rsidRDefault="004700CB" w:rsidP="00936001">
      <w:pPr>
        <w:pStyle w:val="af5"/>
        <w:pBdr>
          <w:top w:val="none" w:sz="4" w:space="0" w:color="000000"/>
          <w:left w:val="none" w:sz="4" w:space="1" w:color="000000"/>
          <w:bottom w:val="none" w:sz="4" w:space="0" w:color="000000"/>
          <w:right w:val="none" w:sz="4" w:space="0" w:color="000000"/>
        </w:pBdr>
        <w:tabs>
          <w:tab w:val="left" w:pos="993"/>
        </w:tabs>
        <w:spacing w:after="0" w:line="240" w:lineRule="auto"/>
        <w:ind w:left="0" w:firstLine="709"/>
        <w:jc w:val="both"/>
        <w:rPr>
          <w:rFonts w:ascii="Times New Roman" w:eastAsia="Times New Roman" w:hAnsi="Times New Roman"/>
          <w:sz w:val="28"/>
          <w:szCs w:val="28"/>
        </w:rPr>
      </w:pPr>
      <w:r w:rsidRPr="004700CB">
        <w:rPr>
          <w:rFonts w:ascii="Times New Roman" w:eastAsia="Times New Roman" w:hAnsi="Times New Roman"/>
          <w:sz w:val="28"/>
          <w:szCs w:val="28"/>
        </w:rPr>
        <w:t>– </w:t>
      </w:r>
      <w:r>
        <w:rPr>
          <w:rFonts w:ascii="Times New Roman" w:eastAsia="Times New Roman" w:hAnsi="Times New Roman"/>
          <w:sz w:val="28"/>
          <w:szCs w:val="28"/>
        </w:rPr>
        <w:t>п</w:t>
      </w:r>
      <w:r w:rsidR="00850BCA" w:rsidRPr="004700CB">
        <w:rPr>
          <w:rFonts w:ascii="Times New Roman" w:eastAsia="Times New Roman" w:hAnsi="Times New Roman"/>
          <w:sz w:val="28"/>
          <w:szCs w:val="28"/>
        </w:rPr>
        <w:t>роектирование коридоров для инженерной инфраструктуры;</w:t>
      </w:r>
    </w:p>
    <w:p w:rsidR="00850BCA" w:rsidRPr="00577593" w:rsidRDefault="004700CB" w:rsidP="00936001">
      <w:pPr>
        <w:pStyle w:val="af5"/>
        <w:pBdr>
          <w:top w:val="none" w:sz="4" w:space="0" w:color="000000"/>
          <w:left w:val="none" w:sz="4" w:space="1" w:color="000000"/>
          <w:bottom w:val="none" w:sz="4" w:space="0" w:color="000000"/>
          <w:right w:val="none" w:sz="4" w:space="0" w:color="000000"/>
        </w:pBdr>
        <w:tabs>
          <w:tab w:val="left" w:pos="993"/>
        </w:tabs>
        <w:spacing w:after="0" w:line="240" w:lineRule="auto"/>
        <w:ind w:left="0" w:firstLine="709"/>
        <w:jc w:val="both"/>
        <w:rPr>
          <w:rFonts w:ascii="Times New Roman" w:eastAsia="Times New Roman" w:hAnsi="Times New Roman"/>
          <w:sz w:val="28"/>
          <w:szCs w:val="28"/>
        </w:rPr>
      </w:pPr>
      <w:r w:rsidRPr="004700CB">
        <w:rPr>
          <w:rFonts w:ascii="Times New Roman" w:eastAsia="Times New Roman" w:hAnsi="Times New Roman"/>
          <w:sz w:val="28"/>
          <w:szCs w:val="28"/>
        </w:rPr>
        <w:t>– </w:t>
      </w:r>
      <w:r>
        <w:rPr>
          <w:rFonts w:ascii="Times New Roman" w:eastAsia="Times New Roman" w:hAnsi="Times New Roman"/>
          <w:sz w:val="28"/>
          <w:szCs w:val="28"/>
        </w:rPr>
        <w:t>п</w:t>
      </w:r>
      <w:r w:rsidR="00850BCA" w:rsidRPr="004700CB">
        <w:rPr>
          <w:rFonts w:ascii="Times New Roman" w:eastAsia="Times New Roman" w:hAnsi="Times New Roman"/>
          <w:sz w:val="28"/>
          <w:szCs w:val="28"/>
        </w:rPr>
        <w:t>роведение газификации;</w:t>
      </w:r>
    </w:p>
    <w:p w:rsidR="00850BCA" w:rsidRPr="00577593" w:rsidRDefault="004700CB" w:rsidP="00936001">
      <w:pPr>
        <w:pStyle w:val="af5"/>
        <w:pBdr>
          <w:top w:val="none" w:sz="4" w:space="0" w:color="000000"/>
          <w:left w:val="none" w:sz="4" w:space="1" w:color="000000"/>
          <w:bottom w:val="none" w:sz="4" w:space="0" w:color="000000"/>
          <w:right w:val="none" w:sz="4" w:space="0" w:color="000000"/>
        </w:pBdr>
        <w:tabs>
          <w:tab w:val="left" w:pos="993"/>
        </w:tabs>
        <w:spacing w:after="0" w:line="240" w:lineRule="auto"/>
        <w:ind w:left="0" w:firstLine="709"/>
        <w:jc w:val="both"/>
        <w:rPr>
          <w:rFonts w:ascii="Times New Roman" w:eastAsia="Times New Roman" w:hAnsi="Times New Roman"/>
          <w:sz w:val="28"/>
          <w:szCs w:val="28"/>
        </w:rPr>
      </w:pPr>
      <w:r w:rsidRPr="004700CB">
        <w:rPr>
          <w:rFonts w:ascii="Times New Roman" w:eastAsia="Times New Roman" w:hAnsi="Times New Roman"/>
          <w:sz w:val="28"/>
          <w:szCs w:val="28"/>
        </w:rPr>
        <w:t>– </w:t>
      </w:r>
      <w:r>
        <w:rPr>
          <w:rFonts w:ascii="Times New Roman" w:eastAsia="Times New Roman" w:hAnsi="Times New Roman"/>
          <w:sz w:val="28"/>
          <w:szCs w:val="28"/>
        </w:rPr>
        <w:t>п</w:t>
      </w:r>
      <w:r w:rsidR="00850BCA" w:rsidRPr="004700CB">
        <w:rPr>
          <w:rFonts w:ascii="Times New Roman" w:eastAsia="Times New Roman" w:hAnsi="Times New Roman"/>
          <w:sz w:val="28"/>
          <w:szCs w:val="28"/>
        </w:rPr>
        <w:t xml:space="preserve">оддержание электросетевого хозяйства </w:t>
      </w:r>
      <w:r w:rsidR="009C7BF9">
        <w:rPr>
          <w:rFonts w:ascii="Times New Roman" w:eastAsia="Times New Roman" w:hAnsi="Times New Roman"/>
          <w:sz w:val="28"/>
          <w:szCs w:val="28"/>
        </w:rPr>
        <w:t xml:space="preserve">города </w:t>
      </w:r>
      <w:r w:rsidR="00850BCA" w:rsidRPr="004700CB">
        <w:rPr>
          <w:rFonts w:ascii="Times New Roman" w:eastAsia="Times New Roman" w:hAnsi="Times New Roman"/>
          <w:sz w:val="28"/>
          <w:szCs w:val="28"/>
        </w:rPr>
        <w:t>Барнаула;</w:t>
      </w:r>
    </w:p>
    <w:p w:rsidR="00850BCA" w:rsidRPr="00577593" w:rsidRDefault="004700CB" w:rsidP="00936001">
      <w:pPr>
        <w:pStyle w:val="af5"/>
        <w:pBdr>
          <w:top w:val="none" w:sz="4" w:space="0" w:color="000000"/>
          <w:left w:val="none" w:sz="4" w:space="1" w:color="000000"/>
          <w:bottom w:val="none" w:sz="4" w:space="0" w:color="000000"/>
          <w:right w:val="none" w:sz="4" w:space="0" w:color="000000"/>
        </w:pBdr>
        <w:tabs>
          <w:tab w:val="left" w:pos="993"/>
        </w:tabs>
        <w:spacing w:after="0" w:line="240" w:lineRule="auto"/>
        <w:ind w:left="0" w:firstLine="709"/>
        <w:jc w:val="both"/>
        <w:rPr>
          <w:rFonts w:ascii="Times New Roman" w:eastAsia="Times New Roman" w:hAnsi="Times New Roman"/>
          <w:sz w:val="28"/>
          <w:szCs w:val="28"/>
        </w:rPr>
      </w:pPr>
      <w:r w:rsidRPr="004700CB">
        <w:rPr>
          <w:rFonts w:ascii="Times New Roman" w:eastAsia="Times New Roman" w:hAnsi="Times New Roman"/>
          <w:sz w:val="28"/>
          <w:szCs w:val="28"/>
        </w:rPr>
        <w:t>– </w:t>
      </w:r>
      <w:r>
        <w:rPr>
          <w:rFonts w:ascii="Times New Roman" w:eastAsia="Times New Roman" w:hAnsi="Times New Roman"/>
          <w:sz w:val="28"/>
          <w:szCs w:val="28"/>
        </w:rPr>
        <w:t>р</w:t>
      </w:r>
      <w:r w:rsidR="00850BCA" w:rsidRPr="004700CB">
        <w:rPr>
          <w:rFonts w:ascii="Times New Roman" w:eastAsia="Times New Roman" w:hAnsi="Times New Roman"/>
          <w:sz w:val="28"/>
          <w:szCs w:val="28"/>
        </w:rPr>
        <w:t>азвитие системы водоснабжение и водоотведения;</w:t>
      </w:r>
    </w:p>
    <w:p w:rsidR="00850BCA" w:rsidRPr="00577593" w:rsidRDefault="004700CB" w:rsidP="00936001">
      <w:pPr>
        <w:pStyle w:val="af5"/>
        <w:pBdr>
          <w:top w:val="none" w:sz="4" w:space="0" w:color="000000"/>
          <w:left w:val="none" w:sz="4" w:space="1" w:color="000000"/>
          <w:bottom w:val="none" w:sz="4" w:space="0" w:color="000000"/>
          <w:right w:val="none" w:sz="4" w:space="0" w:color="000000"/>
        </w:pBdr>
        <w:tabs>
          <w:tab w:val="left" w:pos="993"/>
        </w:tabs>
        <w:spacing w:after="0" w:line="240" w:lineRule="auto"/>
        <w:ind w:left="0" w:firstLine="709"/>
        <w:jc w:val="both"/>
        <w:rPr>
          <w:rFonts w:ascii="Times New Roman" w:eastAsia="Times New Roman" w:hAnsi="Times New Roman"/>
          <w:sz w:val="28"/>
          <w:szCs w:val="28"/>
        </w:rPr>
      </w:pPr>
      <w:r w:rsidRPr="004700CB">
        <w:rPr>
          <w:rFonts w:ascii="Times New Roman" w:eastAsia="Times New Roman" w:hAnsi="Times New Roman"/>
          <w:sz w:val="28"/>
          <w:szCs w:val="28"/>
        </w:rPr>
        <w:t>– </w:t>
      </w:r>
      <w:r>
        <w:rPr>
          <w:rFonts w:ascii="Times New Roman" w:eastAsia="Times New Roman" w:hAnsi="Times New Roman"/>
          <w:sz w:val="28"/>
          <w:szCs w:val="28"/>
        </w:rPr>
        <w:t>р</w:t>
      </w:r>
      <w:r w:rsidR="00850BCA" w:rsidRPr="004700CB">
        <w:rPr>
          <w:rFonts w:ascii="Times New Roman" w:eastAsia="Times New Roman" w:hAnsi="Times New Roman"/>
          <w:sz w:val="28"/>
          <w:szCs w:val="28"/>
        </w:rPr>
        <w:t>азвитие и модернизация ливневой канализации;</w:t>
      </w:r>
    </w:p>
    <w:p w:rsidR="00850BCA" w:rsidRPr="00577593" w:rsidRDefault="004700CB" w:rsidP="00936001">
      <w:pPr>
        <w:pStyle w:val="af5"/>
        <w:pBdr>
          <w:top w:val="none" w:sz="4" w:space="0" w:color="000000"/>
          <w:left w:val="none" w:sz="4" w:space="1" w:color="000000"/>
          <w:bottom w:val="none" w:sz="4" w:space="0" w:color="000000"/>
          <w:right w:val="none" w:sz="4" w:space="0" w:color="000000"/>
        </w:pBdr>
        <w:tabs>
          <w:tab w:val="left" w:pos="993"/>
        </w:tabs>
        <w:spacing w:after="0" w:line="240" w:lineRule="auto"/>
        <w:ind w:left="0" w:firstLine="709"/>
        <w:jc w:val="both"/>
        <w:rPr>
          <w:rFonts w:ascii="Times New Roman" w:eastAsia="Times New Roman" w:hAnsi="Times New Roman"/>
          <w:sz w:val="28"/>
          <w:szCs w:val="28"/>
        </w:rPr>
      </w:pPr>
      <w:r w:rsidRPr="004700CB">
        <w:rPr>
          <w:rFonts w:ascii="Times New Roman" w:eastAsia="Times New Roman" w:hAnsi="Times New Roman"/>
          <w:sz w:val="28"/>
          <w:szCs w:val="28"/>
        </w:rPr>
        <w:t>– </w:t>
      </w:r>
      <w:r>
        <w:rPr>
          <w:rFonts w:ascii="Times New Roman" w:eastAsia="Times New Roman" w:hAnsi="Times New Roman"/>
          <w:sz w:val="28"/>
          <w:szCs w:val="28"/>
        </w:rPr>
        <w:t>к</w:t>
      </w:r>
      <w:r w:rsidR="00850BCA" w:rsidRPr="004700CB">
        <w:rPr>
          <w:rFonts w:ascii="Times New Roman" w:eastAsia="Times New Roman" w:hAnsi="Times New Roman"/>
          <w:sz w:val="28"/>
          <w:szCs w:val="28"/>
        </w:rPr>
        <w:t>апитальный ремонт жилищного фонда города Барнаула;</w:t>
      </w:r>
    </w:p>
    <w:p w:rsidR="00850BCA" w:rsidRPr="00577593" w:rsidRDefault="004700CB" w:rsidP="00936001">
      <w:pPr>
        <w:pStyle w:val="af5"/>
        <w:pBdr>
          <w:top w:val="none" w:sz="4" w:space="0" w:color="000000"/>
          <w:left w:val="none" w:sz="4" w:space="1" w:color="000000"/>
          <w:bottom w:val="none" w:sz="4" w:space="0" w:color="000000"/>
          <w:right w:val="none" w:sz="4" w:space="0" w:color="000000"/>
        </w:pBdr>
        <w:tabs>
          <w:tab w:val="left" w:pos="993"/>
        </w:tabs>
        <w:spacing w:after="0" w:line="240" w:lineRule="auto"/>
        <w:ind w:left="0" w:firstLine="709"/>
        <w:jc w:val="both"/>
        <w:rPr>
          <w:rFonts w:ascii="Times New Roman" w:eastAsia="Times New Roman" w:hAnsi="Times New Roman"/>
          <w:sz w:val="28"/>
          <w:szCs w:val="28"/>
        </w:rPr>
      </w:pPr>
      <w:r w:rsidRPr="004700CB">
        <w:rPr>
          <w:rFonts w:ascii="Times New Roman" w:eastAsia="Times New Roman" w:hAnsi="Times New Roman"/>
          <w:sz w:val="28"/>
          <w:szCs w:val="28"/>
        </w:rPr>
        <w:t>– </w:t>
      </w:r>
      <w:r>
        <w:rPr>
          <w:rFonts w:ascii="Times New Roman" w:eastAsia="Times New Roman" w:hAnsi="Times New Roman"/>
          <w:sz w:val="28"/>
          <w:szCs w:val="28"/>
        </w:rPr>
        <w:t>о</w:t>
      </w:r>
      <w:r w:rsidR="00850BCA" w:rsidRPr="004700CB">
        <w:rPr>
          <w:rFonts w:ascii="Times New Roman" w:eastAsia="Times New Roman" w:hAnsi="Times New Roman"/>
          <w:sz w:val="28"/>
          <w:szCs w:val="28"/>
        </w:rPr>
        <w:t>беспечение населения города Барнаула комфортным жильем;</w:t>
      </w:r>
    </w:p>
    <w:p w:rsidR="00850BCA" w:rsidRPr="00577593" w:rsidRDefault="004700CB" w:rsidP="00936001">
      <w:pPr>
        <w:pStyle w:val="af5"/>
        <w:pBdr>
          <w:top w:val="none" w:sz="4" w:space="0" w:color="000000"/>
          <w:left w:val="none" w:sz="4" w:space="1" w:color="000000"/>
          <w:bottom w:val="none" w:sz="4" w:space="0" w:color="000000"/>
          <w:right w:val="none" w:sz="4" w:space="0" w:color="000000"/>
        </w:pBdr>
        <w:tabs>
          <w:tab w:val="left" w:pos="993"/>
        </w:tabs>
        <w:spacing w:after="0" w:line="240" w:lineRule="auto"/>
        <w:ind w:left="0" w:firstLine="709"/>
        <w:jc w:val="both"/>
        <w:rPr>
          <w:rFonts w:ascii="Times New Roman" w:eastAsia="Times New Roman" w:hAnsi="Times New Roman"/>
          <w:sz w:val="28"/>
          <w:szCs w:val="28"/>
        </w:rPr>
      </w:pPr>
      <w:r w:rsidRPr="004700CB">
        <w:rPr>
          <w:rFonts w:ascii="Times New Roman" w:eastAsia="Times New Roman" w:hAnsi="Times New Roman"/>
          <w:sz w:val="28"/>
          <w:szCs w:val="28"/>
        </w:rPr>
        <w:t>– </w:t>
      </w:r>
      <w:r>
        <w:rPr>
          <w:rFonts w:ascii="Times New Roman" w:eastAsia="Times New Roman" w:hAnsi="Times New Roman"/>
          <w:sz w:val="28"/>
          <w:szCs w:val="28"/>
        </w:rPr>
        <w:t>о</w:t>
      </w:r>
      <w:r w:rsidR="00850BCA" w:rsidRPr="004700CB">
        <w:rPr>
          <w:rFonts w:ascii="Times New Roman" w:eastAsia="Times New Roman" w:hAnsi="Times New Roman"/>
          <w:sz w:val="28"/>
          <w:szCs w:val="28"/>
        </w:rPr>
        <w:t>беспечение жителей пригородной зоны качественными жилищно-коммунальными услугами;</w:t>
      </w:r>
    </w:p>
    <w:p w:rsidR="00850BCA" w:rsidRPr="00577593" w:rsidRDefault="004700CB" w:rsidP="00936001">
      <w:pPr>
        <w:pStyle w:val="af5"/>
        <w:pBdr>
          <w:top w:val="none" w:sz="4" w:space="0" w:color="000000"/>
          <w:left w:val="none" w:sz="4" w:space="1" w:color="000000"/>
          <w:bottom w:val="none" w:sz="4" w:space="0" w:color="000000"/>
          <w:right w:val="none" w:sz="4" w:space="0" w:color="000000"/>
        </w:pBdr>
        <w:tabs>
          <w:tab w:val="left" w:pos="993"/>
        </w:tabs>
        <w:spacing w:after="0" w:line="240" w:lineRule="auto"/>
        <w:ind w:left="0" w:firstLine="709"/>
        <w:jc w:val="both"/>
        <w:rPr>
          <w:rFonts w:ascii="Times New Roman" w:eastAsia="Times New Roman" w:hAnsi="Times New Roman"/>
          <w:sz w:val="28"/>
          <w:szCs w:val="28"/>
        </w:rPr>
      </w:pPr>
      <w:r w:rsidRPr="004700CB">
        <w:rPr>
          <w:rFonts w:ascii="Times New Roman" w:eastAsia="Times New Roman" w:hAnsi="Times New Roman"/>
          <w:sz w:val="28"/>
          <w:szCs w:val="28"/>
        </w:rPr>
        <w:t>– </w:t>
      </w:r>
      <w:r>
        <w:rPr>
          <w:rFonts w:ascii="Times New Roman" w:eastAsia="Times New Roman" w:hAnsi="Times New Roman"/>
          <w:sz w:val="28"/>
          <w:szCs w:val="28"/>
        </w:rPr>
        <w:t>о</w:t>
      </w:r>
      <w:r w:rsidR="00850BCA" w:rsidRPr="004700CB">
        <w:rPr>
          <w:rFonts w:ascii="Times New Roman" w:eastAsia="Times New Roman" w:hAnsi="Times New Roman"/>
          <w:sz w:val="28"/>
          <w:szCs w:val="28"/>
        </w:rPr>
        <w:t>борудование территории жилой застройки контейнерными площадки для сбора твердых коммунальных отходов;</w:t>
      </w:r>
    </w:p>
    <w:p w:rsidR="00FC41F4" w:rsidRPr="00577593" w:rsidRDefault="004700CB" w:rsidP="00936001">
      <w:pPr>
        <w:pStyle w:val="af5"/>
        <w:pBdr>
          <w:top w:val="none" w:sz="4" w:space="0" w:color="000000"/>
          <w:left w:val="none" w:sz="4" w:space="1" w:color="000000"/>
          <w:bottom w:val="none" w:sz="4" w:space="0" w:color="000000"/>
          <w:right w:val="none" w:sz="4" w:space="0" w:color="000000"/>
        </w:pBdr>
        <w:tabs>
          <w:tab w:val="left" w:pos="993"/>
        </w:tabs>
        <w:spacing w:after="0" w:line="240" w:lineRule="auto"/>
        <w:ind w:left="0" w:firstLine="709"/>
        <w:jc w:val="both"/>
        <w:rPr>
          <w:rFonts w:ascii="Times New Roman" w:eastAsia="Times New Roman" w:hAnsi="Times New Roman"/>
          <w:sz w:val="28"/>
          <w:szCs w:val="28"/>
        </w:rPr>
      </w:pPr>
      <w:r w:rsidRPr="004700CB">
        <w:rPr>
          <w:rFonts w:ascii="Times New Roman" w:eastAsia="Times New Roman" w:hAnsi="Times New Roman"/>
          <w:sz w:val="28"/>
          <w:szCs w:val="28"/>
        </w:rPr>
        <w:t>– </w:t>
      </w:r>
      <w:r>
        <w:rPr>
          <w:rFonts w:ascii="Times New Roman" w:eastAsia="Times New Roman" w:hAnsi="Times New Roman"/>
          <w:sz w:val="28"/>
          <w:szCs w:val="28"/>
        </w:rPr>
        <w:t>с</w:t>
      </w:r>
      <w:r w:rsidR="00850BCA" w:rsidRPr="004700CB">
        <w:rPr>
          <w:rFonts w:ascii="Times New Roman" w:eastAsia="Times New Roman" w:hAnsi="Times New Roman"/>
          <w:sz w:val="28"/>
          <w:szCs w:val="28"/>
        </w:rPr>
        <w:t xml:space="preserve">анитарная </w:t>
      </w:r>
      <w:r w:rsidR="00850BCA" w:rsidRPr="00577593">
        <w:rPr>
          <w:rFonts w:ascii="Times New Roman" w:eastAsia="Times New Roman" w:hAnsi="Times New Roman"/>
          <w:bCs/>
          <w:sz w:val="28"/>
          <w:szCs w:val="28"/>
        </w:rPr>
        <w:t>очистка территории города Барнаула.</w:t>
      </w:r>
    </w:p>
    <w:p w:rsidR="00FC41F4" w:rsidRPr="00577593" w:rsidRDefault="008925FA" w:rsidP="00936001">
      <w:pPr>
        <w:pStyle w:val="3"/>
        <w:pBdr>
          <w:top w:val="none" w:sz="4" w:space="0" w:color="000000"/>
          <w:left w:val="none" w:sz="4" w:space="1" w:color="000000"/>
          <w:bottom w:val="none" w:sz="4" w:space="0" w:color="000000"/>
          <w:right w:val="none" w:sz="4" w:space="0" w:color="000000"/>
        </w:pBdr>
        <w:spacing w:before="0" w:line="240" w:lineRule="auto"/>
        <w:ind w:firstLine="709"/>
        <w:jc w:val="both"/>
        <w:rPr>
          <w:rFonts w:ascii="Times New Roman" w:hAnsi="Times New Roman"/>
          <w:bCs/>
          <w:color w:val="auto"/>
          <w:sz w:val="28"/>
          <w:szCs w:val="28"/>
        </w:rPr>
      </w:pPr>
      <w:bookmarkStart w:id="457" w:name="_Toc208496726"/>
      <w:bookmarkStart w:id="458" w:name="_Toc208669008"/>
      <w:bookmarkStart w:id="459" w:name="_Toc212804358"/>
      <w:r w:rsidRPr="00577593">
        <w:rPr>
          <w:rFonts w:ascii="Times New Roman" w:eastAsia="Times New Roman" w:hAnsi="Times New Roman"/>
          <w:bCs/>
          <w:color w:val="auto"/>
          <w:sz w:val="28"/>
          <w:szCs w:val="28"/>
        </w:rPr>
        <w:t>9.3.2.1</w:t>
      </w:r>
      <w:r w:rsidR="004700CB">
        <w:rPr>
          <w:rFonts w:ascii="Times New Roman" w:eastAsia="Times New Roman" w:hAnsi="Times New Roman"/>
          <w:bCs/>
          <w:color w:val="auto"/>
          <w:sz w:val="28"/>
          <w:szCs w:val="28"/>
        </w:rPr>
        <w:t>.</w:t>
      </w:r>
      <w:r w:rsidRPr="00577593">
        <w:rPr>
          <w:rFonts w:ascii="Times New Roman" w:eastAsia="Times New Roman" w:hAnsi="Times New Roman"/>
          <w:bCs/>
          <w:color w:val="auto"/>
          <w:sz w:val="28"/>
          <w:szCs w:val="28"/>
        </w:rPr>
        <w:t xml:space="preserve"> Снижение износа сетевой инфраструктуры</w:t>
      </w:r>
      <w:bookmarkEnd w:id="457"/>
      <w:bookmarkEnd w:id="458"/>
      <w:bookmarkEnd w:id="459"/>
    </w:p>
    <w:p w:rsidR="00FC41F4" w:rsidRPr="00577593" w:rsidRDefault="008925FA" w:rsidP="00936001">
      <w:pPr>
        <w:pBdr>
          <w:top w:val="none" w:sz="4" w:space="0" w:color="000000"/>
          <w:left w:val="none" w:sz="4" w:space="1"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Для снижения износа сетевой инфраструктуры ЖКХ в </w:t>
      </w:r>
      <w:r w:rsidR="009C7BF9">
        <w:rPr>
          <w:rFonts w:ascii="Times New Roman" w:eastAsia="Times New Roman" w:hAnsi="Times New Roman"/>
          <w:sz w:val="28"/>
          <w:szCs w:val="28"/>
        </w:rPr>
        <w:t>городе</w:t>
      </w:r>
      <w:r w:rsidRPr="00577593">
        <w:rPr>
          <w:rFonts w:ascii="Times New Roman" w:eastAsia="Times New Roman" w:hAnsi="Times New Roman"/>
          <w:sz w:val="28"/>
          <w:szCs w:val="28"/>
        </w:rPr>
        <w:t xml:space="preserve"> необходимо реализовать комплекс мер, направленных на модернизацию и обновление коммунальных систем. Требуется увеличение объемов инвестиций в ремонт и модернизацию сетей. Необходимо продолжение практики заключения концессионных соглашений с частными инвесторами. Для достижения максимального эффекта необходимо обеспечить комплексный подход к решению проблемы износа и тесное взаимодействие всех заинтересованных сторон. Важно также привлекать федеральные программы поддержки и использовать современные технологии в процессе модернизации инфраструктуры.</w:t>
      </w:r>
    </w:p>
    <w:p w:rsidR="00FC41F4" w:rsidRPr="00577593" w:rsidRDefault="008925FA" w:rsidP="00936001">
      <w:pPr>
        <w:pStyle w:val="3"/>
        <w:pBdr>
          <w:top w:val="none" w:sz="4" w:space="0" w:color="000000"/>
          <w:left w:val="none" w:sz="4" w:space="1" w:color="000000"/>
          <w:bottom w:val="none" w:sz="4" w:space="0" w:color="000000"/>
          <w:right w:val="none" w:sz="4" w:space="0" w:color="000000"/>
        </w:pBdr>
        <w:spacing w:before="0" w:line="240" w:lineRule="auto"/>
        <w:ind w:firstLine="709"/>
        <w:jc w:val="both"/>
        <w:rPr>
          <w:rFonts w:ascii="Times New Roman" w:hAnsi="Times New Roman"/>
          <w:bCs/>
          <w:color w:val="auto"/>
          <w:sz w:val="28"/>
          <w:szCs w:val="28"/>
        </w:rPr>
      </w:pPr>
      <w:bookmarkStart w:id="460" w:name="_Toc208496727"/>
      <w:bookmarkStart w:id="461" w:name="_Toc208669009"/>
      <w:bookmarkStart w:id="462" w:name="_Toc212804359"/>
      <w:r w:rsidRPr="00577593">
        <w:rPr>
          <w:rFonts w:ascii="Times New Roman" w:eastAsia="Times New Roman" w:hAnsi="Times New Roman"/>
          <w:bCs/>
          <w:color w:val="auto"/>
          <w:sz w:val="28"/>
          <w:szCs w:val="28"/>
        </w:rPr>
        <w:t>9.3.2.2</w:t>
      </w:r>
      <w:r w:rsidR="004700CB">
        <w:rPr>
          <w:rFonts w:ascii="Times New Roman" w:eastAsia="Times New Roman" w:hAnsi="Times New Roman"/>
          <w:bCs/>
          <w:color w:val="auto"/>
          <w:sz w:val="28"/>
          <w:szCs w:val="28"/>
        </w:rPr>
        <w:t>.</w:t>
      </w:r>
      <w:r w:rsidRPr="00577593">
        <w:rPr>
          <w:rFonts w:ascii="Times New Roman" w:eastAsia="Times New Roman" w:hAnsi="Times New Roman"/>
          <w:bCs/>
          <w:color w:val="auto"/>
          <w:sz w:val="28"/>
          <w:szCs w:val="28"/>
        </w:rPr>
        <w:t xml:space="preserve"> Повышение ресурсоэффективности ЖКХ</w:t>
      </w:r>
      <w:bookmarkEnd w:id="460"/>
      <w:bookmarkEnd w:id="461"/>
      <w:bookmarkEnd w:id="462"/>
    </w:p>
    <w:p w:rsidR="00FC41F4" w:rsidRPr="00577593" w:rsidRDefault="008925FA" w:rsidP="00936001">
      <w:pPr>
        <w:pBdr>
          <w:top w:val="none" w:sz="4" w:space="0" w:color="000000"/>
          <w:left w:val="none" w:sz="4" w:space="1"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В течение срока действия Стратегии будут реализовываться мероприятия по повышению уровня ресурсо- и энергоэффективности коммунального хозяйства. Необходимо поддержание и дальнейшее развитие информационно-коммуникационных систем коммунального хозяйства, увеличение уровня цифровизации отрасли. Важно поддерживать сложившиеся условия для привлечения частных инвестиций в сферу жилищно-коммунального хозяйства. Будут проводиться мероприятия по </w:t>
      </w:r>
      <w:r w:rsidRPr="00577593">
        <w:rPr>
          <w:rFonts w:ascii="Times New Roman" w:eastAsia="Times New Roman" w:hAnsi="Times New Roman"/>
          <w:sz w:val="28"/>
          <w:szCs w:val="28"/>
        </w:rPr>
        <w:lastRenderedPageBreak/>
        <w:t>улучшению качества предоставления коммунальных услуг до нормативного состояния в пригородной зоне. </w:t>
      </w:r>
    </w:p>
    <w:p w:rsidR="00FC41F4" w:rsidRPr="00577593" w:rsidRDefault="008925FA" w:rsidP="00936001">
      <w:pPr>
        <w:pStyle w:val="3"/>
        <w:pBdr>
          <w:top w:val="none" w:sz="4" w:space="0" w:color="000000"/>
          <w:left w:val="none" w:sz="4" w:space="1" w:color="000000"/>
          <w:bottom w:val="none" w:sz="4" w:space="0" w:color="000000"/>
          <w:right w:val="none" w:sz="4" w:space="0" w:color="000000"/>
        </w:pBdr>
        <w:spacing w:before="0" w:line="240" w:lineRule="auto"/>
        <w:ind w:firstLine="709"/>
        <w:jc w:val="both"/>
        <w:rPr>
          <w:rFonts w:ascii="Times New Roman" w:hAnsi="Times New Roman"/>
          <w:bCs/>
          <w:color w:val="auto"/>
          <w:sz w:val="28"/>
          <w:szCs w:val="28"/>
        </w:rPr>
      </w:pPr>
      <w:bookmarkStart w:id="463" w:name="_Toc208496728"/>
      <w:bookmarkStart w:id="464" w:name="_Toc208669010"/>
      <w:bookmarkStart w:id="465" w:name="_Toc212804360"/>
      <w:r w:rsidRPr="00577593">
        <w:rPr>
          <w:rFonts w:ascii="Times New Roman" w:eastAsia="Times New Roman" w:hAnsi="Times New Roman"/>
          <w:bCs/>
          <w:color w:val="auto"/>
          <w:sz w:val="28"/>
          <w:szCs w:val="28"/>
        </w:rPr>
        <w:t>9.3.2.3</w:t>
      </w:r>
      <w:r w:rsidR="004700CB">
        <w:rPr>
          <w:rFonts w:ascii="Times New Roman" w:eastAsia="Times New Roman" w:hAnsi="Times New Roman"/>
          <w:bCs/>
          <w:color w:val="auto"/>
          <w:sz w:val="28"/>
          <w:szCs w:val="28"/>
        </w:rPr>
        <w:t>.</w:t>
      </w:r>
      <w:r w:rsidRPr="00577593">
        <w:rPr>
          <w:rFonts w:ascii="Times New Roman" w:eastAsia="Times New Roman" w:hAnsi="Times New Roman"/>
          <w:bCs/>
          <w:color w:val="auto"/>
          <w:sz w:val="28"/>
          <w:szCs w:val="28"/>
        </w:rPr>
        <w:t xml:space="preserve"> Проектирование коридоров для инженерной инфраструктуры</w:t>
      </w:r>
      <w:bookmarkEnd w:id="463"/>
      <w:bookmarkEnd w:id="464"/>
      <w:bookmarkEnd w:id="465"/>
    </w:p>
    <w:p w:rsidR="00FC41F4" w:rsidRPr="00577593" w:rsidRDefault="008925FA" w:rsidP="00936001">
      <w:pPr>
        <w:pBdr>
          <w:top w:val="none" w:sz="4" w:space="0" w:color="000000"/>
          <w:left w:val="none" w:sz="4" w:space="1"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Проектирование новой застройки должно предусматривать наличие коридоров для инженерной инфраструктуры, находящейся за границами застраиваемых территорий. Для этого необходимо поддерживать в актуальном состоянии комплексную схему инженерного обеспечения территории, которая учитывает потребности территории в новой инфраструктуре и упорядочивает развитие территорий.</w:t>
      </w:r>
    </w:p>
    <w:p w:rsidR="00FC41F4" w:rsidRPr="00577593" w:rsidRDefault="008925FA" w:rsidP="00936001">
      <w:pPr>
        <w:pStyle w:val="3"/>
        <w:pBdr>
          <w:top w:val="none" w:sz="4" w:space="0" w:color="000000"/>
          <w:left w:val="none" w:sz="4" w:space="1" w:color="000000"/>
          <w:bottom w:val="none" w:sz="4" w:space="0" w:color="000000"/>
          <w:right w:val="none" w:sz="4" w:space="0" w:color="000000"/>
        </w:pBdr>
        <w:spacing w:before="0" w:line="240" w:lineRule="auto"/>
        <w:ind w:firstLine="709"/>
        <w:jc w:val="both"/>
        <w:rPr>
          <w:rFonts w:ascii="Times New Roman" w:hAnsi="Times New Roman"/>
          <w:bCs/>
          <w:color w:val="auto"/>
          <w:sz w:val="28"/>
          <w:szCs w:val="28"/>
        </w:rPr>
      </w:pPr>
      <w:bookmarkStart w:id="466" w:name="_Toc208496729"/>
      <w:bookmarkStart w:id="467" w:name="_Toc208669011"/>
      <w:bookmarkStart w:id="468" w:name="_Toc212804361"/>
      <w:r w:rsidRPr="00577593">
        <w:rPr>
          <w:rFonts w:ascii="Times New Roman" w:eastAsia="Times New Roman" w:hAnsi="Times New Roman"/>
          <w:bCs/>
          <w:color w:val="auto"/>
          <w:sz w:val="28"/>
          <w:szCs w:val="28"/>
        </w:rPr>
        <w:t>9.3.2.4</w:t>
      </w:r>
      <w:r w:rsidR="004700CB">
        <w:rPr>
          <w:rFonts w:ascii="Times New Roman" w:eastAsia="Times New Roman" w:hAnsi="Times New Roman"/>
          <w:bCs/>
          <w:color w:val="auto"/>
          <w:sz w:val="28"/>
          <w:szCs w:val="28"/>
        </w:rPr>
        <w:t>.</w:t>
      </w:r>
      <w:r w:rsidRPr="00577593">
        <w:rPr>
          <w:rFonts w:ascii="Times New Roman" w:eastAsia="Times New Roman" w:hAnsi="Times New Roman"/>
          <w:bCs/>
          <w:color w:val="auto"/>
          <w:sz w:val="28"/>
          <w:szCs w:val="28"/>
        </w:rPr>
        <w:t xml:space="preserve"> Проведение газификации</w:t>
      </w:r>
      <w:bookmarkEnd w:id="466"/>
      <w:bookmarkEnd w:id="467"/>
      <w:bookmarkEnd w:id="468"/>
    </w:p>
    <w:p w:rsidR="00FC41F4" w:rsidRPr="00577593" w:rsidRDefault="008925FA" w:rsidP="00936001">
      <w:pPr>
        <w:pBdr>
          <w:top w:val="none" w:sz="4" w:space="0" w:color="000000"/>
          <w:left w:val="none" w:sz="4" w:space="1"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Печное отопление является одним из факторов повышенного уровня загрязнения окружающей среды. Газификация жилищного сектора позволяет снизить выбросы, повысить качество жизни и уровень благоустройства жилья. В период действия Стратегии в</w:t>
      </w:r>
      <w:r w:rsidR="00584F00">
        <w:rPr>
          <w:rFonts w:ascii="Times New Roman" w:eastAsia="Times New Roman" w:hAnsi="Times New Roman"/>
          <w:sz w:val="28"/>
          <w:szCs w:val="28"/>
        </w:rPr>
        <w:t xml:space="preserve"> городе </w:t>
      </w:r>
      <w:r w:rsidRPr="00577593">
        <w:rPr>
          <w:rFonts w:ascii="Times New Roman" w:eastAsia="Times New Roman" w:hAnsi="Times New Roman"/>
          <w:sz w:val="28"/>
          <w:szCs w:val="28"/>
        </w:rPr>
        <w:t>Барнауле будет проходить догазификация жилого фонда,</w:t>
      </w:r>
      <w:r w:rsidR="00936001">
        <w:rPr>
          <w:rFonts w:ascii="Times New Roman" w:eastAsia="Times New Roman" w:hAnsi="Times New Roman"/>
          <w:sz w:val="28"/>
          <w:szCs w:val="28"/>
        </w:rPr>
        <w:t xml:space="preserve"> в том числе в рамках программы </w:t>
      </w:r>
      <w:r w:rsidRPr="00577593">
        <w:rPr>
          <w:rFonts w:ascii="Times New Roman" w:eastAsia="Times New Roman" w:hAnsi="Times New Roman"/>
          <w:sz w:val="28"/>
          <w:szCs w:val="28"/>
        </w:rPr>
        <w:t xml:space="preserve">ПАО «Газпром». </w:t>
      </w:r>
    </w:p>
    <w:p w:rsidR="00FC41F4" w:rsidRPr="00577593" w:rsidRDefault="008925FA" w:rsidP="00936001">
      <w:pPr>
        <w:pStyle w:val="3"/>
        <w:pBdr>
          <w:top w:val="none" w:sz="4" w:space="0" w:color="000000"/>
          <w:left w:val="none" w:sz="4" w:space="1" w:color="000000"/>
          <w:bottom w:val="none" w:sz="4" w:space="0" w:color="000000"/>
          <w:right w:val="none" w:sz="4" w:space="0" w:color="000000"/>
        </w:pBdr>
        <w:spacing w:before="0" w:line="240" w:lineRule="auto"/>
        <w:ind w:firstLine="709"/>
        <w:jc w:val="both"/>
        <w:rPr>
          <w:rFonts w:ascii="Times New Roman" w:hAnsi="Times New Roman"/>
          <w:bCs/>
          <w:color w:val="auto"/>
          <w:sz w:val="28"/>
          <w:szCs w:val="28"/>
        </w:rPr>
      </w:pPr>
      <w:bookmarkStart w:id="469" w:name="_Toc208496730"/>
      <w:bookmarkStart w:id="470" w:name="_Toc208669012"/>
      <w:bookmarkStart w:id="471" w:name="_Toc212804362"/>
      <w:r w:rsidRPr="00577593">
        <w:rPr>
          <w:rFonts w:ascii="Times New Roman" w:eastAsia="Times New Roman" w:hAnsi="Times New Roman"/>
          <w:bCs/>
          <w:color w:val="auto"/>
          <w:sz w:val="28"/>
          <w:szCs w:val="28"/>
        </w:rPr>
        <w:t>9.3.2.5</w:t>
      </w:r>
      <w:r w:rsidR="004700CB">
        <w:rPr>
          <w:rFonts w:ascii="Times New Roman" w:eastAsia="Times New Roman" w:hAnsi="Times New Roman"/>
          <w:bCs/>
          <w:color w:val="auto"/>
          <w:sz w:val="28"/>
          <w:szCs w:val="28"/>
        </w:rPr>
        <w:t>.</w:t>
      </w:r>
      <w:r w:rsidRPr="00577593">
        <w:rPr>
          <w:rFonts w:ascii="Times New Roman" w:eastAsia="Times New Roman" w:hAnsi="Times New Roman"/>
          <w:bCs/>
          <w:color w:val="auto"/>
          <w:sz w:val="28"/>
          <w:szCs w:val="28"/>
        </w:rPr>
        <w:t xml:space="preserve"> Поддержание электросетевого хозяйства </w:t>
      </w:r>
      <w:r w:rsidR="009C7BF9">
        <w:rPr>
          <w:rFonts w:ascii="Times New Roman" w:eastAsia="Times New Roman" w:hAnsi="Times New Roman"/>
          <w:bCs/>
          <w:color w:val="auto"/>
          <w:sz w:val="28"/>
          <w:szCs w:val="28"/>
        </w:rPr>
        <w:t xml:space="preserve">города </w:t>
      </w:r>
      <w:r w:rsidRPr="00577593">
        <w:rPr>
          <w:rFonts w:ascii="Times New Roman" w:eastAsia="Times New Roman" w:hAnsi="Times New Roman"/>
          <w:bCs/>
          <w:color w:val="auto"/>
          <w:sz w:val="28"/>
          <w:szCs w:val="28"/>
        </w:rPr>
        <w:t>Барнаула</w:t>
      </w:r>
      <w:bookmarkEnd w:id="469"/>
      <w:bookmarkEnd w:id="470"/>
      <w:bookmarkEnd w:id="471"/>
    </w:p>
    <w:p w:rsidR="00DD41FA" w:rsidRPr="00577593" w:rsidRDefault="008925FA" w:rsidP="00936001">
      <w:pPr>
        <w:pBdr>
          <w:top w:val="none" w:sz="4" w:space="0" w:color="000000"/>
          <w:left w:val="none" w:sz="4" w:space="1"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В </w:t>
      </w:r>
      <w:r w:rsidR="009C7BF9">
        <w:rPr>
          <w:rFonts w:ascii="Times New Roman" w:eastAsia="Times New Roman" w:hAnsi="Times New Roman"/>
          <w:sz w:val="28"/>
          <w:szCs w:val="28"/>
        </w:rPr>
        <w:t>городе</w:t>
      </w:r>
      <w:r w:rsidRPr="00577593">
        <w:rPr>
          <w:rFonts w:ascii="Times New Roman" w:eastAsia="Times New Roman" w:hAnsi="Times New Roman"/>
          <w:sz w:val="28"/>
          <w:szCs w:val="28"/>
        </w:rPr>
        <w:t xml:space="preserve"> </w:t>
      </w:r>
      <w:r w:rsidR="00DD41FA" w:rsidRPr="00577593">
        <w:rPr>
          <w:rFonts w:ascii="Times New Roman" w:eastAsia="Times New Roman" w:hAnsi="Times New Roman"/>
          <w:sz w:val="28"/>
          <w:szCs w:val="28"/>
        </w:rPr>
        <w:t>в рамках развития электросетевого хозяйства будет продолжена работа по его поддержанию в рабочем состоянии</w:t>
      </w:r>
      <w:r w:rsidR="00A75BBB" w:rsidRPr="00577593">
        <w:rPr>
          <w:rFonts w:ascii="Times New Roman" w:eastAsia="Times New Roman" w:hAnsi="Times New Roman"/>
          <w:sz w:val="28"/>
          <w:szCs w:val="28"/>
        </w:rPr>
        <w:t>,</w:t>
      </w:r>
      <w:r w:rsidR="00DD41FA" w:rsidRPr="00577593">
        <w:rPr>
          <w:rFonts w:ascii="Times New Roman" w:eastAsia="Times New Roman" w:hAnsi="Times New Roman"/>
          <w:sz w:val="28"/>
          <w:szCs w:val="28"/>
        </w:rPr>
        <w:t xml:space="preserve"> </w:t>
      </w:r>
      <w:r w:rsidR="00A75BBB" w:rsidRPr="00577593">
        <w:rPr>
          <w:rFonts w:ascii="Times New Roman" w:eastAsia="Times New Roman" w:hAnsi="Times New Roman"/>
          <w:sz w:val="28"/>
          <w:szCs w:val="28"/>
        </w:rPr>
        <w:t>плановому ремонту</w:t>
      </w:r>
      <w:r w:rsidR="00DD41FA" w:rsidRPr="00577593">
        <w:rPr>
          <w:rFonts w:ascii="Times New Roman" w:eastAsia="Times New Roman" w:hAnsi="Times New Roman"/>
          <w:sz w:val="28"/>
          <w:szCs w:val="28"/>
        </w:rPr>
        <w:t xml:space="preserve">. </w:t>
      </w:r>
    </w:p>
    <w:p w:rsidR="00FC41F4" w:rsidRPr="00577593" w:rsidRDefault="008925FA" w:rsidP="00936001">
      <w:pPr>
        <w:pStyle w:val="3"/>
        <w:pBdr>
          <w:top w:val="none" w:sz="4" w:space="0" w:color="000000"/>
          <w:left w:val="none" w:sz="4" w:space="1" w:color="000000"/>
          <w:bottom w:val="none" w:sz="4" w:space="0" w:color="000000"/>
          <w:right w:val="none" w:sz="4" w:space="0" w:color="000000"/>
        </w:pBdr>
        <w:spacing w:before="0" w:line="240" w:lineRule="auto"/>
        <w:ind w:firstLine="709"/>
        <w:jc w:val="both"/>
        <w:rPr>
          <w:rFonts w:ascii="Times New Roman" w:hAnsi="Times New Roman"/>
          <w:bCs/>
          <w:color w:val="auto"/>
          <w:sz w:val="28"/>
          <w:szCs w:val="28"/>
        </w:rPr>
      </w:pPr>
      <w:bookmarkStart w:id="472" w:name="_Toc208496731"/>
      <w:bookmarkStart w:id="473" w:name="_Toc208669013"/>
      <w:bookmarkStart w:id="474" w:name="_Toc212804363"/>
      <w:r w:rsidRPr="00577593">
        <w:rPr>
          <w:rFonts w:ascii="Times New Roman" w:eastAsia="Times New Roman" w:hAnsi="Times New Roman"/>
          <w:bCs/>
          <w:color w:val="auto"/>
          <w:sz w:val="28"/>
          <w:szCs w:val="28"/>
        </w:rPr>
        <w:t>9.3.2.6</w:t>
      </w:r>
      <w:r w:rsidR="004700CB">
        <w:rPr>
          <w:rFonts w:ascii="Times New Roman" w:eastAsia="Times New Roman" w:hAnsi="Times New Roman"/>
          <w:bCs/>
          <w:color w:val="auto"/>
          <w:sz w:val="28"/>
          <w:szCs w:val="28"/>
        </w:rPr>
        <w:t>.</w:t>
      </w:r>
      <w:r w:rsidRPr="00577593">
        <w:rPr>
          <w:rFonts w:ascii="Times New Roman" w:eastAsia="Times New Roman" w:hAnsi="Times New Roman"/>
          <w:bCs/>
          <w:color w:val="auto"/>
          <w:sz w:val="28"/>
          <w:szCs w:val="28"/>
        </w:rPr>
        <w:t xml:space="preserve"> Развитие системы водоснабжени</w:t>
      </w:r>
      <w:r w:rsidR="00E767F7" w:rsidRPr="00577593">
        <w:rPr>
          <w:rFonts w:ascii="Times New Roman" w:eastAsia="Times New Roman" w:hAnsi="Times New Roman"/>
          <w:bCs/>
          <w:color w:val="auto"/>
          <w:sz w:val="28"/>
          <w:szCs w:val="28"/>
        </w:rPr>
        <w:t>я</w:t>
      </w:r>
      <w:r w:rsidRPr="00577593">
        <w:rPr>
          <w:rFonts w:ascii="Times New Roman" w:eastAsia="Times New Roman" w:hAnsi="Times New Roman"/>
          <w:bCs/>
          <w:color w:val="auto"/>
          <w:sz w:val="28"/>
          <w:szCs w:val="28"/>
        </w:rPr>
        <w:t xml:space="preserve"> и водоотведения</w:t>
      </w:r>
      <w:bookmarkEnd w:id="472"/>
      <w:bookmarkEnd w:id="473"/>
      <w:bookmarkEnd w:id="474"/>
    </w:p>
    <w:p w:rsidR="00FC41F4" w:rsidRPr="00577593" w:rsidRDefault="008925FA" w:rsidP="00936001">
      <w:pPr>
        <w:pBdr>
          <w:top w:val="none" w:sz="4" w:space="0" w:color="000000"/>
          <w:left w:val="none" w:sz="4" w:space="1"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В целях развития систем водоснабжения и водоотведения необходимо рассмотреть совместно с Правительством Алтайского края вопрос формирования тарифов и расширение практики прямого субсидирования со стороны региона инвестиционных проектов. В </w:t>
      </w:r>
      <w:r w:rsidR="009C7BF9">
        <w:rPr>
          <w:rFonts w:ascii="Times New Roman" w:eastAsia="Times New Roman" w:hAnsi="Times New Roman"/>
          <w:sz w:val="28"/>
          <w:szCs w:val="28"/>
        </w:rPr>
        <w:t xml:space="preserve">городе </w:t>
      </w:r>
      <w:r w:rsidRPr="00577593">
        <w:rPr>
          <w:rFonts w:ascii="Times New Roman" w:eastAsia="Times New Roman" w:hAnsi="Times New Roman"/>
          <w:sz w:val="28"/>
          <w:szCs w:val="28"/>
        </w:rPr>
        <w:t>Барнауле необходимо продолжать практику установки новых пожарных гидрантов на улицах города. Развитие системы водоснабжени</w:t>
      </w:r>
      <w:r w:rsidR="00E767F7" w:rsidRPr="00577593">
        <w:rPr>
          <w:rFonts w:ascii="Times New Roman" w:eastAsia="Times New Roman" w:hAnsi="Times New Roman"/>
          <w:sz w:val="28"/>
          <w:szCs w:val="28"/>
        </w:rPr>
        <w:t>я</w:t>
      </w:r>
      <w:r w:rsidRPr="00577593">
        <w:rPr>
          <w:rFonts w:ascii="Times New Roman" w:eastAsia="Times New Roman" w:hAnsi="Times New Roman"/>
          <w:sz w:val="28"/>
          <w:szCs w:val="28"/>
        </w:rPr>
        <w:t xml:space="preserve"> и водоотведения должно опираться на Комплексную схему развития инженерной инфраструктуры. </w:t>
      </w:r>
    </w:p>
    <w:p w:rsidR="00FC41F4" w:rsidRPr="00577593" w:rsidRDefault="008925FA" w:rsidP="00936001">
      <w:pPr>
        <w:pStyle w:val="3"/>
        <w:pBdr>
          <w:top w:val="none" w:sz="4" w:space="0" w:color="000000"/>
          <w:left w:val="none" w:sz="4" w:space="1" w:color="000000"/>
          <w:bottom w:val="none" w:sz="4" w:space="0" w:color="000000"/>
          <w:right w:val="none" w:sz="4" w:space="0" w:color="000000"/>
        </w:pBdr>
        <w:spacing w:before="0" w:line="240" w:lineRule="auto"/>
        <w:ind w:firstLine="709"/>
        <w:jc w:val="both"/>
        <w:rPr>
          <w:rFonts w:ascii="Times New Roman" w:hAnsi="Times New Roman"/>
          <w:bCs/>
          <w:color w:val="auto"/>
          <w:sz w:val="28"/>
          <w:szCs w:val="28"/>
        </w:rPr>
      </w:pPr>
      <w:bookmarkStart w:id="475" w:name="_Toc208496732"/>
      <w:bookmarkStart w:id="476" w:name="_Toc208669014"/>
      <w:bookmarkStart w:id="477" w:name="_Toc212804364"/>
      <w:r w:rsidRPr="00577593">
        <w:rPr>
          <w:rFonts w:ascii="Times New Roman" w:eastAsia="Times New Roman" w:hAnsi="Times New Roman"/>
          <w:bCs/>
          <w:color w:val="auto"/>
          <w:sz w:val="28"/>
          <w:szCs w:val="28"/>
        </w:rPr>
        <w:t>9.3.2.7</w:t>
      </w:r>
      <w:r w:rsidR="004700CB">
        <w:rPr>
          <w:rFonts w:ascii="Times New Roman" w:eastAsia="Times New Roman" w:hAnsi="Times New Roman"/>
          <w:bCs/>
          <w:color w:val="auto"/>
          <w:sz w:val="28"/>
          <w:szCs w:val="28"/>
        </w:rPr>
        <w:t>.</w:t>
      </w:r>
      <w:r w:rsidRPr="00577593">
        <w:rPr>
          <w:rFonts w:ascii="Times New Roman" w:eastAsia="Times New Roman" w:hAnsi="Times New Roman"/>
          <w:bCs/>
          <w:color w:val="auto"/>
          <w:sz w:val="28"/>
          <w:szCs w:val="28"/>
        </w:rPr>
        <w:t xml:space="preserve"> Развитие и модернизация ливневой канализации</w:t>
      </w:r>
      <w:bookmarkEnd w:id="475"/>
      <w:bookmarkEnd w:id="476"/>
      <w:bookmarkEnd w:id="477"/>
    </w:p>
    <w:p w:rsidR="00FC41F4" w:rsidRPr="00577593" w:rsidRDefault="009C7BF9" w:rsidP="00936001">
      <w:pPr>
        <w:pBdr>
          <w:top w:val="none" w:sz="4" w:space="0" w:color="000000"/>
          <w:left w:val="none" w:sz="4" w:space="1" w:color="000000"/>
          <w:bottom w:val="none" w:sz="4" w:space="0" w:color="000000"/>
          <w:right w:val="none" w:sz="4" w:space="0" w:color="000000"/>
        </w:pBdr>
        <w:spacing w:after="0" w:line="240" w:lineRule="auto"/>
        <w:ind w:firstLine="709"/>
        <w:jc w:val="both"/>
        <w:rPr>
          <w:rFonts w:ascii="Times New Roman" w:hAnsi="Times New Roman"/>
          <w:sz w:val="28"/>
          <w:szCs w:val="28"/>
        </w:rPr>
      </w:pPr>
      <w:r>
        <w:rPr>
          <w:rFonts w:ascii="Times New Roman" w:eastAsia="Times New Roman" w:hAnsi="Times New Roman"/>
          <w:sz w:val="28"/>
          <w:szCs w:val="28"/>
        </w:rPr>
        <w:t>Городу</w:t>
      </w:r>
      <w:r w:rsidR="008925FA" w:rsidRPr="00577593">
        <w:rPr>
          <w:rFonts w:ascii="Times New Roman" w:eastAsia="Times New Roman" w:hAnsi="Times New Roman"/>
          <w:sz w:val="28"/>
          <w:szCs w:val="28"/>
        </w:rPr>
        <w:t xml:space="preserve"> нужно развивать систему ливневой канализации, которая является частью транспортной инфраструктуры города. Эксплуатация и управление системой водоотведения поверхностных вод осуществляются городскими организациям</w:t>
      </w:r>
      <w:r w:rsidR="00584F00">
        <w:rPr>
          <w:rFonts w:ascii="Times New Roman" w:eastAsia="Times New Roman" w:hAnsi="Times New Roman"/>
          <w:sz w:val="28"/>
          <w:szCs w:val="28"/>
        </w:rPr>
        <w:t>и</w:t>
      </w:r>
      <w:r w:rsidR="008925FA" w:rsidRPr="00577593">
        <w:rPr>
          <w:rFonts w:ascii="Times New Roman" w:eastAsia="Times New Roman" w:hAnsi="Times New Roman"/>
          <w:sz w:val="28"/>
          <w:szCs w:val="28"/>
        </w:rPr>
        <w:t xml:space="preserve">, отвечающими за обслуживание улично-дорожной сети. Только часть дорог в городе оборудована ливневой канализацией. Требуется развитие и модернизация ливневой канализации, в том числе за счет привлечения частных инвестиций. </w:t>
      </w:r>
    </w:p>
    <w:p w:rsidR="00FC41F4" w:rsidRPr="00577593" w:rsidRDefault="008925FA" w:rsidP="00936001">
      <w:pPr>
        <w:pBdr>
          <w:top w:val="none" w:sz="4" w:space="0" w:color="000000"/>
          <w:left w:val="none" w:sz="4" w:space="1"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Сегодня ключевой вопрос для обеспечения нормальной работоспособности городской инфраструктуры по отводу поверхностных вод (ливневой канализации) – это формирование источника ее финансирования. Задача состоит в том, чтобы установить подход к определению тарифов на услуги по водоотведению поверхностных сточных вод. </w:t>
      </w:r>
    </w:p>
    <w:p w:rsidR="00FC41F4" w:rsidRPr="00577593" w:rsidRDefault="008925FA" w:rsidP="00C25F3D">
      <w:pPr>
        <w:pBdr>
          <w:top w:val="none" w:sz="4" w:space="0" w:color="000000"/>
          <w:left w:val="none" w:sz="4" w:space="1" w:color="000000"/>
          <w:bottom w:val="none" w:sz="4" w:space="0" w:color="000000"/>
          <w:right w:val="none" w:sz="4" w:space="0" w:color="000000"/>
        </w:pBdr>
        <w:spacing w:after="0" w:line="330" w:lineRule="exact"/>
        <w:ind w:firstLine="709"/>
        <w:jc w:val="both"/>
        <w:rPr>
          <w:rFonts w:ascii="Times New Roman" w:hAnsi="Times New Roman"/>
          <w:sz w:val="28"/>
          <w:szCs w:val="28"/>
        </w:rPr>
      </w:pPr>
      <w:r w:rsidRPr="00577593">
        <w:rPr>
          <w:rFonts w:ascii="Times New Roman" w:eastAsia="Times New Roman" w:hAnsi="Times New Roman"/>
          <w:sz w:val="28"/>
          <w:szCs w:val="28"/>
        </w:rPr>
        <w:t xml:space="preserve">Развитие ливневой канализации в </w:t>
      </w:r>
      <w:r w:rsidR="009C7BF9">
        <w:rPr>
          <w:rFonts w:ascii="Times New Roman" w:eastAsia="Times New Roman" w:hAnsi="Times New Roman"/>
          <w:sz w:val="28"/>
          <w:szCs w:val="28"/>
        </w:rPr>
        <w:t xml:space="preserve">городе </w:t>
      </w:r>
      <w:r w:rsidRPr="00577593">
        <w:rPr>
          <w:rFonts w:ascii="Times New Roman" w:eastAsia="Times New Roman" w:hAnsi="Times New Roman"/>
          <w:sz w:val="28"/>
          <w:szCs w:val="28"/>
        </w:rPr>
        <w:t xml:space="preserve">должно основываться </w:t>
      </w:r>
      <w:r w:rsidR="00A91267" w:rsidRPr="00577593">
        <w:rPr>
          <w:rFonts w:ascii="Times New Roman" w:eastAsia="Times New Roman" w:hAnsi="Times New Roman"/>
          <w:sz w:val="28"/>
          <w:szCs w:val="28"/>
        </w:rPr>
        <w:br/>
      </w:r>
      <w:r w:rsidRPr="00577593">
        <w:rPr>
          <w:rFonts w:ascii="Times New Roman" w:eastAsia="Times New Roman" w:hAnsi="Times New Roman"/>
          <w:sz w:val="28"/>
          <w:szCs w:val="28"/>
        </w:rPr>
        <w:t xml:space="preserve">на внедрении так называемой зеленой инфраструктуры, которая эффективна в снижении уровня загрязнения ливневых вод, и в снижении </w:t>
      </w:r>
      <w:r w:rsidRPr="00577593">
        <w:rPr>
          <w:rFonts w:ascii="Times New Roman" w:eastAsia="Times New Roman" w:hAnsi="Times New Roman"/>
          <w:sz w:val="28"/>
          <w:szCs w:val="28"/>
        </w:rPr>
        <w:lastRenderedPageBreak/>
        <w:t>нагрузки на существующие дренажные и канализационные сети, что приводит к уменьшению загрязнения окружающей среды.</w:t>
      </w:r>
    </w:p>
    <w:p w:rsidR="00FC41F4" w:rsidRPr="00577593" w:rsidRDefault="008925FA" w:rsidP="00C25F3D">
      <w:pPr>
        <w:pStyle w:val="3"/>
        <w:pBdr>
          <w:top w:val="none" w:sz="4" w:space="0" w:color="000000"/>
          <w:left w:val="none" w:sz="4" w:space="1" w:color="000000"/>
          <w:bottom w:val="none" w:sz="4" w:space="0" w:color="000000"/>
          <w:right w:val="none" w:sz="4" w:space="0" w:color="000000"/>
        </w:pBdr>
        <w:spacing w:before="0" w:line="330" w:lineRule="exact"/>
        <w:ind w:firstLine="709"/>
        <w:jc w:val="both"/>
        <w:rPr>
          <w:rFonts w:ascii="Times New Roman" w:hAnsi="Times New Roman"/>
          <w:bCs/>
          <w:color w:val="auto"/>
          <w:sz w:val="28"/>
          <w:szCs w:val="28"/>
        </w:rPr>
      </w:pPr>
      <w:bookmarkStart w:id="478" w:name="_Toc208496733"/>
      <w:bookmarkStart w:id="479" w:name="_Toc208669015"/>
      <w:bookmarkStart w:id="480" w:name="_Toc212804365"/>
      <w:r w:rsidRPr="00577593">
        <w:rPr>
          <w:rFonts w:ascii="Times New Roman" w:eastAsia="Times New Roman" w:hAnsi="Times New Roman"/>
          <w:bCs/>
          <w:color w:val="auto"/>
          <w:sz w:val="28"/>
          <w:szCs w:val="28"/>
        </w:rPr>
        <w:t>9.3.2.8</w:t>
      </w:r>
      <w:r w:rsidR="004700CB">
        <w:rPr>
          <w:rFonts w:ascii="Times New Roman" w:eastAsia="Times New Roman" w:hAnsi="Times New Roman"/>
          <w:bCs/>
          <w:color w:val="auto"/>
          <w:sz w:val="28"/>
          <w:szCs w:val="28"/>
        </w:rPr>
        <w:t>.</w:t>
      </w:r>
      <w:r w:rsidRPr="00577593">
        <w:rPr>
          <w:rFonts w:ascii="Times New Roman" w:eastAsia="Times New Roman" w:hAnsi="Times New Roman"/>
          <w:bCs/>
          <w:color w:val="auto"/>
          <w:sz w:val="28"/>
          <w:szCs w:val="28"/>
        </w:rPr>
        <w:t xml:space="preserve"> Капитальный ремонт жилищного фонда города Барнаула</w:t>
      </w:r>
      <w:bookmarkEnd w:id="478"/>
      <w:bookmarkEnd w:id="479"/>
      <w:bookmarkEnd w:id="480"/>
    </w:p>
    <w:p w:rsidR="00FC41F4" w:rsidRPr="00577593" w:rsidRDefault="008925FA" w:rsidP="00C25F3D">
      <w:pPr>
        <w:pBdr>
          <w:top w:val="none" w:sz="4" w:space="0" w:color="000000"/>
          <w:left w:val="none" w:sz="4" w:space="1" w:color="000000"/>
          <w:bottom w:val="none" w:sz="4" w:space="0" w:color="000000"/>
          <w:right w:val="none" w:sz="4" w:space="0" w:color="000000"/>
        </w:pBdr>
        <w:spacing w:after="0" w:line="330" w:lineRule="exact"/>
        <w:ind w:firstLine="709"/>
        <w:jc w:val="both"/>
        <w:rPr>
          <w:rFonts w:ascii="Times New Roman" w:hAnsi="Times New Roman"/>
          <w:sz w:val="28"/>
          <w:szCs w:val="28"/>
        </w:rPr>
      </w:pPr>
      <w:r w:rsidRPr="00577593">
        <w:rPr>
          <w:rFonts w:ascii="Times New Roman" w:eastAsia="Times New Roman" w:hAnsi="Times New Roman"/>
          <w:sz w:val="28"/>
          <w:szCs w:val="28"/>
        </w:rPr>
        <w:t xml:space="preserve">Своевременное проведение капитального ремонта снижает аварийность жилого фонда. В </w:t>
      </w:r>
      <w:r w:rsidR="009C7BF9">
        <w:rPr>
          <w:rFonts w:ascii="Times New Roman" w:eastAsia="Times New Roman" w:hAnsi="Times New Roman"/>
          <w:sz w:val="28"/>
          <w:szCs w:val="28"/>
        </w:rPr>
        <w:t>городе</w:t>
      </w:r>
      <w:r w:rsidRPr="00577593">
        <w:rPr>
          <w:rFonts w:ascii="Times New Roman" w:eastAsia="Times New Roman" w:hAnsi="Times New Roman"/>
          <w:sz w:val="28"/>
          <w:szCs w:val="28"/>
        </w:rPr>
        <w:t xml:space="preserve"> капитальный ремонт жилищного фонда осуществляется в рамках реализации краевой программы «Капитальный ремонт общего имущества в многоквартирных домах, расположенных на территории Алтайского края» на 2014-2043 годы. Органы местного самоуправления городского округа участвуют в реализации краевой программы в рамках своих полномочий. Жилой фонд города также нуждается в обеспечении новым лифтовым оборудованием. В городе необходимо проводить капитальный ремонт муниципального жилищного фонда.</w:t>
      </w:r>
      <w:r w:rsidRPr="00577593">
        <w:rPr>
          <w:rFonts w:ascii="Times New Roman" w:eastAsia="Calibri" w:hAnsi="Times New Roman"/>
          <w:sz w:val="28"/>
          <w:szCs w:val="28"/>
        </w:rPr>
        <w:t xml:space="preserve"> </w:t>
      </w:r>
      <w:r w:rsidRPr="00577593">
        <w:rPr>
          <w:rFonts w:ascii="Times New Roman" w:eastAsia="Times New Roman" w:hAnsi="Times New Roman"/>
          <w:sz w:val="28"/>
          <w:szCs w:val="28"/>
        </w:rPr>
        <w:t>Органам местного самоуправления следует поддерживать инициативы населения в сфере обеспечения сохранности многоквартирного жилищного фонда и благоустройства территории жилой застройки.</w:t>
      </w:r>
    </w:p>
    <w:p w:rsidR="00FC41F4" w:rsidRPr="00577593" w:rsidRDefault="008925FA" w:rsidP="00C25F3D">
      <w:pPr>
        <w:pStyle w:val="3"/>
        <w:pBdr>
          <w:top w:val="none" w:sz="4" w:space="0" w:color="000000"/>
          <w:left w:val="none" w:sz="4" w:space="1" w:color="000000"/>
          <w:bottom w:val="none" w:sz="4" w:space="0" w:color="000000"/>
          <w:right w:val="none" w:sz="4" w:space="0" w:color="000000"/>
        </w:pBdr>
        <w:spacing w:before="0" w:line="330" w:lineRule="exact"/>
        <w:ind w:firstLine="709"/>
        <w:jc w:val="both"/>
        <w:rPr>
          <w:rFonts w:ascii="Times New Roman" w:hAnsi="Times New Roman"/>
          <w:bCs/>
          <w:color w:val="auto"/>
          <w:sz w:val="28"/>
          <w:szCs w:val="28"/>
        </w:rPr>
      </w:pPr>
      <w:bookmarkStart w:id="481" w:name="_Toc208496734"/>
      <w:bookmarkStart w:id="482" w:name="_Toc208669016"/>
      <w:bookmarkStart w:id="483" w:name="_Toc212804366"/>
      <w:r w:rsidRPr="00577593">
        <w:rPr>
          <w:rFonts w:ascii="Times New Roman" w:eastAsia="Times New Roman" w:hAnsi="Times New Roman"/>
          <w:bCs/>
          <w:color w:val="auto"/>
          <w:sz w:val="28"/>
          <w:szCs w:val="28"/>
        </w:rPr>
        <w:t>9.3.2.9</w:t>
      </w:r>
      <w:r w:rsidR="004700CB">
        <w:rPr>
          <w:rFonts w:ascii="Times New Roman" w:eastAsia="Times New Roman" w:hAnsi="Times New Roman"/>
          <w:bCs/>
          <w:color w:val="auto"/>
          <w:sz w:val="28"/>
          <w:szCs w:val="28"/>
        </w:rPr>
        <w:t>.</w:t>
      </w:r>
      <w:r w:rsidRPr="00577593">
        <w:rPr>
          <w:rFonts w:ascii="Times New Roman" w:eastAsia="Times New Roman" w:hAnsi="Times New Roman"/>
          <w:bCs/>
          <w:color w:val="auto"/>
          <w:sz w:val="28"/>
          <w:szCs w:val="28"/>
        </w:rPr>
        <w:t xml:space="preserve"> Обеспечение населения города Барнаула комфортным жильем</w:t>
      </w:r>
      <w:bookmarkEnd w:id="481"/>
      <w:bookmarkEnd w:id="482"/>
      <w:bookmarkEnd w:id="483"/>
    </w:p>
    <w:p w:rsidR="00FC41F4" w:rsidRPr="00577593" w:rsidRDefault="008925FA" w:rsidP="00C25F3D">
      <w:pPr>
        <w:pBdr>
          <w:top w:val="none" w:sz="4" w:space="0" w:color="000000"/>
          <w:left w:val="none" w:sz="4" w:space="1" w:color="000000"/>
          <w:bottom w:val="none" w:sz="4" w:space="0" w:color="000000"/>
          <w:right w:val="none" w:sz="4" w:space="0" w:color="000000"/>
        </w:pBdr>
        <w:spacing w:after="0" w:line="330" w:lineRule="exact"/>
        <w:ind w:firstLine="709"/>
        <w:jc w:val="both"/>
        <w:rPr>
          <w:rFonts w:ascii="Times New Roman" w:hAnsi="Times New Roman"/>
          <w:sz w:val="28"/>
          <w:szCs w:val="28"/>
        </w:rPr>
      </w:pPr>
      <w:r w:rsidRPr="00577593">
        <w:rPr>
          <w:rFonts w:ascii="Times New Roman" w:eastAsia="Times New Roman" w:hAnsi="Times New Roman"/>
          <w:sz w:val="28"/>
          <w:szCs w:val="28"/>
        </w:rPr>
        <w:t xml:space="preserve">Город Барнаул проводит социальную политику через предоставление мер социальной поддержки отдельным категориям граждан в целях улучшения их жилищных условий. В рамках реализации социальных обязательств перед горожанами в городе осуществляется обеспечение жилыми помещениями малоимущих граждан, в том числе через приобретение жилых помещений для дальнейшего их предоставления нуждающимся. В </w:t>
      </w:r>
      <w:r w:rsidR="009C7BF9">
        <w:rPr>
          <w:rFonts w:ascii="Times New Roman" w:eastAsia="Times New Roman" w:hAnsi="Times New Roman"/>
          <w:sz w:val="28"/>
          <w:szCs w:val="28"/>
        </w:rPr>
        <w:t xml:space="preserve">городе </w:t>
      </w:r>
      <w:r w:rsidRPr="00577593">
        <w:rPr>
          <w:rFonts w:ascii="Times New Roman" w:eastAsia="Times New Roman" w:hAnsi="Times New Roman"/>
          <w:sz w:val="28"/>
          <w:szCs w:val="28"/>
        </w:rPr>
        <w:t xml:space="preserve">Барнауле переселяют граждан, проживающих в аварийном жилищном фонде, или жилых помещениях, признанных непригодными для проживания. </w:t>
      </w:r>
      <w:r w:rsidR="00D90B19">
        <w:rPr>
          <w:rFonts w:ascii="Times New Roman" w:eastAsia="Times New Roman" w:hAnsi="Times New Roman"/>
          <w:sz w:val="28"/>
          <w:szCs w:val="28"/>
        </w:rPr>
        <w:t xml:space="preserve">Также жителям города Барнаула доступна государственная </w:t>
      </w:r>
      <w:r w:rsidRPr="00577593">
        <w:rPr>
          <w:rFonts w:ascii="Times New Roman" w:eastAsia="Times New Roman" w:hAnsi="Times New Roman"/>
          <w:sz w:val="28"/>
          <w:szCs w:val="28"/>
        </w:rPr>
        <w:t>адресн</w:t>
      </w:r>
      <w:r w:rsidR="00AB6CD2">
        <w:rPr>
          <w:rFonts w:ascii="Times New Roman" w:eastAsia="Times New Roman" w:hAnsi="Times New Roman"/>
          <w:sz w:val="28"/>
          <w:szCs w:val="28"/>
        </w:rPr>
        <w:t>ая</w:t>
      </w:r>
      <w:r w:rsidRPr="00577593">
        <w:rPr>
          <w:rFonts w:ascii="Times New Roman" w:eastAsia="Times New Roman" w:hAnsi="Times New Roman"/>
          <w:sz w:val="28"/>
          <w:szCs w:val="28"/>
        </w:rPr>
        <w:t xml:space="preserve"> финансов</w:t>
      </w:r>
      <w:r w:rsidR="00AB6CD2">
        <w:rPr>
          <w:rFonts w:ascii="Times New Roman" w:eastAsia="Times New Roman" w:hAnsi="Times New Roman"/>
          <w:sz w:val="28"/>
          <w:szCs w:val="28"/>
        </w:rPr>
        <w:t>ая</w:t>
      </w:r>
      <w:r w:rsidRPr="00577593">
        <w:rPr>
          <w:rFonts w:ascii="Times New Roman" w:eastAsia="Times New Roman" w:hAnsi="Times New Roman"/>
          <w:sz w:val="28"/>
          <w:szCs w:val="28"/>
        </w:rPr>
        <w:t xml:space="preserve"> поддержк</w:t>
      </w:r>
      <w:r w:rsidR="00AB6CD2">
        <w:rPr>
          <w:rFonts w:ascii="Times New Roman" w:eastAsia="Times New Roman" w:hAnsi="Times New Roman"/>
          <w:sz w:val="28"/>
          <w:szCs w:val="28"/>
        </w:rPr>
        <w:t>а</w:t>
      </w:r>
      <w:r w:rsidRPr="00577593">
        <w:rPr>
          <w:rFonts w:ascii="Times New Roman" w:eastAsia="Times New Roman" w:hAnsi="Times New Roman"/>
          <w:sz w:val="28"/>
          <w:szCs w:val="28"/>
        </w:rPr>
        <w:t xml:space="preserve"> на приобретение жилого помещения участникам Великой Отечественной войны, ветеранам боевых действий, инвалидам и семьям, имеющим детей-инвалидов, нуждающимся в улучшении жилищных условий.</w:t>
      </w:r>
    </w:p>
    <w:p w:rsidR="00FC41F4" w:rsidRPr="00577593" w:rsidRDefault="008925FA" w:rsidP="00C25F3D">
      <w:pPr>
        <w:pStyle w:val="3"/>
        <w:pBdr>
          <w:top w:val="none" w:sz="4" w:space="0" w:color="000000"/>
          <w:left w:val="none" w:sz="4" w:space="1" w:color="000000"/>
          <w:bottom w:val="none" w:sz="4" w:space="0" w:color="000000"/>
          <w:right w:val="none" w:sz="4" w:space="0" w:color="000000"/>
        </w:pBdr>
        <w:spacing w:before="0" w:line="330" w:lineRule="exact"/>
        <w:ind w:firstLine="709"/>
        <w:jc w:val="both"/>
        <w:rPr>
          <w:rFonts w:ascii="Times New Roman" w:hAnsi="Times New Roman"/>
          <w:bCs/>
          <w:color w:val="auto"/>
          <w:sz w:val="28"/>
          <w:szCs w:val="28"/>
        </w:rPr>
      </w:pPr>
      <w:bookmarkStart w:id="484" w:name="_Toc208496735"/>
      <w:bookmarkStart w:id="485" w:name="_Toc208669017"/>
      <w:bookmarkStart w:id="486" w:name="_Toc212804367"/>
      <w:r w:rsidRPr="00577593">
        <w:rPr>
          <w:rFonts w:ascii="Times New Roman" w:eastAsia="Times New Roman" w:hAnsi="Times New Roman"/>
          <w:bCs/>
          <w:color w:val="auto"/>
          <w:sz w:val="28"/>
          <w:szCs w:val="28"/>
        </w:rPr>
        <w:t>9.3.2.10</w:t>
      </w:r>
      <w:r w:rsidR="004700CB">
        <w:rPr>
          <w:rFonts w:ascii="Times New Roman" w:eastAsia="Times New Roman" w:hAnsi="Times New Roman"/>
          <w:bCs/>
          <w:color w:val="auto"/>
          <w:sz w:val="28"/>
          <w:szCs w:val="28"/>
        </w:rPr>
        <w:t>.</w:t>
      </w:r>
      <w:r w:rsidRPr="00577593">
        <w:rPr>
          <w:rFonts w:ascii="Times New Roman" w:eastAsia="Times New Roman" w:hAnsi="Times New Roman"/>
          <w:bCs/>
          <w:color w:val="auto"/>
          <w:sz w:val="28"/>
          <w:szCs w:val="28"/>
        </w:rPr>
        <w:t xml:space="preserve"> Обеспечение жителей пригородной зоны качественными жилищно-коммунальными услугами</w:t>
      </w:r>
      <w:bookmarkEnd w:id="484"/>
      <w:bookmarkEnd w:id="485"/>
      <w:bookmarkEnd w:id="486"/>
    </w:p>
    <w:p w:rsidR="00FC41F4" w:rsidRPr="00577593" w:rsidRDefault="008925FA" w:rsidP="00C25F3D">
      <w:pPr>
        <w:pBdr>
          <w:top w:val="none" w:sz="4" w:space="0" w:color="000000"/>
          <w:left w:val="none" w:sz="4" w:space="1" w:color="000000"/>
          <w:bottom w:val="none" w:sz="4" w:space="0" w:color="000000"/>
          <w:right w:val="none" w:sz="4" w:space="0" w:color="000000"/>
        </w:pBdr>
        <w:spacing w:after="0" w:line="330" w:lineRule="exact"/>
        <w:ind w:firstLine="709"/>
        <w:jc w:val="both"/>
        <w:rPr>
          <w:rFonts w:ascii="Times New Roman" w:hAnsi="Times New Roman"/>
          <w:sz w:val="28"/>
          <w:szCs w:val="28"/>
        </w:rPr>
      </w:pPr>
      <w:r w:rsidRPr="00577593">
        <w:rPr>
          <w:rFonts w:ascii="Times New Roman" w:eastAsia="Times New Roman" w:hAnsi="Times New Roman"/>
          <w:sz w:val="28"/>
          <w:szCs w:val="28"/>
        </w:rPr>
        <w:t xml:space="preserve">Жители пригородной зоны </w:t>
      </w:r>
      <w:r w:rsidR="009C7BF9">
        <w:rPr>
          <w:rFonts w:ascii="Times New Roman" w:eastAsia="Times New Roman" w:hAnsi="Times New Roman"/>
          <w:sz w:val="28"/>
          <w:szCs w:val="28"/>
        </w:rPr>
        <w:t xml:space="preserve">города </w:t>
      </w:r>
      <w:r w:rsidRPr="00577593">
        <w:rPr>
          <w:rFonts w:ascii="Times New Roman" w:eastAsia="Times New Roman" w:hAnsi="Times New Roman"/>
          <w:sz w:val="28"/>
          <w:szCs w:val="28"/>
        </w:rPr>
        <w:t xml:space="preserve">Барнаула в основном проживают в малоэтажной застройке, которая имеет автономную систему водопровода и не подключена к централизованному общегородскому водопроводу. Необходимо увеличение доли населения пригородной зоны городского округа – города Барнаула Алтайского края, обеспеченного качественной питьевой водой из систем централизованного водоснабжения. Следует снижать долю источников водоснабжения пригородной зоны города Барнаула, на которых получены пробы питьевой воды, не соответствующие установленным требованиям по содержанию железа и марганца. </w:t>
      </w:r>
    </w:p>
    <w:p w:rsidR="00FC41F4" w:rsidRPr="00577593" w:rsidRDefault="008925FA" w:rsidP="008C1F11">
      <w:pPr>
        <w:pStyle w:val="3"/>
        <w:pBdr>
          <w:top w:val="none" w:sz="4" w:space="0" w:color="000000"/>
          <w:left w:val="none" w:sz="4" w:space="0" w:color="000000"/>
          <w:bottom w:val="none" w:sz="4" w:space="0" w:color="000000"/>
          <w:right w:val="none" w:sz="4" w:space="0" w:color="000000"/>
        </w:pBdr>
        <w:spacing w:before="0" w:line="330" w:lineRule="exact"/>
        <w:ind w:firstLine="709"/>
        <w:jc w:val="both"/>
        <w:rPr>
          <w:rFonts w:ascii="Times New Roman" w:hAnsi="Times New Roman"/>
          <w:bCs/>
          <w:color w:val="auto"/>
          <w:sz w:val="28"/>
          <w:szCs w:val="28"/>
        </w:rPr>
      </w:pPr>
      <w:bookmarkStart w:id="487" w:name="_Toc208496736"/>
      <w:bookmarkStart w:id="488" w:name="_Toc208669018"/>
      <w:bookmarkStart w:id="489" w:name="_Toc212804368"/>
      <w:r w:rsidRPr="00577593">
        <w:rPr>
          <w:rFonts w:ascii="Times New Roman" w:eastAsia="Times New Roman" w:hAnsi="Times New Roman"/>
          <w:bCs/>
          <w:color w:val="auto"/>
          <w:sz w:val="28"/>
          <w:szCs w:val="28"/>
        </w:rPr>
        <w:lastRenderedPageBreak/>
        <w:t>9.3.2.11</w:t>
      </w:r>
      <w:r w:rsidR="004700CB">
        <w:rPr>
          <w:rFonts w:ascii="Times New Roman" w:eastAsia="Times New Roman" w:hAnsi="Times New Roman"/>
          <w:bCs/>
          <w:color w:val="auto"/>
          <w:sz w:val="28"/>
          <w:szCs w:val="28"/>
        </w:rPr>
        <w:t>.</w:t>
      </w:r>
      <w:r w:rsidRPr="00577593">
        <w:rPr>
          <w:rFonts w:ascii="Times New Roman" w:eastAsia="Times New Roman" w:hAnsi="Times New Roman"/>
          <w:bCs/>
          <w:color w:val="auto"/>
          <w:sz w:val="28"/>
          <w:szCs w:val="28"/>
        </w:rPr>
        <w:t xml:space="preserve"> Оборудование территории жилой застройки контейнерными площадк</w:t>
      </w:r>
      <w:r w:rsidR="00E767F7" w:rsidRPr="00577593">
        <w:rPr>
          <w:rFonts w:ascii="Times New Roman" w:eastAsia="Times New Roman" w:hAnsi="Times New Roman"/>
          <w:bCs/>
          <w:color w:val="auto"/>
          <w:sz w:val="28"/>
          <w:szCs w:val="28"/>
        </w:rPr>
        <w:t>ами</w:t>
      </w:r>
      <w:r w:rsidRPr="00577593">
        <w:rPr>
          <w:rFonts w:ascii="Times New Roman" w:eastAsia="Times New Roman" w:hAnsi="Times New Roman"/>
          <w:bCs/>
          <w:color w:val="auto"/>
          <w:sz w:val="28"/>
          <w:szCs w:val="28"/>
        </w:rPr>
        <w:t xml:space="preserve"> для сбора твердых коммунальных отходов</w:t>
      </w:r>
      <w:bookmarkEnd w:id="487"/>
      <w:bookmarkEnd w:id="488"/>
      <w:bookmarkEnd w:id="489"/>
    </w:p>
    <w:p w:rsidR="008C1F11" w:rsidRPr="007530F6" w:rsidRDefault="008C1F11" w:rsidP="008C1F11">
      <w:pPr>
        <w:pStyle w:val="my-2"/>
        <w:spacing w:before="0" w:beforeAutospacing="0" w:after="0" w:afterAutospacing="0"/>
        <w:ind w:firstLine="709"/>
        <w:jc w:val="both"/>
        <w:rPr>
          <w:sz w:val="28"/>
          <w:szCs w:val="28"/>
        </w:rPr>
      </w:pPr>
      <w:r w:rsidRPr="007530F6">
        <w:rPr>
          <w:sz w:val="28"/>
          <w:szCs w:val="28"/>
        </w:rPr>
        <w:t xml:space="preserve">В рамках </w:t>
      </w:r>
      <w:r w:rsidRPr="008C1F11">
        <w:rPr>
          <w:rStyle w:val="ab"/>
          <w:rFonts w:eastAsia="Arial"/>
          <w:b w:val="0"/>
          <w:sz w:val="28"/>
          <w:szCs w:val="28"/>
        </w:rPr>
        <w:t>благоустройства территорий жилой застройки</w:t>
      </w:r>
      <w:r w:rsidRPr="007530F6">
        <w:rPr>
          <w:sz w:val="28"/>
          <w:szCs w:val="28"/>
        </w:rPr>
        <w:t xml:space="preserve"> предусмотрено оборудование современных </w:t>
      </w:r>
      <w:r w:rsidRPr="008C1F11">
        <w:rPr>
          <w:rStyle w:val="ab"/>
          <w:rFonts w:eastAsia="Arial"/>
          <w:b w:val="0"/>
          <w:sz w:val="28"/>
          <w:szCs w:val="28"/>
        </w:rPr>
        <w:t>контейнерных площадок для сбора твёрдых коммунальных отходов</w:t>
      </w:r>
      <w:r w:rsidRPr="008C1F11">
        <w:rPr>
          <w:b/>
          <w:sz w:val="28"/>
          <w:szCs w:val="28"/>
        </w:rPr>
        <w:t xml:space="preserve">, </w:t>
      </w:r>
      <w:r w:rsidRPr="007530F6">
        <w:rPr>
          <w:sz w:val="28"/>
          <w:szCs w:val="28"/>
        </w:rPr>
        <w:t xml:space="preserve">соответствующих санитарным и экологическим требованиям. На территориях </w:t>
      </w:r>
      <w:r w:rsidRPr="008C1F11">
        <w:rPr>
          <w:rStyle w:val="ab"/>
          <w:rFonts w:eastAsia="Arial"/>
          <w:b w:val="0"/>
          <w:sz w:val="28"/>
          <w:szCs w:val="28"/>
        </w:rPr>
        <w:t>малоэтажной и индивидуальной жилой застройки</w:t>
      </w:r>
      <w:r w:rsidRPr="008C1F11">
        <w:rPr>
          <w:b/>
          <w:sz w:val="28"/>
          <w:szCs w:val="28"/>
        </w:rPr>
        <w:t xml:space="preserve"> </w:t>
      </w:r>
      <w:r w:rsidRPr="007530F6">
        <w:rPr>
          <w:sz w:val="28"/>
          <w:szCs w:val="28"/>
        </w:rPr>
        <w:t xml:space="preserve">планируется выделение специально организованных мест для размещения контейнеров, обеспечивающих удобство жителей и создание оптимальных условий для работы </w:t>
      </w:r>
      <w:r w:rsidRPr="008C1F11">
        <w:rPr>
          <w:rStyle w:val="ab"/>
          <w:rFonts w:eastAsia="Arial"/>
          <w:b w:val="0"/>
          <w:sz w:val="28"/>
          <w:szCs w:val="28"/>
        </w:rPr>
        <w:t>специализированного автотранспорта</w:t>
      </w:r>
      <w:r w:rsidRPr="007530F6">
        <w:rPr>
          <w:sz w:val="28"/>
          <w:szCs w:val="28"/>
        </w:rPr>
        <w:t>, осуществляющего вывоз отходов.</w:t>
      </w:r>
    </w:p>
    <w:p w:rsidR="00FC41F4" w:rsidRPr="00577593" w:rsidRDefault="008925FA" w:rsidP="008C1F11">
      <w:pPr>
        <w:pBdr>
          <w:top w:val="none" w:sz="4" w:space="0" w:color="000000"/>
          <w:left w:val="none" w:sz="4" w:space="0" w:color="000000"/>
          <w:bottom w:val="none" w:sz="4" w:space="0" w:color="000000"/>
          <w:right w:val="none" w:sz="4" w:space="0" w:color="000000"/>
        </w:pBdr>
        <w:spacing w:after="0" w:line="330" w:lineRule="exact"/>
        <w:ind w:firstLine="709"/>
        <w:jc w:val="both"/>
        <w:rPr>
          <w:rFonts w:ascii="Times New Roman" w:hAnsi="Times New Roman"/>
          <w:sz w:val="28"/>
          <w:szCs w:val="28"/>
        </w:rPr>
      </w:pPr>
      <w:r w:rsidRPr="00577593">
        <w:rPr>
          <w:rFonts w:ascii="Times New Roman" w:eastAsia="Times New Roman" w:hAnsi="Times New Roman"/>
          <w:sz w:val="28"/>
          <w:szCs w:val="28"/>
        </w:rPr>
        <w:t>Места размещения контейнеров должны быть оборудованы специальными площадками с твердым покрытием. Следует поддерживать техническое и эксплуатационное состояние контейнерных площадок, расположенных на территории города.</w:t>
      </w:r>
    </w:p>
    <w:p w:rsidR="00FC41F4" w:rsidRPr="008C1F11" w:rsidRDefault="008925FA" w:rsidP="008C1F11">
      <w:pPr>
        <w:pStyle w:val="3"/>
        <w:pBdr>
          <w:top w:val="none" w:sz="4" w:space="0" w:color="000000"/>
          <w:left w:val="none" w:sz="4" w:space="0" w:color="000000"/>
          <w:bottom w:val="none" w:sz="4" w:space="0" w:color="000000"/>
          <w:right w:val="none" w:sz="4" w:space="0" w:color="000000"/>
        </w:pBdr>
        <w:spacing w:before="0" w:line="330" w:lineRule="exact"/>
        <w:ind w:firstLine="709"/>
        <w:jc w:val="both"/>
        <w:rPr>
          <w:rFonts w:ascii="Times New Roman" w:hAnsi="Times New Roman"/>
          <w:bCs/>
          <w:color w:val="auto"/>
          <w:sz w:val="28"/>
          <w:szCs w:val="28"/>
        </w:rPr>
      </w:pPr>
      <w:bookmarkStart w:id="490" w:name="_Toc208496737"/>
      <w:bookmarkStart w:id="491" w:name="_Toc208669019"/>
      <w:bookmarkStart w:id="492" w:name="_Toc212804369"/>
      <w:r w:rsidRPr="008C1F11">
        <w:rPr>
          <w:rFonts w:ascii="Times New Roman" w:eastAsia="Times New Roman" w:hAnsi="Times New Roman"/>
          <w:bCs/>
          <w:color w:val="auto"/>
          <w:sz w:val="28"/>
          <w:szCs w:val="28"/>
        </w:rPr>
        <w:t>9.3.2.12</w:t>
      </w:r>
      <w:r w:rsidR="004700CB" w:rsidRPr="008C1F11">
        <w:rPr>
          <w:rFonts w:ascii="Times New Roman" w:eastAsia="Times New Roman" w:hAnsi="Times New Roman"/>
          <w:bCs/>
          <w:color w:val="auto"/>
          <w:sz w:val="28"/>
          <w:szCs w:val="28"/>
        </w:rPr>
        <w:t>.</w:t>
      </w:r>
      <w:r w:rsidRPr="008C1F11">
        <w:rPr>
          <w:rFonts w:ascii="Times New Roman" w:eastAsia="Times New Roman" w:hAnsi="Times New Roman"/>
          <w:bCs/>
          <w:color w:val="auto"/>
          <w:sz w:val="28"/>
          <w:szCs w:val="28"/>
        </w:rPr>
        <w:t xml:space="preserve"> Санитарная очистка территории города Барнаула</w:t>
      </w:r>
      <w:bookmarkEnd w:id="490"/>
      <w:bookmarkEnd w:id="491"/>
      <w:bookmarkEnd w:id="492"/>
    </w:p>
    <w:p w:rsidR="00FC41F4" w:rsidRPr="00D54475" w:rsidRDefault="00D54475" w:rsidP="008C1F11">
      <w:pPr>
        <w:pBdr>
          <w:top w:val="none" w:sz="4" w:space="0" w:color="000000"/>
          <w:left w:val="none" w:sz="4" w:space="0" w:color="000000"/>
          <w:bottom w:val="none" w:sz="4" w:space="0" w:color="000000"/>
          <w:right w:val="none" w:sz="4" w:space="0" w:color="000000"/>
        </w:pBdr>
        <w:spacing w:after="0" w:line="330" w:lineRule="exact"/>
        <w:ind w:firstLine="709"/>
        <w:jc w:val="both"/>
        <w:rPr>
          <w:rFonts w:ascii="Times New Roman" w:eastAsia="Times New Roman" w:hAnsi="Times New Roman"/>
          <w:sz w:val="28"/>
          <w:szCs w:val="28"/>
        </w:rPr>
      </w:pPr>
      <w:r w:rsidRPr="00D54475">
        <w:rPr>
          <w:rFonts w:ascii="Times New Roman" w:eastAsia="Times New Roman" w:hAnsi="Times New Roman"/>
          <w:sz w:val="28"/>
          <w:szCs w:val="28"/>
        </w:rPr>
        <w:t xml:space="preserve">Предусматривается организация рациональной системы </w:t>
      </w:r>
      <w:r w:rsidRPr="00D54475">
        <w:rPr>
          <w:rFonts w:ascii="Times New Roman" w:eastAsia="Times New Roman" w:hAnsi="Times New Roman"/>
          <w:bCs/>
          <w:sz w:val="28"/>
          <w:szCs w:val="28"/>
        </w:rPr>
        <w:t>сбора, временного хранения и регулярного вывоза твердых коммунальных отходов</w:t>
      </w:r>
      <w:r w:rsidRPr="00D54475">
        <w:rPr>
          <w:rFonts w:ascii="Times New Roman" w:eastAsia="Times New Roman" w:hAnsi="Times New Roman"/>
          <w:sz w:val="28"/>
          <w:szCs w:val="28"/>
        </w:rPr>
        <w:t xml:space="preserve">, а также систематическое проведение работ по </w:t>
      </w:r>
      <w:r w:rsidRPr="00D54475">
        <w:rPr>
          <w:rFonts w:ascii="Times New Roman" w:eastAsia="Times New Roman" w:hAnsi="Times New Roman"/>
          <w:bCs/>
          <w:sz w:val="28"/>
          <w:szCs w:val="28"/>
        </w:rPr>
        <w:t>уборке и благоустройству территорий</w:t>
      </w:r>
      <w:r w:rsidR="008925FA" w:rsidRPr="00D54475">
        <w:rPr>
          <w:rFonts w:ascii="Times New Roman" w:eastAsia="Times New Roman" w:hAnsi="Times New Roman"/>
          <w:sz w:val="28"/>
          <w:szCs w:val="28"/>
        </w:rPr>
        <w:t>.</w:t>
      </w:r>
    </w:p>
    <w:p w:rsidR="00FC41F4" w:rsidRPr="00577593" w:rsidRDefault="008925FA" w:rsidP="008C1F11">
      <w:pPr>
        <w:pStyle w:val="3"/>
        <w:pBdr>
          <w:top w:val="none" w:sz="4" w:space="0" w:color="000000"/>
          <w:left w:val="none" w:sz="4" w:space="0" w:color="000000"/>
          <w:bottom w:val="none" w:sz="4" w:space="0" w:color="000000"/>
          <w:right w:val="none" w:sz="4" w:space="0" w:color="000000"/>
        </w:pBdr>
        <w:spacing w:before="0" w:line="330" w:lineRule="exact"/>
        <w:ind w:firstLine="709"/>
        <w:jc w:val="both"/>
        <w:rPr>
          <w:rFonts w:ascii="Times New Roman" w:hAnsi="Times New Roman"/>
          <w:b/>
          <w:bCs/>
          <w:color w:val="auto"/>
          <w:sz w:val="28"/>
          <w:szCs w:val="28"/>
        </w:rPr>
      </w:pPr>
      <w:bookmarkStart w:id="493" w:name="_Toc208496738"/>
      <w:bookmarkStart w:id="494" w:name="_Toc208669020"/>
      <w:bookmarkStart w:id="495" w:name="_Toc212804370"/>
      <w:r w:rsidRPr="00577593">
        <w:rPr>
          <w:rFonts w:ascii="Times New Roman" w:eastAsia="Times New Roman" w:hAnsi="Times New Roman"/>
          <w:b/>
          <w:bCs/>
          <w:color w:val="auto"/>
          <w:sz w:val="28"/>
          <w:szCs w:val="28"/>
        </w:rPr>
        <w:t>9.3.3</w:t>
      </w:r>
      <w:r w:rsidR="00584F00">
        <w:rPr>
          <w:rFonts w:ascii="Times New Roman" w:eastAsia="Times New Roman" w:hAnsi="Times New Roman"/>
          <w:b/>
          <w:bCs/>
          <w:color w:val="auto"/>
          <w:sz w:val="28"/>
          <w:szCs w:val="28"/>
        </w:rPr>
        <w:t>.</w:t>
      </w:r>
      <w:r w:rsidRPr="00577593">
        <w:rPr>
          <w:rFonts w:ascii="Times New Roman" w:eastAsia="Times New Roman" w:hAnsi="Times New Roman"/>
          <w:b/>
          <w:bCs/>
          <w:color w:val="auto"/>
          <w:sz w:val="28"/>
          <w:szCs w:val="28"/>
        </w:rPr>
        <w:t xml:space="preserve"> Развитие транспортной системы</w:t>
      </w:r>
      <w:bookmarkEnd w:id="493"/>
      <w:bookmarkEnd w:id="494"/>
      <w:bookmarkEnd w:id="495"/>
    </w:p>
    <w:p w:rsidR="00FC41F4" w:rsidRPr="00577593" w:rsidRDefault="008925FA" w:rsidP="008C1F11">
      <w:pPr>
        <w:pBdr>
          <w:top w:val="none" w:sz="4" w:space="0" w:color="000000"/>
          <w:left w:val="none" w:sz="4" w:space="0" w:color="000000"/>
          <w:bottom w:val="none" w:sz="4" w:space="0" w:color="000000"/>
          <w:right w:val="none" w:sz="4" w:space="0" w:color="000000"/>
        </w:pBdr>
        <w:spacing w:after="0" w:line="330" w:lineRule="exact"/>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В рамках национальной цели развития Российской Федерации </w:t>
      </w:r>
      <w:r w:rsidR="00A91267" w:rsidRPr="00577593">
        <w:rPr>
          <w:rFonts w:ascii="Times New Roman" w:eastAsia="Times New Roman" w:hAnsi="Times New Roman"/>
          <w:sz w:val="28"/>
          <w:szCs w:val="28"/>
        </w:rPr>
        <w:br/>
      </w:r>
      <w:r w:rsidRPr="00577593">
        <w:rPr>
          <w:rFonts w:ascii="Times New Roman" w:eastAsia="Times New Roman" w:hAnsi="Times New Roman"/>
          <w:sz w:val="28"/>
          <w:szCs w:val="28"/>
        </w:rPr>
        <w:t>на период до 2030 года и на перспективу до 2036 года «Комфортная и безопасная среда для жизни» определены следующие целевые показатели и задачи:</w:t>
      </w:r>
    </w:p>
    <w:p w:rsidR="00FC41F4" w:rsidRPr="00577593" w:rsidRDefault="00584F00" w:rsidP="008C1F11">
      <w:pPr>
        <w:pStyle w:val="af5"/>
        <w:pBdr>
          <w:top w:val="none" w:sz="4" w:space="0" w:color="000000"/>
          <w:left w:val="none" w:sz="4" w:space="0" w:color="000000"/>
          <w:bottom w:val="none" w:sz="4" w:space="0" w:color="000000"/>
          <w:right w:val="none" w:sz="4" w:space="0" w:color="000000"/>
        </w:pBdr>
        <w:tabs>
          <w:tab w:val="left" w:pos="993"/>
        </w:tabs>
        <w:spacing w:after="0" w:line="330" w:lineRule="exact"/>
        <w:ind w:left="0" w:firstLine="709"/>
        <w:jc w:val="both"/>
        <w:rPr>
          <w:rFonts w:ascii="Times New Roman" w:eastAsia="Times New Roman" w:hAnsi="Times New Roman"/>
          <w:sz w:val="28"/>
          <w:szCs w:val="28"/>
        </w:rPr>
      </w:pPr>
      <w:r w:rsidRPr="00584F00">
        <w:rPr>
          <w:rFonts w:ascii="Times New Roman" w:eastAsia="Times New Roman" w:hAnsi="Times New Roman"/>
          <w:sz w:val="28"/>
          <w:szCs w:val="28"/>
        </w:rPr>
        <w:t>– </w:t>
      </w:r>
      <w:r w:rsidR="008925FA" w:rsidRPr="00577593">
        <w:rPr>
          <w:rFonts w:ascii="Times New Roman" w:eastAsia="Times New Roman" w:hAnsi="Times New Roman"/>
          <w:sz w:val="28"/>
          <w:szCs w:val="28"/>
        </w:rPr>
        <w:t>увеличение к 2030 году в агломерациях и городах доли парка общественного транспорта, имеющего срок эксплуатации не старше нормативного, не менее чем до 85 процентов;</w:t>
      </w:r>
    </w:p>
    <w:p w:rsidR="00FC41F4" w:rsidRPr="00577593" w:rsidRDefault="00584F00" w:rsidP="008C1F11">
      <w:pPr>
        <w:pStyle w:val="af5"/>
        <w:pBdr>
          <w:top w:val="none" w:sz="4" w:space="0" w:color="000000"/>
          <w:left w:val="none" w:sz="4" w:space="0" w:color="000000"/>
          <w:bottom w:val="none" w:sz="4" w:space="0" w:color="000000"/>
          <w:right w:val="none" w:sz="4" w:space="0" w:color="000000"/>
        </w:pBdr>
        <w:tabs>
          <w:tab w:val="left" w:pos="993"/>
        </w:tabs>
        <w:spacing w:after="0" w:line="330" w:lineRule="exact"/>
        <w:ind w:left="0" w:firstLine="709"/>
        <w:jc w:val="both"/>
        <w:rPr>
          <w:rFonts w:ascii="Times New Roman" w:eastAsia="Times New Roman" w:hAnsi="Times New Roman"/>
          <w:sz w:val="28"/>
          <w:szCs w:val="28"/>
        </w:rPr>
      </w:pPr>
      <w:r w:rsidRPr="00584F00">
        <w:rPr>
          <w:rFonts w:ascii="Times New Roman" w:eastAsia="Times New Roman" w:hAnsi="Times New Roman"/>
          <w:sz w:val="28"/>
          <w:szCs w:val="28"/>
        </w:rPr>
        <w:t>– </w:t>
      </w:r>
      <w:r w:rsidR="008925FA" w:rsidRPr="00577593">
        <w:rPr>
          <w:rFonts w:ascii="Times New Roman" w:eastAsia="Times New Roman" w:hAnsi="Times New Roman"/>
          <w:sz w:val="28"/>
          <w:szCs w:val="28"/>
        </w:rPr>
        <w:t>увеличение к 2030 году доли соответствующих нормативным требованиям автомобильных дорог федерального значения и дорог крупнейших городских агломераций не менее чем до 85 процентов;</w:t>
      </w:r>
    </w:p>
    <w:p w:rsidR="00FC41F4" w:rsidRPr="00577593" w:rsidRDefault="00584F00" w:rsidP="008C1F11">
      <w:pPr>
        <w:pStyle w:val="af5"/>
        <w:pBdr>
          <w:top w:val="none" w:sz="4" w:space="0" w:color="000000"/>
          <w:left w:val="none" w:sz="4" w:space="0" w:color="000000"/>
          <w:bottom w:val="none" w:sz="4" w:space="0" w:color="000000"/>
          <w:right w:val="none" w:sz="4" w:space="0" w:color="000000"/>
        </w:pBdr>
        <w:tabs>
          <w:tab w:val="left" w:pos="993"/>
        </w:tabs>
        <w:spacing w:after="0" w:line="330" w:lineRule="exact"/>
        <w:ind w:left="0" w:firstLine="709"/>
        <w:jc w:val="both"/>
        <w:rPr>
          <w:rFonts w:ascii="Times New Roman" w:eastAsia="Times New Roman" w:hAnsi="Times New Roman"/>
          <w:sz w:val="28"/>
          <w:szCs w:val="28"/>
        </w:rPr>
      </w:pPr>
      <w:r w:rsidRPr="00584F00">
        <w:rPr>
          <w:rFonts w:ascii="Times New Roman" w:eastAsia="Times New Roman" w:hAnsi="Times New Roman"/>
          <w:sz w:val="28"/>
          <w:szCs w:val="28"/>
        </w:rPr>
        <w:t>– </w:t>
      </w:r>
      <w:r w:rsidR="008925FA" w:rsidRPr="00577593">
        <w:rPr>
          <w:rFonts w:ascii="Times New Roman" w:eastAsia="Times New Roman" w:hAnsi="Times New Roman"/>
          <w:sz w:val="28"/>
          <w:szCs w:val="28"/>
        </w:rPr>
        <w:t xml:space="preserve">снижение смертности в результате дорожно-транспортных происшествий в полтора раза к 2030 году и в два раза к 2036 году </w:t>
      </w:r>
      <w:r w:rsidR="00A91267" w:rsidRPr="00577593">
        <w:rPr>
          <w:rFonts w:ascii="Times New Roman" w:eastAsia="Times New Roman" w:hAnsi="Times New Roman"/>
          <w:sz w:val="28"/>
          <w:szCs w:val="28"/>
        </w:rPr>
        <w:br/>
      </w:r>
      <w:r w:rsidR="008925FA" w:rsidRPr="00577593">
        <w:rPr>
          <w:rFonts w:ascii="Times New Roman" w:eastAsia="Times New Roman" w:hAnsi="Times New Roman"/>
          <w:sz w:val="28"/>
          <w:szCs w:val="28"/>
        </w:rPr>
        <w:t>по сравнению с показателем 2023 года.</w:t>
      </w:r>
    </w:p>
    <w:p w:rsidR="00FC41F4" w:rsidRPr="00577593" w:rsidRDefault="008925FA" w:rsidP="008C1F11">
      <w:pPr>
        <w:pBdr>
          <w:top w:val="none" w:sz="4" w:space="0" w:color="000000"/>
          <w:left w:val="none" w:sz="4" w:space="0" w:color="000000"/>
          <w:bottom w:val="none" w:sz="4" w:space="0" w:color="000000"/>
          <w:right w:val="none" w:sz="4" w:space="0" w:color="000000"/>
        </w:pBdr>
        <w:spacing w:after="0" w:line="330" w:lineRule="exact"/>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В Стратегии социально-экономического развития Алтайского края </w:t>
      </w:r>
      <w:r w:rsidR="00A91267" w:rsidRPr="00577593">
        <w:rPr>
          <w:rFonts w:ascii="Times New Roman" w:eastAsia="Times New Roman" w:hAnsi="Times New Roman"/>
          <w:sz w:val="28"/>
          <w:szCs w:val="28"/>
        </w:rPr>
        <w:br/>
      </w:r>
      <w:r w:rsidRPr="00577593">
        <w:rPr>
          <w:rFonts w:ascii="Times New Roman" w:eastAsia="Times New Roman" w:hAnsi="Times New Roman"/>
          <w:sz w:val="28"/>
          <w:szCs w:val="28"/>
        </w:rPr>
        <w:t>до 2035 года определены следующие задачи:</w:t>
      </w:r>
    </w:p>
    <w:p w:rsidR="00FC41F4" w:rsidRPr="00577593" w:rsidRDefault="00584F00" w:rsidP="008C1F11">
      <w:pPr>
        <w:pStyle w:val="af5"/>
        <w:pBdr>
          <w:top w:val="none" w:sz="4" w:space="0" w:color="000000"/>
          <w:left w:val="none" w:sz="4" w:space="0" w:color="000000"/>
          <w:bottom w:val="none" w:sz="4" w:space="0" w:color="000000"/>
          <w:right w:val="none" w:sz="4" w:space="0" w:color="000000"/>
        </w:pBdr>
        <w:tabs>
          <w:tab w:val="left" w:pos="993"/>
        </w:tabs>
        <w:spacing w:after="0" w:line="330" w:lineRule="exact"/>
        <w:ind w:left="0" w:firstLine="709"/>
        <w:jc w:val="both"/>
        <w:rPr>
          <w:rFonts w:ascii="Times New Roman" w:eastAsia="Times New Roman" w:hAnsi="Times New Roman"/>
          <w:sz w:val="28"/>
          <w:szCs w:val="28"/>
        </w:rPr>
      </w:pPr>
      <w:r w:rsidRPr="00584F00">
        <w:rPr>
          <w:rFonts w:ascii="Times New Roman" w:eastAsia="Times New Roman" w:hAnsi="Times New Roman"/>
          <w:sz w:val="28"/>
          <w:szCs w:val="28"/>
        </w:rPr>
        <w:t>– </w:t>
      </w:r>
      <w:r w:rsidR="007857D5" w:rsidRPr="00577593">
        <w:rPr>
          <w:rFonts w:ascii="Times New Roman" w:eastAsia="Times New Roman" w:hAnsi="Times New Roman"/>
          <w:sz w:val="28"/>
          <w:szCs w:val="28"/>
        </w:rPr>
        <w:t>р</w:t>
      </w:r>
      <w:r w:rsidR="008925FA" w:rsidRPr="00577593">
        <w:rPr>
          <w:rFonts w:ascii="Times New Roman" w:eastAsia="Times New Roman" w:hAnsi="Times New Roman"/>
          <w:sz w:val="28"/>
          <w:szCs w:val="28"/>
        </w:rPr>
        <w:t>азвитие сбалансированной транспортно-логистической системы Алтайского края, обеспечивающей высокие темпы развития экономики, реализацию экспортного и</w:t>
      </w:r>
      <w:r w:rsidR="00D44EE3" w:rsidRPr="00577593">
        <w:rPr>
          <w:rFonts w:ascii="Times New Roman" w:eastAsia="Times New Roman" w:hAnsi="Times New Roman"/>
          <w:sz w:val="28"/>
          <w:szCs w:val="28"/>
        </w:rPr>
        <w:t> </w:t>
      </w:r>
      <w:r w:rsidR="008925FA" w:rsidRPr="00577593">
        <w:rPr>
          <w:rFonts w:ascii="Times New Roman" w:eastAsia="Times New Roman" w:hAnsi="Times New Roman"/>
          <w:sz w:val="28"/>
          <w:szCs w:val="28"/>
        </w:rPr>
        <w:t>туристического потенциала региона, высокую транспортную мобильность населения</w:t>
      </w:r>
      <w:r w:rsidR="00D44EE3" w:rsidRPr="00577593">
        <w:rPr>
          <w:rFonts w:ascii="Times New Roman" w:eastAsia="Times New Roman" w:hAnsi="Times New Roman"/>
          <w:sz w:val="28"/>
          <w:szCs w:val="28"/>
        </w:rPr>
        <w:t>;</w:t>
      </w:r>
    </w:p>
    <w:p w:rsidR="00FC41F4" w:rsidRPr="00577593" w:rsidRDefault="00584F00" w:rsidP="008C1F11">
      <w:pPr>
        <w:pStyle w:val="af5"/>
        <w:pBdr>
          <w:top w:val="none" w:sz="4" w:space="0" w:color="000000"/>
          <w:left w:val="none" w:sz="4" w:space="0" w:color="000000"/>
          <w:bottom w:val="none" w:sz="4" w:space="0" w:color="000000"/>
          <w:right w:val="none" w:sz="4" w:space="0" w:color="000000"/>
        </w:pBdr>
        <w:tabs>
          <w:tab w:val="left" w:pos="993"/>
        </w:tabs>
        <w:spacing w:after="0" w:line="330" w:lineRule="exact"/>
        <w:ind w:left="0" w:firstLine="709"/>
        <w:jc w:val="both"/>
        <w:rPr>
          <w:rFonts w:ascii="Times New Roman" w:eastAsia="Times New Roman" w:hAnsi="Times New Roman"/>
          <w:sz w:val="28"/>
          <w:szCs w:val="28"/>
        </w:rPr>
      </w:pPr>
      <w:r w:rsidRPr="00584F00">
        <w:rPr>
          <w:rFonts w:ascii="Times New Roman" w:eastAsia="Times New Roman" w:hAnsi="Times New Roman"/>
          <w:sz w:val="28"/>
          <w:szCs w:val="28"/>
        </w:rPr>
        <w:t>– </w:t>
      </w:r>
      <w:r w:rsidR="007857D5" w:rsidRPr="00577593">
        <w:rPr>
          <w:rFonts w:ascii="Times New Roman" w:eastAsia="Times New Roman" w:hAnsi="Times New Roman"/>
          <w:sz w:val="28"/>
          <w:szCs w:val="28"/>
        </w:rPr>
        <w:t>п</w:t>
      </w:r>
      <w:r w:rsidR="008925FA" w:rsidRPr="00577593">
        <w:rPr>
          <w:rFonts w:ascii="Times New Roman" w:eastAsia="Times New Roman" w:hAnsi="Times New Roman"/>
          <w:sz w:val="28"/>
          <w:szCs w:val="28"/>
        </w:rPr>
        <w:t xml:space="preserve">еренаправление транзитных грузопотоков за пределы городов </w:t>
      </w:r>
      <w:r w:rsidR="00A91267" w:rsidRPr="00577593">
        <w:rPr>
          <w:rFonts w:ascii="Times New Roman" w:eastAsia="Times New Roman" w:hAnsi="Times New Roman"/>
          <w:sz w:val="28"/>
          <w:szCs w:val="28"/>
        </w:rPr>
        <w:br/>
      </w:r>
      <w:r w:rsidR="008925FA" w:rsidRPr="00577593">
        <w:rPr>
          <w:rFonts w:ascii="Times New Roman" w:eastAsia="Times New Roman" w:hAnsi="Times New Roman"/>
          <w:sz w:val="28"/>
          <w:szCs w:val="28"/>
        </w:rPr>
        <w:t>за счет создания транспортных обходов.</w:t>
      </w:r>
    </w:p>
    <w:p w:rsidR="00C165F5" w:rsidRPr="00577593" w:rsidRDefault="00C165F5" w:rsidP="008C1F11">
      <w:pPr>
        <w:spacing w:after="0" w:line="330" w:lineRule="exact"/>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Направления реализации задачи «</w:t>
      </w:r>
      <w:r w:rsidRPr="00577593">
        <w:rPr>
          <w:rFonts w:ascii="Times New Roman" w:eastAsia="Times New Roman" w:hAnsi="Times New Roman"/>
          <w:bCs/>
          <w:sz w:val="28"/>
          <w:szCs w:val="28"/>
        </w:rPr>
        <w:t>Развитие транспортной системы</w:t>
      </w:r>
      <w:r w:rsidRPr="00577593">
        <w:rPr>
          <w:rFonts w:ascii="Times New Roman" w:eastAsia="Times New Roman" w:hAnsi="Times New Roman"/>
          <w:sz w:val="28"/>
          <w:szCs w:val="28"/>
        </w:rPr>
        <w:t xml:space="preserve">» </w:t>
      </w:r>
      <w:r w:rsidRPr="00577593">
        <w:rPr>
          <w:rFonts w:ascii="Times New Roman" w:eastAsia="Times New Roman" w:hAnsi="Times New Roman"/>
          <w:sz w:val="28"/>
          <w:szCs w:val="28"/>
        </w:rPr>
        <w:br/>
        <w:t>в городе Барнауле:</w:t>
      </w:r>
    </w:p>
    <w:p w:rsidR="00536D85" w:rsidRPr="00577593" w:rsidRDefault="00584F00" w:rsidP="00584F00">
      <w:pPr>
        <w:pStyle w:val="3"/>
        <w:pBdr>
          <w:top w:val="none" w:sz="4" w:space="0" w:color="000000"/>
          <w:left w:val="none" w:sz="4" w:space="0" w:color="000000"/>
          <w:bottom w:val="none" w:sz="4" w:space="0" w:color="000000"/>
          <w:right w:val="none" w:sz="4" w:space="0" w:color="000000"/>
        </w:pBdr>
        <w:spacing w:before="0" w:line="240" w:lineRule="auto"/>
        <w:ind w:firstLine="709"/>
        <w:jc w:val="both"/>
        <w:rPr>
          <w:rFonts w:ascii="Times New Roman" w:eastAsia="Times New Roman" w:hAnsi="Times New Roman"/>
          <w:bCs/>
          <w:color w:val="auto"/>
          <w:sz w:val="28"/>
          <w:szCs w:val="28"/>
        </w:rPr>
      </w:pPr>
      <w:bookmarkStart w:id="496" w:name="_Toc212804371"/>
      <w:r w:rsidRPr="00584F00">
        <w:rPr>
          <w:rFonts w:ascii="Times New Roman" w:eastAsia="Times New Roman" w:hAnsi="Times New Roman"/>
          <w:bCs/>
          <w:color w:val="auto"/>
          <w:sz w:val="28"/>
          <w:szCs w:val="28"/>
        </w:rPr>
        <w:lastRenderedPageBreak/>
        <w:t>– </w:t>
      </w:r>
      <w:r>
        <w:rPr>
          <w:rFonts w:ascii="Times New Roman" w:eastAsia="Times New Roman" w:hAnsi="Times New Roman"/>
          <w:bCs/>
          <w:color w:val="auto"/>
          <w:sz w:val="28"/>
          <w:szCs w:val="28"/>
        </w:rPr>
        <w:t>р</w:t>
      </w:r>
      <w:r w:rsidR="00536D85" w:rsidRPr="00577593">
        <w:rPr>
          <w:rFonts w:ascii="Times New Roman" w:eastAsia="Times New Roman" w:hAnsi="Times New Roman"/>
          <w:bCs/>
          <w:color w:val="auto"/>
          <w:sz w:val="28"/>
          <w:szCs w:val="28"/>
        </w:rPr>
        <w:t>азвитие современного и комфортного городского общественного транспорта;</w:t>
      </w:r>
      <w:bookmarkEnd w:id="496"/>
    </w:p>
    <w:p w:rsidR="00536D85" w:rsidRPr="00577593" w:rsidRDefault="00584F00" w:rsidP="00584F00">
      <w:pPr>
        <w:pStyle w:val="3"/>
        <w:pBdr>
          <w:top w:val="none" w:sz="4" w:space="0" w:color="000000"/>
          <w:left w:val="none" w:sz="4" w:space="0" w:color="000000"/>
          <w:bottom w:val="none" w:sz="4" w:space="0" w:color="000000"/>
          <w:right w:val="none" w:sz="4" w:space="0" w:color="000000"/>
        </w:pBdr>
        <w:spacing w:before="0" w:line="240" w:lineRule="auto"/>
        <w:ind w:firstLine="709"/>
        <w:jc w:val="both"/>
        <w:rPr>
          <w:rFonts w:ascii="Times New Roman" w:eastAsia="Times New Roman" w:hAnsi="Times New Roman"/>
          <w:bCs/>
          <w:color w:val="auto"/>
          <w:sz w:val="28"/>
          <w:szCs w:val="28"/>
        </w:rPr>
      </w:pPr>
      <w:bookmarkStart w:id="497" w:name="_Toc212804372"/>
      <w:r w:rsidRPr="00584F00">
        <w:rPr>
          <w:rFonts w:ascii="Times New Roman" w:eastAsia="Times New Roman" w:hAnsi="Times New Roman"/>
          <w:bCs/>
          <w:color w:val="auto"/>
          <w:sz w:val="28"/>
          <w:szCs w:val="28"/>
        </w:rPr>
        <w:t>– </w:t>
      </w:r>
      <w:r>
        <w:rPr>
          <w:rFonts w:ascii="Times New Roman" w:eastAsia="Times New Roman" w:hAnsi="Times New Roman"/>
          <w:bCs/>
          <w:color w:val="auto"/>
          <w:sz w:val="28"/>
          <w:szCs w:val="28"/>
        </w:rPr>
        <w:t>к</w:t>
      </w:r>
      <w:r w:rsidR="00536D85" w:rsidRPr="00577593">
        <w:rPr>
          <w:rFonts w:ascii="Times New Roman" w:eastAsia="Times New Roman" w:hAnsi="Times New Roman"/>
          <w:bCs/>
          <w:color w:val="auto"/>
          <w:sz w:val="28"/>
          <w:szCs w:val="28"/>
        </w:rPr>
        <w:t>омплексное развитие дорожно-транспортной инфраструктуры города;</w:t>
      </w:r>
      <w:bookmarkEnd w:id="497"/>
    </w:p>
    <w:p w:rsidR="00FC41F4" w:rsidRPr="00577593" w:rsidRDefault="00584F00" w:rsidP="00584F00">
      <w:pPr>
        <w:spacing w:line="240" w:lineRule="auto"/>
        <w:ind w:firstLine="709"/>
        <w:rPr>
          <w:rFonts w:ascii="Times New Roman" w:hAnsi="Times New Roman"/>
          <w:sz w:val="28"/>
          <w:szCs w:val="28"/>
        </w:rPr>
      </w:pPr>
      <w:r w:rsidRPr="00584F00">
        <w:rPr>
          <w:rFonts w:ascii="Times New Roman" w:eastAsia="Times New Roman" w:hAnsi="Times New Roman"/>
          <w:bCs/>
          <w:sz w:val="28"/>
          <w:szCs w:val="28"/>
        </w:rPr>
        <w:t>– </w:t>
      </w:r>
      <w:r>
        <w:rPr>
          <w:rFonts w:ascii="Times New Roman" w:eastAsia="Times New Roman" w:hAnsi="Times New Roman"/>
          <w:bCs/>
          <w:sz w:val="28"/>
          <w:szCs w:val="28"/>
        </w:rPr>
        <w:t>б</w:t>
      </w:r>
      <w:r w:rsidR="00536D85" w:rsidRPr="00577593">
        <w:rPr>
          <w:rFonts w:ascii="Times New Roman" w:eastAsia="Times New Roman" w:hAnsi="Times New Roman"/>
          <w:bCs/>
          <w:sz w:val="28"/>
          <w:szCs w:val="28"/>
        </w:rPr>
        <w:t>езопасные улицы и дороги города.</w:t>
      </w:r>
    </w:p>
    <w:p w:rsidR="00FC41F4" w:rsidRPr="00577593" w:rsidRDefault="008925FA" w:rsidP="008D738C">
      <w:pPr>
        <w:pStyle w:val="3"/>
        <w:pBdr>
          <w:top w:val="none" w:sz="4" w:space="0" w:color="000000"/>
          <w:left w:val="none" w:sz="4" w:space="0" w:color="000000"/>
          <w:bottom w:val="none" w:sz="4" w:space="0" w:color="000000"/>
          <w:right w:val="none" w:sz="4" w:space="0" w:color="000000"/>
        </w:pBdr>
        <w:spacing w:before="0" w:line="240" w:lineRule="auto"/>
        <w:ind w:firstLine="709"/>
        <w:jc w:val="both"/>
        <w:rPr>
          <w:rFonts w:ascii="Times New Roman" w:hAnsi="Times New Roman"/>
          <w:bCs/>
          <w:color w:val="auto"/>
          <w:sz w:val="28"/>
          <w:szCs w:val="28"/>
        </w:rPr>
      </w:pPr>
      <w:bookmarkStart w:id="498" w:name="_Toc208496739"/>
      <w:bookmarkStart w:id="499" w:name="_Toc208669021"/>
      <w:bookmarkStart w:id="500" w:name="_Toc212804373"/>
      <w:r w:rsidRPr="00577593">
        <w:rPr>
          <w:rFonts w:ascii="Times New Roman" w:eastAsia="Times New Roman" w:hAnsi="Times New Roman"/>
          <w:bCs/>
          <w:color w:val="auto"/>
          <w:sz w:val="28"/>
          <w:szCs w:val="28"/>
        </w:rPr>
        <w:t>9.3.3.1</w:t>
      </w:r>
      <w:r w:rsidR="00584F00">
        <w:rPr>
          <w:rFonts w:ascii="Times New Roman" w:eastAsia="Times New Roman" w:hAnsi="Times New Roman"/>
          <w:bCs/>
          <w:color w:val="auto"/>
          <w:sz w:val="28"/>
          <w:szCs w:val="28"/>
        </w:rPr>
        <w:t>.</w:t>
      </w:r>
      <w:r w:rsidR="007F6D87">
        <w:rPr>
          <w:rFonts w:ascii="Times New Roman" w:eastAsia="Times New Roman" w:hAnsi="Times New Roman"/>
          <w:bCs/>
          <w:color w:val="auto"/>
          <w:sz w:val="28"/>
          <w:szCs w:val="28"/>
        </w:rPr>
        <w:t> </w:t>
      </w:r>
      <w:r w:rsidRPr="00577593">
        <w:rPr>
          <w:rFonts w:ascii="Times New Roman" w:eastAsia="Times New Roman" w:hAnsi="Times New Roman"/>
          <w:bCs/>
          <w:color w:val="auto"/>
          <w:sz w:val="28"/>
          <w:szCs w:val="28"/>
        </w:rPr>
        <w:t>Развитие современного и комфортного городского общественного транспорта</w:t>
      </w:r>
      <w:bookmarkEnd w:id="498"/>
      <w:bookmarkEnd w:id="499"/>
      <w:bookmarkEnd w:id="500"/>
      <w:r w:rsidRPr="00577593">
        <w:rPr>
          <w:rFonts w:ascii="Times New Roman" w:eastAsia="Times New Roman" w:hAnsi="Times New Roman"/>
          <w:bCs/>
          <w:color w:val="auto"/>
          <w:sz w:val="28"/>
          <w:szCs w:val="28"/>
        </w:rPr>
        <w:t xml:space="preserve"> </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Развитие городского общественного транспорта в </w:t>
      </w:r>
      <w:r w:rsidR="00584F00">
        <w:rPr>
          <w:rFonts w:ascii="Times New Roman" w:eastAsia="Times New Roman" w:hAnsi="Times New Roman"/>
          <w:sz w:val="28"/>
          <w:szCs w:val="28"/>
        </w:rPr>
        <w:t xml:space="preserve">городе </w:t>
      </w:r>
      <w:r w:rsidRPr="00577593">
        <w:rPr>
          <w:rFonts w:ascii="Times New Roman" w:eastAsia="Times New Roman" w:hAnsi="Times New Roman"/>
          <w:sz w:val="28"/>
          <w:szCs w:val="28"/>
        </w:rPr>
        <w:t xml:space="preserve">Барнауле должно быть направлено на его расширение, обновление и модернизацию. Общественный транспорт </w:t>
      </w:r>
      <w:r w:rsidR="00584F00">
        <w:rPr>
          <w:rFonts w:ascii="Times New Roman" w:eastAsia="Times New Roman" w:hAnsi="Times New Roman"/>
          <w:sz w:val="28"/>
          <w:szCs w:val="28"/>
        </w:rPr>
        <w:t xml:space="preserve">города </w:t>
      </w:r>
      <w:r w:rsidRPr="00577593">
        <w:rPr>
          <w:rFonts w:ascii="Times New Roman" w:eastAsia="Times New Roman" w:hAnsi="Times New Roman"/>
          <w:sz w:val="28"/>
          <w:szCs w:val="28"/>
        </w:rPr>
        <w:t>должен соответств</w:t>
      </w:r>
      <w:r w:rsidR="00040DF2" w:rsidRPr="00577593">
        <w:rPr>
          <w:rFonts w:ascii="Times New Roman" w:eastAsia="Times New Roman" w:hAnsi="Times New Roman"/>
          <w:sz w:val="28"/>
          <w:szCs w:val="28"/>
        </w:rPr>
        <w:t>овать современным международным</w:t>
      </w:r>
      <w:r w:rsidRPr="00577593">
        <w:rPr>
          <w:rFonts w:ascii="Times New Roman" w:eastAsia="Times New Roman" w:hAnsi="Times New Roman"/>
          <w:sz w:val="28"/>
          <w:szCs w:val="28"/>
        </w:rPr>
        <w:t xml:space="preserve"> и российским стандартам. Транспортная политика города должна ориентироваться на мультимодальный характер общественного транспорта. </w:t>
      </w:r>
    </w:p>
    <w:p w:rsidR="00FC41F4" w:rsidRPr="00577593" w:rsidRDefault="009C7BF9"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Pr>
          <w:rFonts w:ascii="Times New Roman" w:eastAsia="Times New Roman" w:hAnsi="Times New Roman"/>
          <w:sz w:val="28"/>
          <w:szCs w:val="28"/>
        </w:rPr>
        <w:t xml:space="preserve">Город </w:t>
      </w:r>
      <w:r w:rsidR="008925FA" w:rsidRPr="00577593">
        <w:rPr>
          <w:rFonts w:ascii="Times New Roman" w:eastAsia="Times New Roman" w:hAnsi="Times New Roman"/>
          <w:sz w:val="28"/>
          <w:szCs w:val="28"/>
        </w:rPr>
        <w:t xml:space="preserve">Барнаул обладает уникальным преимуществом: в городе сохранился городской электрический транспорт. Городу необходимо обновлять подвижной состав всех видов общественного транспорта до нормативного состояния, увеличивать количество низкопольных трамваев, повышать долю общественного транспорта, удобного для использования маломобильными гражданами. Планируется проводить ремонт и обновление инфраструктуры городского электрического транспорта. Для повышения связанности территории городского округа предполагается продлить линии трамвая и троллейбуса до новых жилых районов, увеличить связанность в центральной части города за счет новых маршрутов. Необходимо дальнейшее повышение доли ГЭТ в пассажирских перевозках, увеличение средней скорости, доступности для горожан. </w:t>
      </w:r>
      <w:r>
        <w:rPr>
          <w:rFonts w:ascii="Times New Roman" w:eastAsia="Times New Roman" w:hAnsi="Times New Roman"/>
          <w:sz w:val="28"/>
          <w:szCs w:val="28"/>
        </w:rPr>
        <w:t xml:space="preserve">Город </w:t>
      </w:r>
      <w:r w:rsidR="008925FA" w:rsidRPr="00577593">
        <w:rPr>
          <w:rFonts w:ascii="Times New Roman" w:eastAsia="Times New Roman" w:hAnsi="Times New Roman"/>
          <w:sz w:val="28"/>
          <w:szCs w:val="28"/>
        </w:rPr>
        <w:t xml:space="preserve">Барнаул имеет потребность в развитии велоинфраструктуры и сети велодорожек. </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Совместная работа с </w:t>
      </w:r>
      <w:r w:rsidR="00096326">
        <w:rPr>
          <w:rFonts w:ascii="Times New Roman" w:eastAsia="Times New Roman" w:hAnsi="Times New Roman"/>
          <w:sz w:val="28"/>
          <w:szCs w:val="28"/>
        </w:rPr>
        <w:t>частными</w:t>
      </w:r>
      <w:r w:rsidRPr="00577593">
        <w:rPr>
          <w:rFonts w:ascii="Times New Roman" w:eastAsia="Times New Roman" w:hAnsi="Times New Roman"/>
          <w:sz w:val="28"/>
          <w:szCs w:val="28"/>
        </w:rPr>
        <w:t xml:space="preserve"> перевозчиками позволит улучшить качество автобусных перевозок за счет обновления автобусного парка, повышения требований к качеству автобусного парка, повышение конкурентности на рынке автобусных перевозок, в том числе за счет муниципального перевозчика. Для повышения качества перевозок, а также с учетом того, что городу переданы новые современные автобусы, в будущем целесообразно создание муниципального автобусного перевозчика. Необходимо обновление павильонов остановок общественного транспорта.</w:t>
      </w:r>
      <w:r w:rsidRPr="00577593">
        <w:rPr>
          <w:rFonts w:ascii="Times New Roman" w:eastAsia="Calibri" w:hAnsi="Times New Roman"/>
          <w:sz w:val="28"/>
          <w:szCs w:val="28"/>
        </w:rPr>
        <w:t xml:space="preserve"> </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В целях повышения экологичности общественного транспорта и приведения системы общественного транспорта города в соответствие современному законодательству в будущем будет проходить переход общественного транспорта на альтернативные виды топлива. Такой переход может произойти только при сотрудничестве с частными перевозчиками. Переход общественного транспорта на альтернативные виды топлива в </w:t>
      </w:r>
      <w:r w:rsidR="009C7BF9">
        <w:rPr>
          <w:rFonts w:ascii="Times New Roman" w:eastAsia="Times New Roman" w:hAnsi="Times New Roman"/>
          <w:sz w:val="28"/>
          <w:szCs w:val="28"/>
        </w:rPr>
        <w:t>городе</w:t>
      </w:r>
      <w:r w:rsidRPr="00577593">
        <w:rPr>
          <w:rFonts w:ascii="Times New Roman" w:eastAsia="Times New Roman" w:hAnsi="Times New Roman"/>
          <w:sz w:val="28"/>
          <w:szCs w:val="28"/>
        </w:rPr>
        <w:t xml:space="preserve"> должен быть основан на учете бюджетных возможностей властей и инвестиционных возможностей перевозчиков, так как стоимость современных электробусов в несколько раз дороже троллейбусов, которые </w:t>
      </w:r>
      <w:r w:rsidRPr="00577593">
        <w:rPr>
          <w:rFonts w:ascii="Times New Roman" w:eastAsia="Times New Roman" w:hAnsi="Times New Roman"/>
          <w:sz w:val="28"/>
          <w:szCs w:val="28"/>
        </w:rPr>
        <w:lastRenderedPageBreak/>
        <w:t xml:space="preserve">производятся в России, и автобусов на газомоторном топливе. При этом инфраструктура для троллейбусного движения в </w:t>
      </w:r>
      <w:r w:rsidR="009C7BF9">
        <w:rPr>
          <w:rFonts w:ascii="Times New Roman" w:eastAsia="Times New Roman" w:hAnsi="Times New Roman"/>
          <w:sz w:val="28"/>
          <w:szCs w:val="28"/>
        </w:rPr>
        <w:t>городе</w:t>
      </w:r>
      <w:r w:rsidRPr="00577593">
        <w:rPr>
          <w:rFonts w:ascii="Times New Roman" w:eastAsia="Times New Roman" w:hAnsi="Times New Roman"/>
          <w:sz w:val="28"/>
          <w:szCs w:val="28"/>
        </w:rPr>
        <w:t xml:space="preserve"> уже создана.</w:t>
      </w:r>
    </w:p>
    <w:p w:rsidR="00FC41F4" w:rsidRPr="00577593" w:rsidRDefault="007F6D87" w:rsidP="008D738C">
      <w:pPr>
        <w:pStyle w:val="3"/>
        <w:pBdr>
          <w:top w:val="none" w:sz="4" w:space="0" w:color="000000"/>
          <w:left w:val="none" w:sz="4" w:space="0" w:color="000000"/>
          <w:bottom w:val="none" w:sz="4" w:space="0" w:color="000000"/>
          <w:right w:val="none" w:sz="4" w:space="0" w:color="000000"/>
        </w:pBdr>
        <w:spacing w:before="0" w:line="240" w:lineRule="auto"/>
        <w:ind w:firstLine="709"/>
        <w:jc w:val="both"/>
        <w:rPr>
          <w:rFonts w:ascii="Times New Roman" w:hAnsi="Times New Roman"/>
          <w:bCs/>
          <w:color w:val="auto"/>
          <w:sz w:val="28"/>
          <w:szCs w:val="28"/>
        </w:rPr>
      </w:pPr>
      <w:bookmarkStart w:id="501" w:name="_Toc208496740"/>
      <w:bookmarkStart w:id="502" w:name="_Toc208669022"/>
      <w:bookmarkStart w:id="503" w:name="_Toc212804374"/>
      <w:r>
        <w:rPr>
          <w:rFonts w:ascii="Times New Roman" w:eastAsia="Times New Roman" w:hAnsi="Times New Roman"/>
          <w:bCs/>
          <w:color w:val="auto"/>
          <w:sz w:val="28"/>
          <w:szCs w:val="28"/>
        </w:rPr>
        <w:t>9.3.3.2. </w:t>
      </w:r>
      <w:r w:rsidR="008925FA" w:rsidRPr="00577593">
        <w:rPr>
          <w:rFonts w:ascii="Times New Roman" w:eastAsia="Times New Roman" w:hAnsi="Times New Roman"/>
          <w:bCs/>
          <w:color w:val="auto"/>
          <w:sz w:val="28"/>
          <w:szCs w:val="28"/>
        </w:rPr>
        <w:t>Комплексное развитие дорожно-транспортной инфраструктуры города</w:t>
      </w:r>
      <w:bookmarkEnd w:id="501"/>
      <w:bookmarkEnd w:id="502"/>
      <w:bookmarkEnd w:id="503"/>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Комплексное развитие дорожно-транспортной инфраструктуры города будет включать в себя обновление и доведение дорожной инфраструктуры до нормативного состояния, строительство новых дорог и улиц, повышение связанности районов городского округа, развитие грузового каркаса. Развитие грузового каркаса потребует строительства объездных дорог (при наличии федерального, краевого или внебюджетного финансирования), расширени</w:t>
      </w:r>
      <w:r w:rsidR="004A347D" w:rsidRPr="00577593">
        <w:rPr>
          <w:rFonts w:ascii="Times New Roman" w:eastAsia="Times New Roman" w:hAnsi="Times New Roman"/>
          <w:sz w:val="28"/>
          <w:szCs w:val="28"/>
        </w:rPr>
        <w:t>я</w:t>
      </w:r>
      <w:r w:rsidRPr="00577593">
        <w:rPr>
          <w:rFonts w:ascii="Times New Roman" w:eastAsia="Times New Roman" w:hAnsi="Times New Roman"/>
          <w:sz w:val="28"/>
          <w:szCs w:val="28"/>
        </w:rPr>
        <w:t xml:space="preserve"> улично-дорожной сети внутри городской застройки в соответствии с положениями генерального плана.  Развитие транспортной инфраструктуры должно быть синхронизировано с новым жилищным строительством. Необходимо дальнейшее внедрение и развитие умной транспортной системы через оборудование новых умных светофоров, на которых будут размещаться современные дорожные контроллеры и детекторы транспорта для фиксации нарушений правил дорожного движения, метеостанции, центра обработки информации. </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Развитие дорожно-транспортной инфраструктуры будет направлено на формирование новых связей в целях разгрузки транспортной системы в центре города. Реализация мероприятий генера</w:t>
      </w:r>
      <w:r w:rsidR="00936001">
        <w:rPr>
          <w:rFonts w:ascii="Times New Roman" w:eastAsia="Times New Roman" w:hAnsi="Times New Roman"/>
          <w:sz w:val="28"/>
          <w:szCs w:val="28"/>
        </w:rPr>
        <w:t>льного плана, реконструкция ул.</w:t>
      </w:r>
      <w:r w:rsidRPr="00577593">
        <w:rPr>
          <w:rFonts w:ascii="Times New Roman" w:eastAsia="Times New Roman" w:hAnsi="Times New Roman"/>
          <w:sz w:val="28"/>
          <w:szCs w:val="28"/>
        </w:rPr>
        <w:t xml:space="preserve">Промышленной, продление Обского бульвара, строительство новой улично-дорожной </w:t>
      </w:r>
      <w:r w:rsidR="00584F00">
        <w:rPr>
          <w:rFonts w:ascii="Times New Roman" w:eastAsia="Times New Roman" w:hAnsi="Times New Roman"/>
          <w:sz w:val="28"/>
          <w:szCs w:val="28"/>
        </w:rPr>
        <w:t xml:space="preserve">сети </w:t>
      </w:r>
      <w:r w:rsidR="00936001">
        <w:rPr>
          <w:rFonts w:ascii="Times New Roman" w:eastAsia="Times New Roman" w:hAnsi="Times New Roman"/>
          <w:sz w:val="28"/>
          <w:szCs w:val="28"/>
        </w:rPr>
        <w:t>для связи ул.</w:t>
      </w:r>
      <w:r w:rsidRPr="00577593">
        <w:rPr>
          <w:rFonts w:ascii="Times New Roman" w:eastAsia="Times New Roman" w:hAnsi="Times New Roman"/>
          <w:sz w:val="28"/>
          <w:szCs w:val="28"/>
        </w:rPr>
        <w:t xml:space="preserve">Промышленной и Старого моста, строительство северного объезда через продление 9-го проезда до Старого моста, увеличит транспортную связанность и доступность территорий внутри города. </w:t>
      </w:r>
    </w:p>
    <w:p w:rsidR="00FC41F4" w:rsidRPr="00577593" w:rsidRDefault="00936001"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Pr>
          <w:rFonts w:ascii="Times New Roman" w:eastAsia="Times New Roman" w:hAnsi="Times New Roman"/>
          <w:sz w:val="28"/>
          <w:szCs w:val="28"/>
        </w:rPr>
        <w:t>Продление ул.</w:t>
      </w:r>
      <w:r w:rsidR="007F6D87">
        <w:rPr>
          <w:rFonts w:ascii="Times New Roman" w:eastAsia="Times New Roman" w:hAnsi="Times New Roman"/>
          <w:sz w:val="28"/>
          <w:szCs w:val="28"/>
        </w:rPr>
        <w:t>Георгия Исакова и соединение с</w:t>
      </w:r>
      <w:r w:rsidR="008925FA" w:rsidRPr="00577593">
        <w:rPr>
          <w:rFonts w:ascii="Times New Roman" w:eastAsia="Times New Roman" w:hAnsi="Times New Roman"/>
          <w:sz w:val="28"/>
          <w:szCs w:val="28"/>
        </w:rPr>
        <w:t xml:space="preserve"> </w:t>
      </w:r>
      <w:r w:rsidR="007F6D87" w:rsidRPr="00577593">
        <w:rPr>
          <w:rFonts w:ascii="Times New Roman" w:eastAsia="Times New Roman" w:hAnsi="Times New Roman"/>
          <w:sz w:val="28"/>
          <w:szCs w:val="28"/>
        </w:rPr>
        <w:t xml:space="preserve">проспектом </w:t>
      </w:r>
      <w:r w:rsidR="008925FA" w:rsidRPr="00577593">
        <w:rPr>
          <w:rFonts w:ascii="Times New Roman" w:eastAsia="Times New Roman" w:hAnsi="Times New Roman"/>
          <w:sz w:val="28"/>
          <w:szCs w:val="28"/>
        </w:rPr>
        <w:t>Строител</w:t>
      </w:r>
      <w:r w:rsidR="007F6D87">
        <w:rPr>
          <w:rFonts w:ascii="Times New Roman" w:eastAsia="Times New Roman" w:hAnsi="Times New Roman"/>
          <w:sz w:val="28"/>
          <w:szCs w:val="28"/>
        </w:rPr>
        <w:t>ей</w:t>
      </w:r>
      <w:r w:rsidR="008925FA" w:rsidRPr="00577593">
        <w:rPr>
          <w:rFonts w:ascii="Times New Roman" w:eastAsia="Times New Roman" w:hAnsi="Times New Roman"/>
          <w:sz w:val="28"/>
          <w:szCs w:val="28"/>
        </w:rPr>
        <w:t xml:space="preserve"> через строительство подземного туннеля под железной дорогой, планируемое при наличии финансирования, не только повысит связанность города, но и даст импульс к развитию центральных районов города.</w:t>
      </w:r>
    </w:p>
    <w:p w:rsidR="00FC41F4" w:rsidRPr="00577593" w:rsidRDefault="008925FA" w:rsidP="008D738C">
      <w:pPr>
        <w:pStyle w:val="3"/>
        <w:pBdr>
          <w:top w:val="none" w:sz="4" w:space="0" w:color="000000"/>
          <w:left w:val="none" w:sz="4" w:space="0" w:color="000000"/>
          <w:bottom w:val="none" w:sz="4" w:space="0" w:color="000000"/>
          <w:right w:val="none" w:sz="4" w:space="0" w:color="000000"/>
        </w:pBdr>
        <w:spacing w:before="0" w:line="240" w:lineRule="auto"/>
        <w:ind w:firstLine="709"/>
        <w:jc w:val="both"/>
        <w:rPr>
          <w:rFonts w:ascii="Times New Roman" w:hAnsi="Times New Roman"/>
          <w:bCs/>
          <w:color w:val="auto"/>
          <w:sz w:val="28"/>
          <w:szCs w:val="28"/>
        </w:rPr>
      </w:pPr>
      <w:bookmarkStart w:id="504" w:name="_Toc208496741"/>
      <w:bookmarkStart w:id="505" w:name="_Toc208669023"/>
      <w:bookmarkStart w:id="506" w:name="_Toc212804375"/>
      <w:r w:rsidRPr="00577593">
        <w:rPr>
          <w:rFonts w:ascii="Times New Roman" w:eastAsia="Times New Roman" w:hAnsi="Times New Roman"/>
          <w:bCs/>
          <w:color w:val="auto"/>
          <w:sz w:val="28"/>
          <w:szCs w:val="28"/>
        </w:rPr>
        <w:t>9.3.3.3. Безопасные улицы и дороги города</w:t>
      </w:r>
      <w:bookmarkEnd w:id="504"/>
      <w:bookmarkEnd w:id="505"/>
      <w:bookmarkEnd w:id="506"/>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Одним из приоритетов для </w:t>
      </w:r>
      <w:r w:rsidR="009C7BF9">
        <w:rPr>
          <w:rFonts w:ascii="Times New Roman" w:eastAsia="Times New Roman" w:hAnsi="Times New Roman"/>
          <w:sz w:val="28"/>
          <w:szCs w:val="28"/>
        </w:rPr>
        <w:t xml:space="preserve">города </w:t>
      </w:r>
      <w:r w:rsidRPr="00577593">
        <w:rPr>
          <w:rFonts w:ascii="Times New Roman" w:eastAsia="Times New Roman" w:hAnsi="Times New Roman"/>
          <w:sz w:val="28"/>
          <w:szCs w:val="28"/>
        </w:rPr>
        <w:t>Барнаула является безопасность на улицах города. В течение срока реализации Стратегии на территории городского округа будут проводиться мероприятия, направленные на повышение безопасности участников улично-дорожного движения. Комплекс мер будет включать в себя усиление контроля за соблюдением правил дорожного движения, проведение профилактических мероприятий, повышение культуры горожан, работу с детьми и подростками, обустройство специальных элементов безопасности на дорогах и улицах города, внедрение специализированных электронных систем.</w:t>
      </w:r>
    </w:p>
    <w:p w:rsidR="00FC41F4" w:rsidRPr="00577593" w:rsidRDefault="008925FA" w:rsidP="008D738C">
      <w:pPr>
        <w:pStyle w:val="3"/>
        <w:pBdr>
          <w:top w:val="none" w:sz="4" w:space="0" w:color="000000"/>
          <w:left w:val="none" w:sz="4" w:space="0" w:color="000000"/>
          <w:bottom w:val="none" w:sz="4" w:space="0" w:color="000000"/>
          <w:right w:val="none" w:sz="4" w:space="0" w:color="000000"/>
        </w:pBdr>
        <w:spacing w:before="0" w:line="240" w:lineRule="auto"/>
        <w:ind w:firstLine="709"/>
        <w:jc w:val="both"/>
        <w:rPr>
          <w:rFonts w:ascii="Times New Roman" w:hAnsi="Times New Roman"/>
          <w:b/>
          <w:bCs/>
          <w:color w:val="auto"/>
          <w:sz w:val="28"/>
          <w:szCs w:val="28"/>
        </w:rPr>
      </w:pPr>
      <w:bookmarkStart w:id="507" w:name="_Toc208496742"/>
      <w:bookmarkStart w:id="508" w:name="_Toc208669024"/>
      <w:bookmarkStart w:id="509" w:name="_Toc212804376"/>
      <w:r w:rsidRPr="00577593">
        <w:rPr>
          <w:rFonts w:ascii="Times New Roman" w:eastAsia="Times New Roman" w:hAnsi="Times New Roman"/>
          <w:b/>
          <w:bCs/>
          <w:color w:val="auto"/>
          <w:sz w:val="28"/>
          <w:szCs w:val="28"/>
        </w:rPr>
        <w:t>9.3.4</w:t>
      </w:r>
      <w:r w:rsidR="00584F00">
        <w:rPr>
          <w:rFonts w:ascii="Times New Roman" w:eastAsia="Times New Roman" w:hAnsi="Times New Roman"/>
          <w:b/>
          <w:bCs/>
          <w:color w:val="auto"/>
          <w:sz w:val="28"/>
          <w:szCs w:val="28"/>
        </w:rPr>
        <w:t>.</w:t>
      </w:r>
      <w:r w:rsidRPr="00577593">
        <w:rPr>
          <w:rFonts w:ascii="Times New Roman" w:eastAsia="Times New Roman" w:hAnsi="Times New Roman"/>
          <w:b/>
          <w:bCs/>
          <w:color w:val="auto"/>
          <w:sz w:val="28"/>
          <w:szCs w:val="28"/>
        </w:rPr>
        <w:t xml:space="preserve"> Благоустройство</w:t>
      </w:r>
      <w:bookmarkEnd w:id="507"/>
      <w:bookmarkEnd w:id="508"/>
      <w:bookmarkEnd w:id="509"/>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В рамках национальной цели развития Российской Федерации </w:t>
      </w:r>
      <w:r w:rsidR="00A91267" w:rsidRPr="00577593">
        <w:rPr>
          <w:rFonts w:ascii="Times New Roman" w:eastAsia="Times New Roman" w:hAnsi="Times New Roman"/>
          <w:sz w:val="28"/>
          <w:szCs w:val="28"/>
        </w:rPr>
        <w:br/>
      </w:r>
      <w:r w:rsidRPr="00577593">
        <w:rPr>
          <w:rFonts w:ascii="Times New Roman" w:eastAsia="Times New Roman" w:hAnsi="Times New Roman"/>
          <w:sz w:val="28"/>
          <w:szCs w:val="28"/>
        </w:rPr>
        <w:t>на период до 2030 года и на перспективу до 2036 года «Комфортная и безопасная среда для жизни» определен следующий целевой показатель:</w:t>
      </w:r>
    </w:p>
    <w:p w:rsidR="00FC41F4" w:rsidRPr="00577593" w:rsidRDefault="00584F00" w:rsidP="00584F00">
      <w:pPr>
        <w:pStyle w:val="af5"/>
        <w:pBdr>
          <w:top w:val="none" w:sz="4" w:space="0" w:color="000000"/>
          <w:left w:val="none" w:sz="4" w:space="0" w:color="000000"/>
          <w:bottom w:val="none" w:sz="4" w:space="0" w:color="000000"/>
          <w:right w:val="none" w:sz="4" w:space="0" w:color="000000"/>
        </w:pBdr>
        <w:tabs>
          <w:tab w:val="left" w:pos="993"/>
        </w:tabs>
        <w:spacing w:after="0" w:line="240" w:lineRule="auto"/>
        <w:ind w:left="709"/>
        <w:jc w:val="both"/>
        <w:rPr>
          <w:rFonts w:ascii="Times New Roman" w:eastAsia="Times New Roman" w:hAnsi="Times New Roman"/>
          <w:sz w:val="28"/>
          <w:szCs w:val="28"/>
        </w:rPr>
      </w:pPr>
      <w:r w:rsidRPr="00584F00">
        <w:rPr>
          <w:rFonts w:ascii="Times New Roman" w:eastAsia="Times New Roman" w:hAnsi="Times New Roman"/>
          <w:sz w:val="28"/>
          <w:szCs w:val="28"/>
        </w:rPr>
        <w:lastRenderedPageBreak/>
        <w:t>– </w:t>
      </w:r>
      <w:r w:rsidR="00E92646" w:rsidRPr="00577593">
        <w:rPr>
          <w:rFonts w:ascii="Times New Roman" w:eastAsia="Times New Roman" w:hAnsi="Times New Roman"/>
          <w:sz w:val="28"/>
          <w:szCs w:val="28"/>
        </w:rPr>
        <w:t>б</w:t>
      </w:r>
      <w:r w:rsidR="008925FA" w:rsidRPr="00577593">
        <w:rPr>
          <w:rFonts w:ascii="Times New Roman" w:eastAsia="Times New Roman" w:hAnsi="Times New Roman"/>
          <w:sz w:val="28"/>
          <w:szCs w:val="28"/>
        </w:rPr>
        <w:t>лагоустройство не менее чем 30 тыс. общественных территорий.</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В Стратегии социально-экономического развития Алтайского края </w:t>
      </w:r>
      <w:r w:rsidR="00A91267" w:rsidRPr="00577593">
        <w:rPr>
          <w:rFonts w:ascii="Times New Roman" w:eastAsia="Times New Roman" w:hAnsi="Times New Roman"/>
          <w:sz w:val="28"/>
          <w:szCs w:val="28"/>
        </w:rPr>
        <w:br/>
      </w:r>
      <w:r w:rsidRPr="00577593">
        <w:rPr>
          <w:rFonts w:ascii="Times New Roman" w:eastAsia="Times New Roman" w:hAnsi="Times New Roman"/>
          <w:sz w:val="28"/>
          <w:szCs w:val="28"/>
        </w:rPr>
        <w:t>до 2035 года определена следующая задача:</w:t>
      </w:r>
    </w:p>
    <w:p w:rsidR="00FC41F4" w:rsidRPr="00577593" w:rsidRDefault="00584F00" w:rsidP="00584F00">
      <w:pPr>
        <w:pStyle w:val="af5"/>
        <w:pBdr>
          <w:top w:val="none" w:sz="4" w:space="0" w:color="000000"/>
          <w:left w:val="none" w:sz="4" w:space="0" w:color="000000"/>
          <w:bottom w:val="none" w:sz="4" w:space="0" w:color="000000"/>
          <w:right w:val="none" w:sz="4" w:space="0" w:color="000000"/>
        </w:pBdr>
        <w:tabs>
          <w:tab w:val="left" w:pos="993"/>
        </w:tabs>
        <w:spacing w:after="0" w:line="240" w:lineRule="auto"/>
        <w:ind w:left="0" w:firstLine="709"/>
        <w:jc w:val="both"/>
        <w:rPr>
          <w:rFonts w:ascii="Times New Roman" w:eastAsia="Times New Roman" w:hAnsi="Times New Roman"/>
          <w:sz w:val="28"/>
          <w:szCs w:val="28"/>
        </w:rPr>
      </w:pPr>
      <w:r w:rsidRPr="00584F00">
        <w:rPr>
          <w:rFonts w:ascii="Times New Roman" w:eastAsia="Times New Roman" w:hAnsi="Times New Roman"/>
          <w:sz w:val="28"/>
          <w:szCs w:val="28"/>
        </w:rPr>
        <w:t>– </w:t>
      </w:r>
      <w:r w:rsidR="00E92646" w:rsidRPr="00577593">
        <w:rPr>
          <w:rFonts w:ascii="Times New Roman" w:eastAsia="Times New Roman" w:hAnsi="Times New Roman"/>
          <w:sz w:val="28"/>
          <w:szCs w:val="28"/>
        </w:rPr>
        <w:t>с</w:t>
      </w:r>
      <w:r w:rsidR="008925FA" w:rsidRPr="00577593">
        <w:rPr>
          <w:rFonts w:ascii="Times New Roman" w:eastAsia="Times New Roman" w:hAnsi="Times New Roman"/>
          <w:sz w:val="28"/>
          <w:szCs w:val="28"/>
        </w:rPr>
        <w:t>оздание комфортных условий проживания и обеспечение населения качественными жилищно-коммунальными услугами на всей территории края.</w:t>
      </w:r>
    </w:p>
    <w:p w:rsidR="00536D85" w:rsidRPr="00577593" w:rsidRDefault="00536D85" w:rsidP="00584F00">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Направления реализации задачи «</w:t>
      </w:r>
      <w:r w:rsidR="009D3302" w:rsidRPr="00577593">
        <w:rPr>
          <w:rFonts w:ascii="Times New Roman" w:eastAsia="Times New Roman" w:hAnsi="Times New Roman"/>
          <w:bCs/>
          <w:sz w:val="28"/>
          <w:szCs w:val="28"/>
        </w:rPr>
        <w:t>Благоустройство</w:t>
      </w:r>
      <w:r w:rsidRPr="00577593">
        <w:rPr>
          <w:rFonts w:ascii="Times New Roman" w:eastAsia="Times New Roman" w:hAnsi="Times New Roman"/>
          <w:sz w:val="28"/>
          <w:szCs w:val="28"/>
        </w:rPr>
        <w:t>»</w:t>
      </w:r>
      <w:r w:rsidR="009D3302" w:rsidRPr="00577593">
        <w:rPr>
          <w:rFonts w:ascii="Times New Roman" w:eastAsia="Times New Roman" w:hAnsi="Times New Roman"/>
          <w:sz w:val="28"/>
          <w:szCs w:val="28"/>
        </w:rPr>
        <w:t xml:space="preserve"> </w:t>
      </w:r>
      <w:r w:rsidRPr="00577593">
        <w:rPr>
          <w:rFonts w:ascii="Times New Roman" w:eastAsia="Times New Roman" w:hAnsi="Times New Roman"/>
          <w:sz w:val="28"/>
          <w:szCs w:val="28"/>
        </w:rPr>
        <w:t>в городе Барнауле:</w:t>
      </w:r>
    </w:p>
    <w:p w:rsidR="009D3302" w:rsidRPr="00577593" w:rsidRDefault="00584F00" w:rsidP="00584F00">
      <w:pPr>
        <w:spacing w:after="0" w:line="240" w:lineRule="auto"/>
        <w:ind w:firstLine="709"/>
        <w:jc w:val="both"/>
        <w:rPr>
          <w:rFonts w:ascii="Times New Roman" w:eastAsia="Times New Roman" w:hAnsi="Times New Roman"/>
          <w:sz w:val="28"/>
          <w:szCs w:val="28"/>
        </w:rPr>
      </w:pPr>
      <w:r w:rsidRPr="00584F00">
        <w:rPr>
          <w:rFonts w:ascii="Times New Roman" w:eastAsia="Times New Roman" w:hAnsi="Times New Roman"/>
          <w:bCs/>
          <w:sz w:val="28"/>
          <w:szCs w:val="28"/>
        </w:rPr>
        <w:t>– </w:t>
      </w:r>
      <w:r w:rsidRPr="00577593">
        <w:rPr>
          <w:rFonts w:ascii="Times New Roman" w:eastAsia="Times New Roman" w:hAnsi="Times New Roman"/>
          <w:bCs/>
          <w:sz w:val="28"/>
          <w:szCs w:val="28"/>
        </w:rPr>
        <w:t>развитие единого природно-рекреационного каркаса города;</w:t>
      </w:r>
    </w:p>
    <w:p w:rsidR="009D3302" w:rsidRPr="00577593" w:rsidRDefault="00584F00" w:rsidP="00584F00">
      <w:pPr>
        <w:spacing w:after="0" w:line="240" w:lineRule="auto"/>
        <w:ind w:firstLine="709"/>
        <w:jc w:val="both"/>
        <w:rPr>
          <w:rFonts w:ascii="Times New Roman" w:eastAsia="Times New Roman" w:hAnsi="Times New Roman"/>
          <w:sz w:val="28"/>
          <w:szCs w:val="28"/>
        </w:rPr>
      </w:pPr>
      <w:r w:rsidRPr="00584F00">
        <w:rPr>
          <w:rFonts w:ascii="Times New Roman" w:eastAsia="Times New Roman" w:hAnsi="Times New Roman"/>
          <w:bCs/>
          <w:sz w:val="28"/>
          <w:szCs w:val="28"/>
        </w:rPr>
        <w:t>– </w:t>
      </w:r>
      <w:r>
        <w:rPr>
          <w:rFonts w:ascii="Times New Roman" w:eastAsia="Times New Roman" w:hAnsi="Times New Roman"/>
          <w:bCs/>
          <w:sz w:val="28"/>
          <w:szCs w:val="28"/>
        </w:rPr>
        <w:t>б</w:t>
      </w:r>
      <w:r w:rsidRPr="00577593">
        <w:rPr>
          <w:rFonts w:ascii="Times New Roman" w:eastAsia="Times New Roman" w:hAnsi="Times New Roman"/>
          <w:bCs/>
          <w:sz w:val="28"/>
          <w:szCs w:val="28"/>
        </w:rPr>
        <w:t>лагоустройство территорий массовой жилой застройки;</w:t>
      </w:r>
    </w:p>
    <w:p w:rsidR="009D3302" w:rsidRPr="00577593" w:rsidRDefault="00584F00" w:rsidP="00584F00">
      <w:pPr>
        <w:spacing w:after="0" w:line="240" w:lineRule="auto"/>
        <w:ind w:firstLine="709"/>
        <w:jc w:val="both"/>
        <w:rPr>
          <w:rFonts w:ascii="Times New Roman" w:eastAsia="Times New Roman" w:hAnsi="Times New Roman"/>
          <w:sz w:val="28"/>
          <w:szCs w:val="28"/>
        </w:rPr>
      </w:pPr>
      <w:r w:rsidRPr="00584F00">
        <w:rPr>
          <w:rFonts w:ascii="Times New Roman" w:eastAsia="Times New Roman" w:hAnsi="Times New Roman"/>
          <w:bCs/>
          <w:sz w:val="28"/>
          <w:szCs w:val="28"/>
        </w:rPr>
        <w:t>– </w:t>
      </w:r>
      <w:r w:rsidRPr="00577593">
        <w:rPr>
          <w:rFonts w:ascii="Times New Roman" w:eastAsia="Times New Roman" w:hAnsi="Times New Roman"/>
          <w:bCs/>
          <w:sz w:val="28"/>
          <w:szCs w:val="28"/>
        </w:rPr>
        <w:t>благоустройство исторического центра и клю</w:t>
      </w:r>
      <w:r w:rsidR="00017944">
        <w:rPr>
          <w:rFonts w:ascii="Times New Roman" w:eastAsia="Times New Roman" w:hAnsi="Times New Roman"/>
          <w:bCs/>
          <w:sz w:val="28"/>
          <w:szCs w:val="28"/>
        </w:rPr>
        <w:t>чевых общественных пространств города Б</w:t>
      </w:r>
      <w:r w:rsidRPr="00577593">
        <w:rPr>
          <w:rFonts w:ascii="Times New Roman" w:eastAsia="Times New Roman" w:hAnsi="Times New Roman"/>
          <w:bCs/>
          <w:sz w:val="28"/>
          <w:szCs w:val="28"/>
        </w:rPr>
        <w:t>арнаула;</w:t>
      </w:r>
    </w:p>
    <w:p w:rsidR="009D3302" w:rsidRPr="00577593" w:rsidRDefault="00584F00" w:rsidP="00584F00">
      <w:pPr>
        <w:spacing w:after="0" w:line="240" w:lineRule="auto"/>
        <w:ind w:firstLine="709"/>
        <w:jc w:val="both"/>
        <w:rPr>
          <w:rFonts w:ascii="Times New Roman" w:eastAsia="Times New Roman" w:hAnsi="Times New Roman"/>
          <w:sz w:val="28"/>
          <w:szCs w:val="28"/>
        </w:rPr>
      </w:pPr>
      <w:r w:rsidRPr="00584F00">
        <w:rPr>
          <w:rFonts w:ascii="Times New Roman" w:eastAsia="Times New Roman" w:hAnsi="Times New Roman"/>
          <w:bCs/>
          <w:sz w:val="28"/>
          <w:szCs w:val="28"/>
        </w:rPr>
        <w:t>– </w:t>
      </w:r>
      <w:r w:rsidRPr="00577593">
        <w:rPr>
          <w:rFonts w:ascii="Times New Roman" w:eastAsia="Times New Roman" w:hAnsi="Times New Roman"/>
          <w:bCs/>
          <w:sz w:val="28"/>
          <w:szCs w:val="28"/>
        </w:rPr>
        <w:t>создание лесопарковой зоны;</w:t>
      </w:r>
    </w:p>
    <w:p w:rsidR="009D3302" w:rsidRPr="00577593" w:rsidRDefault="00584F00" w:rsidP="00584F00">
      <w:pPr>
        <w:spacing w:after="0" w:line="240" w:lineRule="auto"/>
        <w:ind w:firstLine="709"/>
        <w:jc w:val="both"/>
        <w:rPr>
          <w:rFonts w:ascii="Times New Roman" w:eastAsia="Times New Roman" w:hAnsi="Times New Roman"/>
          <w:sz w:val="28"/>
          <w:szCs w:val="28"/>
        </w:rPr>
      </w:pPr>
      <w:r w:rsidRPr="00584F00">
        <w:rPr>
          <w:rFonts w:ascii="Times New Roman" w:eastAsia="Times New Roman" w:hAnsi="Times New Roman"/>
          <w:bCs/>
          <w:sz w:val="28"/>
          <w:szCs w:val="28"/>
        </w:rPr>
        <w:t>– </w:t>
      </w:r>
      <w:r w:rsidRPr="00577593">
        <w:rPr>
          <w:rFonts w:ascii="Times New Roman" w:eastAsia="Times New Roman" w:hAnsi="Times New Roman"/>
          <w:bCs/>
          <w:sz w:val="28"/>
          <w:szCs w:val="28"/>
        </w:rPr>
        <w:t>формирование сети велодорожек;</w:t>
      </w:r>
    </w:p>
    <w:p w:rsidR="00FC41F4" w:rsidRPr="00577593" w:rsidRDefault="00584F00" w:rsidP="00584F00">
      <w:pPr>
        <w:spacing w:after="0" w:line="240" w:lineRule="auto"/>
        <w:ind w:firstLine="709"/>
        <w:jc w:val="both"/>
        <w:rPr>
          <w:rFonts w:ascii="Times New Roman" w:eastAsia="Times New Roman" w:hAnsi="Times New Roman"/>
          <w:sz w:val="28"/>
          <w:szCs w:val="28"/>
        </w:rPr>
      </w:pPr>
      <w:r w:rsidRPr="00584F00">
        <w:rPr>
          <w:rFonts w:ascii="Times New Roman" w:eastAsia="Times New Roman" w:hAnsi="Times New Roman"/>
          <w:bCs/>
          <w:sz w:val="28"/>
          <w:szCs w:val="28"/>
        </w:rPr>
        <w:t>– </w:t>
      </w:r>
      <w:r w:rsidRPr="00577593">
        <w:rPr>
          <w:rFonts w:ascii="Times New Roman" w:eastAsia="Times New Roman" w:hAnsi="Times New Roman"/>
          <w:bCs/>
          <w:sz w:val="28"/>
          <w:szCs w:val="28"/>
        </w:rPr>
        <w:t>целевое использование программ благоустройства как инструмента развития кадровой базы города.</w:t>
      </w:r>
    </w:p>
    <w:p w:rsidR="00FC41F4" w:rsidRPr="00577593" w:rsidRDefault="008925FA" w:rsidP="008D738C">
      <w:pPr>
        <w:pStyle w:val="3"/>
        <w:pBdr>
          <w:top w:val="none" w:sz="4" w:space="0" w:color="000000"/>
          <w:left w:val="none" w:sz="4" w:space="0" w:color="000000"/>
          <w:bottom w:val="none" w:sz="4" w:space="0" w:color="000000"/>
          <w:right w:val="none" w:sz="4" w:space="0" w:color="000000"/>
        </w:pBdr>
        <w:spacing w:before="0" w:line="240" w:lineRule="auto"/>
        <w:ind w:firstLine="709"/>
        <w:jc w:val="both"/>
        <w:rPr>
          <w:rFonts w:ascii="Times New Roman" w:hAnsi="Times New Roman"/>
          <w:bCs/>
          <w:color w:val="auto"/>
          <w:sz w:val="28"/>
          <w:szCs w:val="28"/>
        </w:rPr>
      </w:pPr>
      <w:bookmarkStart w:id="510" w:name="_Toc208496743"/>
      <w:bookmarkStart w:id="511" w:name="_Toc208669025"/>
      <w:bookmarkStart w:id="512" w:name="_Toc212804377"/>
      <w:r w:rsidRPr="00577593">
        <w:rPr>
          <w:rFonts w:ascii="Times New Roman" w:eastAsia="Times New Roman" w:hAnsi="Times New Roman"/>
          <w:bCs/>
          <w:color w:val="auto"/>
          <w:sz w:val="28"/>
          <w:szCs w:val="28"/>
        </w:rPr>
        <w:t>9.3.4.1</w:t>
      </w:r>
      <w:r w:rsidR="00584F00">
        <w:rPr>
          <w:rFonts w:ascii="Times New Roman" w:eastAsia="Times New Roman" w:hAnsi="Times New Roman"/>
          <w:bCs/>
          <w:color w:val="auto"/>
          <w:sz w:val="28"/>
          <w:szCs w:val="28"/>
        </w:rPr>
        <w:t>.</w:t>
      </w:r>
      <w:r w:rsidRPr="00577593">
        <w:rPr>
          <w:rFonts w:ascii="Times New Roman" w:eastAsia="Times New Roman" w:hAnsi="Times New Roman"/>
          <w:bCs/>
          <w:color w:val="auto"/>
          <w:sz w:val="28"/>
          <w:szCs w:val="28"/>
        </w:rPr>
        <w:t xml:space="preserve"> Развитие единого природно-рекреационного каркаса города</w:t>
      </w:r>
      <w:bookmarkEnd w:id="510"/>
      <w:bookmarkEnd w:id="511"/>
      <w:bookmarkEnd w:id="512"/>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Современный город можно разложить на несколько слоев или сред </w:t>
      </w:r>
      <w:r w:rsidR="00D53DC9" w:rsidRPr="00577593">
        <w:rPr>
          <w:rFonts w:ascii="Times New Roman" w:eastAsia="Times New Roman" w:hAnsi="Times New Roman"/>
          <w:sz w:val="28"/>
          <w:szCs w:val="28"/>
        </w:rPr>
        <w:t>–</w:t>
      </w:r>
      <w:r w:rsidRPr="00577593">
        <w:rPr>
          <w:rFonts w:ascii="Times New Roman" w:eastAsia="Times New Roman" w:hAnsi="Times New Roman"/>
          <w:sz w:val="28"/>
          <w:szCs w:val="28"/>
        </w:rPr>
        <w:t xml:space="preserve"> это зеленая основа города, водная основа, сенсорная среда, социальный каркас, пространства для активностей (спорта) и игр для детей и взрослых. Одно из преимуществ </w:t>
      </w:r>
      <w:r w:rsidR="00584F00">
        <w:rPr>
          <w:rFonts w:ascii="Times New Roman" w:eastAsia="Times New Roman" w:hAnsi="Times New Roman"/>
          <w:sz w:val="28"/>
          <w:szCs w:val="28"/>
        </w:rPr>
        <w:t xml:space="preserve">города </w:t>
      </w:r>
      <w:r w:rsidRPr="00577593">
        <w:rPr>
          <w:rFonts w:ascii="Times New Roman" w:eastAsia="Times New Roman" w:hAnsi="Times New Roman"/>
          <w:sz w:val="28"/>
          <w:szCs w:val="28"/>
        </w:rPr>
        <w:t xml:space="preserve">Барнаула заключается в наличии таких сред и их разнообразии. </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Городская политика в данном направлении должна не просто быть ориентированной на поддержани</w:t>
      </w:r>
      <w:r w:rsidR="004A347D" w:rsidRPr="00577593">
        <w:rPr>
          <w:rFonts w:ascii="Times New Roman" w:eastAsia="Times New Roman" w:hAnsi="Times New Roman"/>
          <w:sz w:val="28"/>
          <w:szCs w:val="28"/>
        </w:rPr>
        <w:t>е</w:t>
      </w:r>
      <w:r w:rsidRPr="00577593">
        <w:rPr>
          <w:rFonts w:ascii="Times New Roman" w:eastAsia="Times New Roman" w:hAnsi="Times New Roman"/>
          <w:sz w:val="28"/>
          <w:szCs w:val="28"/>
        </w:rPr>
        <w:t xml:space="preserve"> объектов природно-рекреационного каркаса, но и использовать их синергетический потенциал. У горожан должен быть выбор и обеспечена доступность до разных природно-рекреационных объектов в зависимости от их социально-демографических характеристик и образа жизни, времени года и погодных условий. Такая инфраструктура должна обеспечивать отдых, восстановление и занятия любительским спортом; снижать влияние негативных факторов проживания в городской среде.</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К благоустройству общественных и придомовых территорий и развитию природно-рекреационного каркаса города необходимо подходить на научной основе с опорой на единую организационную структуру в виде городской парковой службы (дирекции), которая будет заниматься управлением озелененными территориями. Следует осуществлять планирование развития территорий зеленого фонда города на основе отраслевой схемы.</w:t>
      </w:r>
    </w:p>
    <w:p w:rsidR="00FC41F4" w:rsidRPr="00577593" w:rsidRDefault="008925FA" w:rsidP="008D738C">
      <w:pPr>
        <w:pStyle w:val="3"/>
        <w:pBdr>
          <w:top w:val="none" w:sz="4" w:space="0" w:color="000000"/>
          <w:left w:val="none" w:sz="4" w:space="0" w:color="000000"/>
          <w:bottom w:val="none" w:sz="4" w:space="0" w:color="000000"/>
          <w:right w:val="none" w:sz="4" w:space="0" w:color="000000"/>
        </w:pBdr>
        <w:spacing w:before="0" w:line="240" w:lineRule="auto"/>
        <w:ind w:firstLine="709"/>
        <w:jc w:val="both"/>
        <w:rPr>
          <w:rFonts w:ascii="Times New Roman" w:hAnsi="Times New Roman"/>
          <w:bCs/>
          <w:color w:val="auto"/>
          <w:sz w:val="28"/>
          <w:szCs w:val="28"/>
        </w:rPr>
      </w:pPr>
      <w:bookmarkStart w:id="513" w:name="_Toc208496744"/>
      <w:bookmarkStart w:id="514" w:name="_Toc208669026"/>
      <w:bookmarkStart w:id="515" w:name="_Toc212804378"/>
      <w:r w:rsidRPr="00577593">
        <w:rPr>
          <w:rFonts w:ascii="Times New Roman" w:eastAsia="Times New Roman" w:hAnsi="Times New Roman"/>
          <w:bCs/>
          <w:color w:val="auto"/>
          <w:sz w:val="28"/>
          <w:szCs w:val="28"/>
        </w:rPr>
        <w:t>9.3.4.2</w:t>
      </w:r>
      <w:r w:rsidR="00584F00">
        <w:rPr>
          <w:rFonts w:ascii="Times New Roman" w:eastAsia="Times New Roman" w:hAnsi="Times New Roman"/>
          <w:bCs/>
          <w:color w:val="auto"/>
          <w:sz w:val="28"/>
          <w:szCs w:val="28"/>
        </w:rPr>
        <w:t>.</w:t>
      </w:r>
      <w:r w:rsidRPr="00577593">
        <w:rPr>
          <w:rFonts w:ascii="Times New Roman" w:eastAsia="Times New Roman" w:hAnsi="Times New Roman"/>
          <w:bCs/>
          <w:color w:val="auto"/>
          <w:sz w:val="28"/>
          <w:szCs w:val="28"/>
        </w:rPr>
        <w:t xml:space="preserve"> Благоустройство территорий массовой жилой застройки</w:t>
      </w:r>
      <w:bookmarkEnd w:id="513"/>
      <w:bookmarkEnd w:id="514"/>
      <w:bookmarkEnd w:id="515"/>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Необходимо продолжать повышать уровень благоустройства дворовых территорий и общественных территорий в зонах массовой жилой застройки. Важно благоустраивать не только центральную часть города, но </w:t>
      </w:r>
      <w:r w:rsidR="004A347D" w:rsidRPr="00577593">
        <w:rPr>
          <w:rFonts w:ascii="Times New Roman" w:eastAsia="Times New Roman" w:hAnsi="Times New Roman"/>
          <w:sz w:val="28"/>
          <w:szCs w:val="28"/>
        </w:rPr>
        <w:br/>
        <w:t xml:space="preserve">и </w:t>
      </w:r>
      <w:r w:rsidRPr="00577593">
        <w:rPr>
          <w:rFonts w:ascii="Times New Roman" w:eastAsia="Times New Roman" w:hAnsi="Times New Roman"/>
          <w:sz w:val="28"/>
          <w:szCs w:val="28"/>
        </w:rPr>
        <w:t xml:space="preserve">пространства основного места проживания барнаульцев. Нужно стремиться к тому, чтобы качество городской среды и уровень благоустройства были равными во всех районах города. Требуется </w:t>
      </w:r>
      <w:r w:rsidRPr="00577593">
        <w:rPr>
          <w:rFonts w:ascii="Times New Roman" w:eastAsia="Times New Roman" w:hAnsi="Times New Roman"/>
          <w:sz w:val="28"/>
          <w:szCs w:val="28"/>
        </w:rPr>
        <w:lastRenderedPageBreak/>
        <w:t>повышать озелененность города, особенно в новых жилых кварталах, поддерживать в надлежащем и качественном состоянии зеленые насаждения, увеличивать разнообразие форм благоустройства и их доступность, обеспечивать освещенность улиц и дорог города в вечерние и ночное время, поддерживать в технически исправном состоянии объекты водного хозяйства. В городе планируется проводить мероприятия по снижению негативного воздействия человеческой деятельности на экологию города.</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Важно вовлекать горожан в процессы планирования благоустройства и формирования комфортной городской среды. </w:t>
      </w:r>
    </w:p>
    <w:p w:rsidR="00FC41F4" w:rsidRPr="00577593" w:rsidRDefault="008925FA" w:rsidP="008D738C">
      <w:pPr>
        <w:pStyle w:val="3"/>
        <w:pBdr>
          <w:top w:val="none" w:sz="4" w:space="0" w:color="000000"/>
          <w:left w:val="none" w:sz="4" w:space="0" w:color="000000"/>
          <w:bottom w:val="none" w:sz="4" w:space="0" w:color="000000"/>
          <w:right w:val="none" w:sz="4" w:space="0" w:color="000000"/>
        </w:pBdr>
        <w:spacing w:before="0" w:line="240" w:lineRule="auto"/>
        <w:ind w:firstLine="709"/>
        <w:jc w:val="both"/>
        <w:rPr>
          <w:rFonts w:ascii="Times New Roman" w:hAnsi="Times New Roman"/>
          <w:bCs/>
          <w:color w:val="auto"/>
          <w:sz w:val="28"/>
          <w:szCs w:val="28"/>
        </w:rPr>
      </w:pPr>
      <w:bookmarkStart w:id="516" w:name="_Toc208496745"/>
      <w:bookmarkStart w:id="517" w:name="_Toc208669027"/>
      <w:bookmarkStart w:id="518" w:name="_Toc212804379"/>
      <w:r w:rsidRPr="00577593">
        <w:rPr>
          <w:rFonts w:ascii="Times New Roman" w:eastAsia="Times New Roman" w:hAnsi="Times New Roman"/>
          <w:bCs/>
          <w:color w:val="auto"/>
          <w:sz w:val="28"/>
          <w:szCs w:val="28"/>
        </w:rPr>
        <w:t>9.3.4.3</w:t>
      </w:r>
      <w:r w:rsidR="00584F00">
        <w:rPr>
          <w:rFonts w:ascii="Times New Roman" w:eastAsia="Times New Roman" w:hAnsi="Times New Roman"/>
          <w:bCs/>
          <w:color w:val="auto"/>
          <w:sz w:val="28"/>
          <w:szCs w:val="28"/>
        </w:rPr>
        <w:t>.</w:t>
      </w:r>
      <w:r w:rsidRPr="00577593">
        <w:rPr>
          <w:rFonts w:ascii="Times New Roman" w:eastAsia="Times New Roman" w:hAnsi="Times New Roman"/>
          <w:bCs/>
          <w:color w:val="auto"/>
          <w:sz w:val="28"/>
          <w:szCs w:val="28"/>
        </w:rPr>
        <w:t xml:space="preserve"> Благоустройство исторического центра и ключевых общественных пространств </w:t>
      </w:r>
      <w:r w:rsidR="00017944">
        <w:rPr>
          <w:rFonts w:ascii="Times New Roman" w:eastAsia="Times New Roman" w:hAnsi="Times New Roman"/>
          <w:bCs/>
          <w:color w:val="auto"/>
          <w:sz w:val="28"/>
          <w:szCs w:val="28"/>
        </w:rPr>
        <w:t xml:space="preserve">города </w:t>
      </w:r>
      <w:r w:rsidRPr="00577593">
        <w:rPr>
          <w:rFonts w:ascii="Times New Roman" w:eastAsia="Times New Roman" w:hAnsi="Times New Roman"/>
          <w:bCs/>
          <w:color w:val="auto"/>
          <w:sz w:val="28"/>
          <w:szCs w:val="28"/>
        </w:rPr>
        <w:t>Барнаула</w:t>
      </w:r>
      <w:bookmarkEnd w:id="516"/>
      <w:bookmarkEnd w:id="517"/>
      <w:bookmarkEnd w:id="518"/>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Исторический центр </w:t>
      </w:r>
      <w:r w:rsidR="00017944">
        <w:rPr>
          <w:rFonts w:ascii="Times New Roman" w:eastAsia="Times New Roman" w:hAnsi="Times New Roman"/>
          <w:sz w:val="28"/>
          <w:szCs w:val="28"/>
        </w:rPr>
        <w:t xml:space="preserve">города </w:t>
      </w:r>
      <w:r w:rsidRPr="00577593">
        <w:rPr>
          <w:rFonts w:ascii="Times New Roman" w:eastAsia="Times New Roman" w:hAnsi="Times New Roman"/>
          <w:sz w:val="28"/>
          <w:szCs w:val="28"/>
        </w:rPr>
        <w:t xml:space="preserve">Барнаула </w:t>
      </w:r>
      <w:r w:rsidR="00D53DC9" w:rsidRPr="00577593">
        <w:rPr>
          <w:rFonts w:ascii="Times New Roman" w:eastAsia="Times New Roman" w:hAnsi="Times New Roman"/>
          <w:sz w:val="28"/>
          <w:szCs w:val="28"/>
        </w:rPr>
        <w:t>–</w:t>
      </w:r>
      <w:r w:rsidRPr="00577593">
        <w:rPr>
          <w:rFonts w:ascii="Times New Roman" w:eastAsia="Times New Roman" w:hAnsi="Times New Roman"/>
          <w:sz w:val="28"/>
          <w:szCs w:val="28"/>
        </w:rPr>
        <w:t xml:space="preserve"> это жемчужина города. Его благоустройство должно быть связано со стратегией развития туризма, градостроительной, экономической и культурной политиками. Существующая система общественных пространств отличается неравномерностью, что создает дисбаланс в распределении активности по территории города. Формирование новых общественных пространств в развивающихся и уже застроенных районах города снизит нагрузку на центральную часть </w:t>
      </w:r>
      <w:r w:rsidR="00017944">
        <w:rPr>
          <w:rFonts w:ascii="Times New Roman" w:eastAsia="Times New Roman" w:hAnsi="Times New Roman"/>
          <w:sz w:val="28"/>
          <w:szCs w:val="28"/>
        </w:rPr>
        <w:t xml:space="preserve">города </w:t>
      </w:r>
      <w:r w:rsidRPr="00577593">
        <w:rPr>
          <w:rFonts w:ascii="Times New Roman" w:eastAsia="Times New Roman" w:hAnsi="Times New Roman"/>
          <w:sz w:val="28"/>
          <w:szCs w:val="28"/>
        </w:rPr>
        <w:t xml:space="preserve">Барнаула из-за перераспределения спроса со стороны горожан на развитую городскую среду. Успешная реализация данных направлений позволит создать в </w:t>
      </w:r>
      <w:r w:rsidR="00017944">
        <w:rPr>
          <w:rFonts w:ascii="Times New Roman" w:eastAsia="Times New Roman" w:hAnsi="Times New Roman"/>
          <w:sz w:val="28"/>
          <w:szCs w:val="28"/>
        </w:rPr>
        <w:t>город</w:t>
      </w:r>
      <w:r w:rsidRPr="00577593">
        <w:rPr>
          <w:rFonts w:ascii="Times New Roman" w:eastAsia="Times New Roman" w:hAnsi="Times New Roman"/>
          <w:sz w:val="28"/>
          <w:szCs w:val="28"/>
        </w:rPr>
        <w:t xml:space="preserve">е современную систему общественных пространств, отвечающую потребностям жителей и способствующую устойчивому развитию города. </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Необходимо привлекать частных инвесторов для реализации проектов благоустройства, в том числе на основе МЧП/ГЧП. Развитие общественных пространств города возможно только при взаимодействии, сотрудничестве и партнерстве всех заинтересованных сторон: городских и региональных властей, бизнеса, городского сообщества и горожан.</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Следует придерживаться стратегии повышения разнообразия форм благоустройства и видов общественных пространств и территорий.</w:t>
      </w:r>
    </w:p>
    <w:p w:rsidR="00FC41F4" w:rsidRPr="00577593" w:rsidRDefault="008925FA" w:rsidP="008D738C">
      <w:pPr>
        <w:pStyle w:val="3"/>
        <w:pBdr>
          <w:top w:val="none" w:sz="4" w:space="0" w:color="000000"/>
          <w:left w:val="none" w:sz="4" w:space="0" w:color="000000"/>
          <w:bottom w:val="none" w:sz="4" w:space="0" w:color="000000"/>
          <w:right w:val="none" w:sz="4" w:space="0" w:color="000000"/>
        </w:pBdr>
        <w:spacing w:before="0" w:line="240" w:lineRule="auto"/>
        <w:ind w:firstLine="709"/>
        <w:jc w:val="both"/>
        <w:rPr>
          <w:rFonts w:ascii="Times New Roman" w:hAnsi="Times New Roman"/>
          <w:bCs/>
          <w:color w:val="auto"/>
          <w:sz w:val="28"/>
          <w:szCs w:val="28"/>
        </w:rPr>
      </w:pPr>
      <w:bookmarkStart w:id="519" w:name="_Toc208496746"/>
      <w:bookmarkStart w:id="520" w:name="_Toc208669028"/>
      <w:bookmarkStart w:id="521" w:name="_Toc212804380"/>
      <w:r w:rsidRPr="00577593">
        <w:rPr>
          <w:rFonts w:ascii="Times New Roman" w:eastAsia="Times New Roman" w:hAnsi="Times New Roman"/>
          <w:bCs/>
          <w:color w:val="auto"/>
          <w:sz w:val="28"/>
          <w:szCs w:val="28"/>
        </w:rPr>
        <w:t>9.3.4.4</w:t>
      </w:r>
      <w:r w:rsidR="00584F00">
        <w:rPr>
          <w:rFonts w:ascii="Times New Roman" w:eastAsia="Times New Roman" w:hAnsi="Times New Roman"/>
          <w:bCs/>
          <w:color w:val="auto"/>
          <w:sz w:val="28"/>
          <w:szCs w:val="28"/>
        </w:rPr>
        <w:t>.</w:t>
      </w:r>
      <w:r w:rsidRPr="00577593">
        <w:rPr>
          <w:rFonts w:ascii="Times New Roman" w:eastAsia="Times New Roman" w:hAnsi="Times New Roman"/>
          <w:bCs/>
          <w:color w:val="auto"/>
          <w:sz w:val="28"/>
          <w:szCs w:val="28"/>
        </w:rPr>
        <w:t xml:space="preserve"> Создание лесопарковой зоны</w:t>
      </w:r>
      <w:bookmarkEnd w:id="519"/>
      <w:bookmarkEnd w:id="520"/>
      <w:bookmarkEnd w:id="521"/>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Требуется создание на территории городского округа лесопарковой зоны, благоустроенной и организованной для массового повседневного отдыха населения. Необходимо определить территорию, где возможно организовать лесопарк, обеспечить его доступность для горожан. </w:t>
      </w:r>
    </w:p>
    <w:p w:rsidR="00FC41F4" w:rsidRPr="00577593" w:rsidRDefault="008925FA" w:rsidP="008D738C">
      <w:pPr>
        <w:pStyle w:val="3"/>
        <w:pBdr>
          <w:top w:val="none" w:sz="4" w:space="0" w:color="000000"/>
          <w:left w:val="none" w:sz="4" w:space="0" w:color="000000"/>
          <w:bottom w:val="none" w:sz="4" w:space="0" w:color="000000"/>
          <w:right w:val="none" w:sz="4" w:space="0" w:color="000000"/>
        </w:pBdr>
        <w:spacing w:before="0" w:line="240" w:lineRule="auto"/>
        <w:ind w:firstLine="709"/>
        <w:jc w:val="both"/>
        <w:rPr>
          <w:rFonts w:ascii="Times New Roman" w:hAnsi="Times New Roman"/>
          <w:bCs/>
          <w:color w:val="auto"/>
          <w:sz w:val="28"/>
          <w:szCs w:val="28"/>
        </w:rPr>
      </w:pPr>
      <w:bookmarkStart w:id="522" w:name="_Toc208496747"/>
      <w:bookmarkStart w:id="523" w:name="_Toc208669029"/>
      <w:bookmarkStart w:id="524" w:name="_Toc212804381"/>
      <w:r w:rsidRPr="00577593">
        <w:rPr>
          <w:rFonts w:ascii="Times New Roman" w:eastAsia="Times New Roman" w:hAnsi="Times New Roman"/>
          <w:bCs/>
          <w:color w:val="auto"/>
          <w:sz w:val="28"/>
          <w:szCs w:val="28"/>
        </w:rPr>
        <w:t>9.3.4.5</w:t>
      </w:r>
      <w:r w:rsidR="00584F00">
        <w:rPr>
          <w:rFonts w:ascii="Times New Roman" w:eastAsia="Times New Roman" w:hAnsi="Times New Roman"/>
          <w:bCs/>
          <w:color w:val="auto"/>
          <w:sz w:val="28"/>
          <w:szCs w:val="28"/>
        </w:rPr>
        <w:t>.</w:t>
      </w:r>
      <w:r w:rsidRPr="00577593">
        <w:rPr>
          <w:rFonts w:ascii="Times New Roman" w:eastAsia="Times New Roman" w:hAnsi="Times New Roman"/>
          <w:bCs/>
          <w:color w:val="auto"/>
          <w:sz w:val="28"/>
          <w:szCs w:val="28"/>
        </w:rPr>
        <w:t xml:space="preserve"> Формирование сети велодорожек</w:t>
      </w:r>
      <w:bookmarkEnd w:id="522"/>
      <w:bookmarkEnd w:id="523"/>
      <w:bookmarkEnd w:id="524"/>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В целях улучшения комфортной городской среды, повышения активности горожан, устойчивого развития следует сформировать сеть велодорожек. Сеть велодорожек будет развиваться как элемент транспортной инфраструктуры города, в том числе необходимо проектировать велодорожки в новых жилых районах и при реализации проектов КРТ. Сеть велодорожек должна проектироваться как часть природно-рекреационного каркаса города.</w:t>
      </w:r>
    </w:p>
    <w:p w:rsidR="00FC41F4" w:rsidRPr="00577593" w:rsidRDefault="008925FA" w:rsidP="008D738C">
      <w:pPr>
        <w:pStyle w:val="3"/>
        <w:pBdr>
          <w:top w:val="none" w:sz="4" w:space="0" w:color="000000"/>
          <w:left w:val="none" w:sz="4" w:space="0" w:color="000000"/>
          <w:bottom w:val="none" w:sz="4" w:space="0" w:color="000000"/>
          <w:right w:val="none" w:sz="4" w:space="0" w:color="000000"/>
        </w:pBdr>
        <w:spacing w:before="0" w:line="240" w:lineRule="auto"/>
        <w:ind w:firstLine="709"/>
        <w:jc w:val="both"/>
        <w:rPr>
          <w:rFonts w:ascii="Times New Roman" w:hAnsi="Times New Roman"/>
          <w:bCs/>
          <w:color w:val="auto"/>
          <w:sz w:val="28"/>
          <w:szCs w:val="28"/>
        </w:rPr>
      </w:pPr>
      <w:bookmarkStart w:id="525" w:name="_Toc208496748"/>
      <w:bookmarkStart w:id="526" w:name="_Toc208669030"/>
      <w:bookmarkStart w:id="527" w:name="_Toc212804382"/>
      <w:r w:rsidRPr="00577593">
        <w:rPr>
          <w:rFonts w:ascii="Times New Roman" w:eastAsia="Times New Roman" w:hAnsi="Times New Roman"/>
          <w:bCs/>
          <w:color w:val="auto"/>
          <w:sz w:val="28"/>
          <w:szCs w:val="28"/>
        </w:rPr>
        <w:lastRenderedPageBreak/>
        <w:t>9.3.4.6</w:t>
      </w:r>
      <w:r w:rsidR="00584F00">
        <w:rPr>
          <w:rFonts w:ascii="Times New Roman" w:eastAsia="Times New Roman" w:hAnsi="Times New Roman"/>
          <w:bCs/>
          <w:color w:val="auto"/>
          <w:sz w:val="28"/>
          <w:szCs w:val="28"/>
        </w:rPr>
        <w:t>.</w:t>
      </w:r>
      <w:r w:rsidRPr="00577593">
        <w:rPr>
          <w:rFonts w:ascii="Times New Roman" w:eastAsia="Times New Roman" w:hAnsi="Times New Roman"/>
          <w:bCs/>
          <w:color w:val="auto"/>
          <w:sz w:val="28"/>
          <w:szCs w:val="28"/>
        </w:rPr>
        <w:t xml:space="preserve"> Целевое использование программ благоустройства как инструмента развития кадровой базы города</w:t>
      </w:r>
      <w:bookmarkEnd w:id="525"/>
      <w:bookmarkEnd w:id="526"/>
      <w:bookmarkEnd w:id="527"/>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В выборе общественных пространств для благоустройства стоит учитывать важность статуса «студенческого города» для дальнейшего развития </w:t>
      </w:r>
      <w:r w:rsidR="009C7BF9">
        <w:rPr>
          <w:rFonts w:ascii="Times New Roman" w:eastAsia="Times New Roman" w:hAnsi="Times New Roman"/>
          <w:sz w:val="28"/>
          <w:szCs w:val="28"/>
        </w:rPr>
        <w:t xml:space="preserve">города </w:t>
      </w:r>
      <w:r w:rsidRPr="00577593">
        <w:rPr>
          <w:rFonts w:ascii="Times New Roman" w:eastAsia="Times New Roman" w:hAnsi="Times New Roman"/>
          <w:sz w:val="28"/>
          <w:szCs w:val="28"/>
        </w:rPr>
        <w:t>Барнаула и приоритизировать студенческие пространства. Стратегической задачей на период действия стратегии будет создание единого благоустроенного «кампуса», включающего территории, прилегающих к крупным учебным заведениям Железнодорожного района. Для реализации благоустройства по программе «Формирование комфортной городской среды» необходимо взаимодействовать со студенческими и академическими сообществами.</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При разработке проектов и концепций благоустройства следует учитывать сценарии использования пространства группами студентов, особенно студентов старших курсов и магистратуры, в том числе в академических и коллаборативных целях. Должны быть приложены особые усилия муниципалитета по вовлечению этой целевой аудитории в проектирование общественных пространств с помощью инструментов соучаствующего проектирования, рекомендуемых Министерством строительства и жилищно-коммунального хозяйства Российской Федерации. При этом интересы студенческого сообщества должны быть сбалансированы с интересами других групп населения, использующих эти общественные пространства.</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Потенциальный кадроформирующий эффект от благоустройства территории также следует учитывать в формировании закупки малых архитектурных форм, в частности игрового оборудование для детей. Предлагается внедрять развивающие детские площадки в городскую среду, законодательно закрепляя такое требование в тендерах на разработку и реализацию проектов благоустройства. В частности, к приобретению планируются «научные детские площадки», разработанные с участием Фонда содействия инновациям и Министерства просвещения Российской Федерации.</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Среди основных проектов, которые предполагается реализовывать в рамках предлагаемых направлений, можно выделить </w:t>
      </w:r>
      <w:r w:rsidR="009C7BF9">
        <w:rPr>
          <w:rFonts w:ascii="Times New Roman" w:eastAsia="Times New Roman" w:hAnsi="Times New Roman"/>
          <w:sz w:val="28"/>
          <w:szCs w:val="28"/>
        </w:rPr>
        <w:t>благоустройство зеленой зоны по ул. Молодежной</w:t>
      </w:r>
      <w:r w:rsidRPr="00577593">
        <w:rPr>
          <w:rFonts w:ascii="Times New Roman" w:eastAsia="Times New Roman" w:hAnsi="Times New Roman"/>
          <w:sz w:val="28"/>
          <w:szCs w:val="28"/>
        </w:rPr>
        <w:t>, 15, равноудаленной от АлтГУ, АлтГПУ и МИЭМИС, а также приобретение и установку пилотной научной детской площадки, разработанной при участии Фонда содействия инновациям.</w:t>
      </w:r>
    </w:p>
    <w:p w:rsidR="00FC41F4" w:rsidRPr="00577593" w:rsidRDefault="008925FA" w:rsidP="008D738C">
      <w:pPr>
        <w:pStyle w:val="3"/>
        <w:pBdr>
          <w:top w:val="none" w:sz="4" w:space="0" w:color="000000"/>
          <w:left w:val="none" w:sz="4" w:space="0" w:color="000000"/>
          <w:bottom w:val="none" w:sz="4" w:space="0" w:color="000000"/>
          <w:right w:val="none" w:sz="4" w:space="0" w:color="000000"/>
        </w:pBdr>
        <w:spacing w:before="0" w:line="240" w:lineRule="auto"/>
        <w:ind w:firstLine="709"/>
        <w:jc w:val="both"/>
        <w:rPr>
          <w:rFonts w:ascii="Times New Roman" w:hAnsi="Times New Roman"/>
          <w:b/>
          <w:bCs/>
          <w:color w:val="auto"/>
          <w:sz w:val="28"/>
          <w:szCs w:val="28"/>
        </w:rPr>
      </w:pPr>
      <w:bookmarkStart w:id="528" w:name="_Toc208496749"/>
      <w:bookmarkStart w:id="529" w:name="_Toc208669031"/>
      <w:bookmarkStart w:id="530" w:name="_Toc212804383"/>
      <w:r w:rsidRPr="00577593">
        <w:rPr>
          <w:rFonts w:ascii="Times New Roman" w:eastAsia="Times New Roman" w:hAnsi="Times New Roman"/>
          <w:b/>
          <w:bCs/>
          <w:color w:val="auto"/>
          <w:sz w:val="28"/>
          <w:szCs w:val="28"/>
        </w:rPr>
        <w:t>9.3.5. Защита окружающей среды</w:t>
      </w:r>
      <w:bookmarkEnd w:id="528"/>
      <w:bookmarkEnd w:id="529"/>
      <w:bookmarkEnd w:id="530"/>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В рамках национальной цели развития Российской Федерации </w:t>
      </w:r>
      <w:r w:rsidR="004110DD" w:rsidRPr="00577593">
        <w:rPr>
          <w:rFonts w:ascii="Times New Roman" w:eastAsia="Times New Roman" w:hAnsi="Times New Roman"/>
          <w:sz w:val="28"/>
          <w:szCs w:val="28"/>
        </w:rPr>
        <w:br/>
      </w:r>
      <w:r w:rsidRPr="00577593">
        <w:rPr>
          <w:rFonts w:ascii="Times New Roman" w:eastAsia="Times New Roman" w:hAnsi="Times New Roman"/>
          <w:sz w:val="28"/>
          <w:szCs w:val="28"/>
        </w:rPr>
        <w:t>на период до 2030 года и на перспективу до 2036 года «Экологическое благополучие» определены следующие целевые показатели и задачи:</w:t>
      </w:r>
    </w:p>
    <w:p w:rsidR="00FC41F4" w:rsidRPr="00584F00" w:rsidRDefault="00584F00" w:rsidP="00584F00">
      <w:pPr>
        <w:pBdr>
          <w:top w:val="none" w:sz="4" w:space="0" w:color="000000"/>
          <w:left w:val="none" w:sz="4" w:space="0" w:color="000000"/>
          <w:bottom w:val="none" w:sz="4" w:space="0" w:color="000000"/>
          <w:right w:val="none" w:sz="4" w:space="0" w:color="000000"/>
        </w:pBdr>
        <w:tabs>
          <w:tab w:val="left" w:pos="993"/>
        </w:tabs>
        <w:spacing w:after="0" w:line="240" w:lineRule="auto"/>
        <w:ind w:firstLine="709"/>
        <w:jc w:val="both"/>
        <w:rPr>
          <w:rFonts w:ascii="Times New Roman" w:hAnsi="Times New Roman"/>
          <w:sz w:val="28"/>
          <w:szCs w:val="28"/>
        </w:rPr>
      </w:pPr>
      <w:r w:rsidRPr="00584F00">
        <w:rPr>
          <w:rFonts w:ascii="Times New Roman" w:eastAsia="Times New Roman" w:hAnsi="Times New Roman"/>
          <w:sz w:val="28"/>
          <w:szCs w:val="28"/>
        </w:rPr>
        <w:t>– </w:t>
      </w:r>
      <w:r w:rsidR="006A5454" w:rsidRPr="00584F00">
        <w:rPr>
          <w:rFonts w:ascii="Times New Roman" w:eastAsia="Times New Roman" w:hAnsi="Times New Roman"/>
          <w:sz w:val="28"/>
          <w:szCs w:val="28"/>
        </w:rPr>
        <w:t>ф</w:t>
      </w:r>
      <w:r w:rsidR="008925FA" w:rsidRPr="00584F00">
        <w:rPr>
          <w:rFonts w:ascii="Times New Roman" w:eastAsia="Times New Roman" w:hAnsi="Times New Roman"/>
          <w:sz w:val="28"/>
          <w:szCs w:val="28"/>
        </w:rPr>
        <w:t xml:space="preserve">ормирование экономики замкнутого цикла, обеспечивающей </w:t>
      </w:r>
      <w:r w:rsidR="004110DD" w:rsidRPr="00584F00">
        <w:rPr>
          <w:rFonts w:ascii="Times New Roman" w:eastAsia="Times New Roman" w:hAnsi="Times New Roman"/>
          <w:sz w:val="28"/>
          <w:szCs w:val="28"/>
        </w:rPr>
        <w:br/>
      </w:r>
      <w:r w:rsidR="008925FA" w:rsidRPr="00584F00">
        <w:rPr>
          <w:rFonts w:ascii="Times New Roman" w:eastAsia="Times New Roman" w:hAnsi="Times New Roman"/>
          <w:sz w:val="28"/>
          <w:szCs w:val="28"/>
        </w:rPr>
        <w:t>к 2030 году</w:t>
      </w:r>
      <w:r w:rsidR="008925FA" w:rsidRPr="00584F00">
        <w:rPr>
          <w:rFonts w:ascii="Times New Roman" w:hAnsi="Times New Roman"/>
          <w:sz w:val="28"/>
          <w:szCs w:val="28"/>
        </w:rPr>
        <w:t xml:space="preserve"> </w:t>
      </w:r>
      <w:r w:rsidR="008925FA" w:rsidRPr="00584F00">
        <w:rPr>
          <w:rFonts w:ascii="Times New Roman" w:eastAsia="Times New Roman" w:hAnsi="Times New Roman"/>
          <w:sz w:val="28"/>
          <w:szCs w:val="28"/>
        </w:rPr>
        <w:t>сортировку 100 процентов объема ежегодно образуемых твердых</w:t>
      </w:r>
      <w:r w:rsidR="008925FA" w:rsidRPr="00584F00">
        <w:rPr>
          <w:rFonts w:ascii="Times New Roman" w:hAnsi="Times New Roman"/>
          <w:sz w:val="28"/>
          <w:szCs w:val="28"/>
        </w:rPr>
        <w:t xml:space="preserve"> </w:t>
      </w:r>
      <w:r w:rsidR="008925FA" w:rsidRPr="00584F00">
        <w:rPr>
          <w:rFonts w:ascii="Times New Roman" w:eastAsia="Times New Roman" w:hAnsi="Times New Roman"/>
          <w:sz w:val="28"/>
          <w:szCs w:val="28"/>
        </w:rPr>
        <w:t>коммунальных отходов, захоронение не</w:t>
      </w:r>
      <w:r w:rsidR="008925FA" w:rsidRPr="00584F00">
        <w:rPr>
          <w:rFonts w:ascii="Times New Roman" w:hAnsi="Times New Roman"/>
          <w:sz w:val="28"/>
          <w:szCs w:val="28"/>
        </w:rPr>
        <w:t xml:space="preserve"> </w:t>
      </w:r>
      <w:r w:rsidR="008925FA" w:rsidRPr="00584F00">
        <w:rPr>
          <w:rFonts w:ascii="Times New Roman" w:eastAsia="Times New Roman" w:hAnsi="Times New Roman"/>
          <w:sz w:val="28"/>
          <w:szCs w:val="28"/>
        </w:rPr>
        <w:t>более чем 50 процентов таких отходов и</w:t>
      </w:r>
      <w:r w:rsidR="008925FA" w:rsidRPr="00584F00">
        <w:rPr>
          <w:rFonts w:ascii="Times New Roman" w:hAnsi="Times New Roman"/>
          <w:sz w:val="28"/>
          <w:szCs w:val="28"/>
        </w:rPr>
        <w:t xml:space="preserve"> </w:t>
      </w:r>
      <w:r w:rsidR="008925FA" w:rsidRPr="00584F00">
        <w:rPr>
          <w:rFonts w:ascii="Times New Roman" w:eastAsia="Times New Roman" w:hAnsi="Times New Roman"/>
          <w:sz w:val="28"/>
          <w:szCs w:val="28"/>
        </w:rPr>
        <w:t>вовлечение в хозяйственный оборот не</w:t>
      </w:r>
      <w:r w:rsidR="008925FA" w:rsidRPr="00584F00">
        <w:rPr>
          <w:rFonts w:ascii="Times New Roman" w:hAnsi="Times New Roman"/>
          <w:sz w:val="28"/>
          <w:szCs w:val="28"/>
        </w:rPr>
        <w:t xml:space="preserve"> </w:t>
      </w:r>
      <w:r w:rsidR="008925FA" w:rsidRPr="00584F00">
        <w:rPr>
          <w:rFonts w:ascii="Times New Roman" w:eastAsia="Times New Roman" w:hAnsi="Times New Roman"/>
          <w:sz w:val="28"/>
          <w:szCs w:val="28"/>
        </w:rPr>
        <w:t xml:space="preserve">менее чем 25 </w:t>
      </w:r>
      <w:r w:rsidR="008925FA" w:rsidRPr="00584F00">
        <w:rPr>
          <w:rFonts w:ascii="Times New Roman" w:eastAsia="Times New Roman" w:hAnsi="Times New Roman"/>
          <w:sz w:val="28"/>
          <w:szCs w:val="28"/>
        </w:rPr>
        <w:lastRenderedPageBreak/>
        <w:t>процентов отходов</w:t>
      </w:r>
      <w:r w:rsidR="008925FA" w:rsidRPr="00584F00">
        <w:rPr>
          <w:rFonts w:ascii="Times New Roman" w:hAnsi="Times New Roman"/>
          <w:sz w:val="28"/>
          <w:szCs w:val="28"/>
        </w:rPr>
        <w:t xml:space="preserve"> </w:t>
      </w:r>
      <w:r w:rsidR="008925FA" w:rsidRPr="00584F00">
        <w:rPr>
          <w:rFonts w:ascii="Times New Roman" w:eastAsia="Times New Roman" w:hAnsi="Times New Roman"/>
          <w:sz w:val="28"/>
          <w:szCs w:val="28"/>
        </w:rPr>
        <w:t>производства и потребления в качестве</w:t>
      </w:r>
      <w:r w:rsidR="008925FA" w:rsidRPr="00584F00">
        <w:rPr>
          <w:rFonts w:ascii="Times New Roman" w:hAnsi="Times New Roman"/>
          <w:sz w:val="28"/>
          <w:szCs w:val="28"/>
        </w:rPr>
        <w:t xml:space="preserve"> </w:t>
      </w:r>
      <w:r w:rsidR="008925FA" w:rsidRPr="00584F00">
        <w:rPr>
          <w:rFonts w:ascii="Times New Roman" w:eastAsia="Times New Roman" w:hAnsi="Times New Roman"/>
          <w:sz w:val="28"/>
          <w:szCs w:val="28"/>
        </w:rPr>
        <w:t>вторичных ресурсов и сырья</w:t>
      </w:r>
      <w:r w:rsidR="008925FA" w:rsidRPr="00584F00">
        <w:rPr>
          <w:rFonts w:ascii="Times New Roman" w:hAnsi="Times New Roman"/>
          <w:sz w:val="28"/>
          <w:szCs w:val="28"/>
        </w:rPr>
        <w:t>;</w:t>
      </w:r>
    </w:p>
    <w:p w:rsidR="00FC41F4" w:rsidRPr="00577593" w:rsidRDefault="00584F00" w:rsidP="00584F00">
      <w:pPr>
        <w:pStyle w:val="af5"/>
        <w:pBdr>
          <w:top w:val="none" w:sz="4" w:space="0" w:color="000000"/>
          <w:left w:val="none" w:sz="4" w:space="0" w:color="000000"/>
          <w:bottom w:val="none" w:sz="4" w:space="0" w:color="000000"/>
          <w:right w:val="none" w:sz="4" w:space="0" w:color="000000"/>
        </w:pBdr>
        <w:tabs>
          <w:tab w:val="left" w:pos="993"/>
        </w:tabs>
        <w:spacing w:after="0" w:line="240" w:lineRule="auto"/>
        <w:ind w:left="0" w:firstLine="709"/>
        <w:jc w:val="both"/>
        <w:rPr>
          <w:rFonts w:ascii="Times New Roman" w:hAnsi="Times New Roman"/>
          <w:sz w:val="28"/>
          <w:szCs w:val="28"/>
        </w:rPr>
      </w:pPr>
      <w:r w:rsidRPr="00584F00">
        <w:rPr>
          <w:rFonts w:ascii="Times New Roman" w:eastAsia="Times New Roman" w:hAnsi="Times New Roman"/>
          <w:sz w:val="28"/>
          <w:szCs w:val="28"/>
        </w:rPr>
        <w:t>– </w:t>
      </w:r>
      <w:r w:rsidR="006A5454" w:rsidRPr="00577593">
        <w:rPr>
          <w:rFonts w:ascii="Times New Roman" w:eastAsia="Times New Roman" w:hAnsi="Times New Roman"/>
          <w:sz w:val="28"/>
          <w:szCs w:val="28"/>
        </w:rPr>
        <w:t>п</w:t>
      </w:r>
      <w:r w:rsidR="008925FA" w:rsidRPr="00577593">
        <w:rPr>
          <w:rFonts w:ascii="Times New Roman" w:eastAsia="Times New Roman" w:hAnsi="Times New Roman"/>
          <w:sz w:val="28"/>
          <w:szCs w:val="28"/>
        </w:rPr>
        <w:t>оэтапное снижение к 2036 году в два раза выбросов опасных загрязняющих</w:t>
      </w:r>
      <w:r w:rsidR="008925FA" w:rsidRPr="00577593">
        <w:rPr>
          <w:rFonts w:ascii="Times New Roman" w:hAnsi="Times New Roman"/>
          <w:sz w:val="28"/>
          <w:szCs w:val="28"/>
        </w:rPr>
        <w:t xml:space="preserve"> </w:t>
      </w:r>
      <w:r w:rsidR="008925FA" w:rsidRPr="00577593">
        <w:rPr>
          <w:rFonts w:ascii="Times New Roman" w:eastAsia="Times New Roman" w:hAnsi="Times New Roman"/>
          <w:sz w:val="28"/>
          <w:szCs w:val="28"/>
        </w:rPr>
        <w:t>веществ, оказывающих наибольшее</w:t>
      </w:r>
      <w:r w:rsidR="008925FA" w:rsidRPr="00577593">
        <w:rPr>
          <w:rFonts w:ascii="Times New Roman" w:hAnsi="Times New Roman"/>
          <w:sz w:val="28"/>
          <w:szCs w:val="28"/>
        </w:rPr>
        <w:t xml:space="preserve"> </w:t>
      </w:r>
      <w:r w:rsidR="008925FA" w:rsidRPr="00577593">
        <w:rPr>
          <w:rFonts w:ascii="Times New Roman" w:eastAsia="Times New Roman" w:hAnsi="Times New Roman"/>
          <w:sz w:val="28"/>
          <w:szCs w:val="28"/>
        </w:rPr>
        <w:t xml:space="preserve">негативное воздействие </w:t>
      </w:r>
      <w:r w:rsidR="004110DD" w:rsidRPr="00577593">
        <w:rPr>
          <w:rFonts w:ascii="Times New Roman" w:eastAsia="Times New Roman" w:hAnsi="Times New Roman"/>
          <w:sz w:val="28"/>
          <w:szCs w:val="28"/>
        </w:rPr>
        <w:br/>
      </w:r>
      <w:r w:rsidR="008925FA" w:rsidRPr="00577593">
        <w:rPr>
          <w:rFonts w:ascii="Times New Roman" w:eastAsia="Times New Roman" w:hAnsi="Times New Roman"/>
          <w:sz w:val="28"/>
          <w:szCs w:val="28"/>
        </w:rPr>
        <w:t>на окружающую</w:t>
      </w:r>
      <w:r w:rsidR="008925FA" w:rsidRPr="00577593">
        <w:rPr>
          <w:rFonts w:ascii="Times New Roman" w:hAnsi="Times New Roman"/>
          <w:sz w:val="28"/>
          <w:szCs w:val="28"/>
        </w:rPr>
        <w:t xml:space="preserve"> </w:t>
      </w:r>
      <w:r w:rsidR="008925FA" w:rsidRPr="00577593">
        <w:rPr>
          <w:rFonts w:ascii="Times New Roman" w:eastAsia="Times New Roman" w:hAnsi="Times New Roman"/>
          <w:sz w:val="28"/>
          <w:szCs w:val="28"/>
        </w:rPr>
        <w:t>среду и здоровье человека, в городах с</w:t>
      </w:r>
      <w:r w:rsidR="008925FA" w:rsidRPr="00577593">
        <w:rPr>
          <w:rFonts w:ascii="Times New Roman" w:hAnsi="Times New Roman"/>
          <w:sz w:val="28"/>
          <w:szCs w:val="28"/>
        </w:rPr>
        <w:t xml:space="preserve"> </w:t>
      </w:r>
      <w:r w:rsidR="008925FA" w:rsidRPr="00577593">
        <w:rPr>
          <w:rFonts w:ascii="Times New Roman" w:eastAsia="Times New Roman" w:hAnsi="Times New Roman"/>
          <w:sz w:val="28"/>
          <w:szCs w:val="28"/>
        </w:rPr>
        <w:t>высоким и очень высоким уровнем</w:t>
      </w:r>
      <w:r w:rsidR="008925FA" w:rsidRPr="00577593">
        <w:rPr>
          <w:rFonts w:ascii="Times New Roman" w:hAnsi="Times New Roman"/>
          <w:sz w:val="28"/>
          <w:szCs w:val="28"/>
        </w:rPr>
        <w:t xml:space="preserve"> </w:t>
      </w:r>
      <w:r w:rsidR="008925FA" w:rsidRPr="00577593">
        <w:rPr>
          <w:rFonts w:ascii="Times New Roman" w:eastAsia="Times New Roman" w:hAnsi="Times New Roman"/>
          <w:sz w:val="28"/>
          <w:szCs w:val="28"/>
        </w:rPr>
        <w:t>загрязнения атмосферного воздуха;</w:t>
      </w:r>
    </w:p>
    <w:p w:rsidR="00FC41F4" w:rsidRPr="00577593" w:rsidRDefault="00584F00" w:rsidP="00584F00">
      <w:pPr>
        <w:pStyle w:val="af5"/>
        <w:pBdr>
          <w:top w:val="none" w:sz="4" w:space="0" w:color="000000"/>
          <w:left w:val="none" w:sz="4" w:space="0" w:color="000000"/>
          <w:bottom w:val="none" w:sz="4" w:space="0" w:color="000000"/>
          <w:right w:val="none" w:sz="4" w:space="0" w:color="000000"/>
        </w:pBdr>
        <w:tabs>
          <w:tab w:val="left" w:pos="993"/>
        </w:tabs>
        <w:spacing w:after="0" w:line="240" w:lineRule="auto"/>
        <w:ind w:left="0" w:firstLine="709"/>
        <w:jc w:val="both"/>
        <w:rPr>
          <w:rFonts w:ascii="Times New Roman" w:hAnsi="Times New Roman"/>
          <w:sz w:val="28"/>
          <w:szCs w:val="28"/>
        </w:rPr>
      </w:pPr>
      <w:r w:rsidRPr="00584F00">
        <w:rPr>
          <w:rFonts w:ascii="Times New Roman" w:eastAsia="Times New Roman" w:hAnsi="Times New Roman"/>
          <w:sz w:val="28"/>
          <w:szCs w:val="28"/>
        </w:rPr>
        <w:t>– </w:t>
      </w:r>
      <w:r w:rsidR="006A5454" w:rsidRPr="00577593">
        <w:rPr>
          <w:rFonts w:ascii="Times New Roman" w:eastAsia="Times New Roman" w:hAnsi="Times New Roman"/>
          <w:sz w:val="28"/>
          <w:szCs w:val="28"/>
        </w:rPr>
        <w:t>с</w:t>
      </w:r>
      <w:r w:rsidR="008925FA" w:rsidRPr="00577593">
        <w:rPr>
          <w:rFonts w:ascii="Times New Roman" w:eastAsia="Times New Roman" w:hAnsi="Times New Roman"/>
          <w:sz w:val="28"/>
          <w:szCs w:val="28"/>
        </w:rPr>
        <w:t>охранение лесов и биологического разнообразия, устойчивое развитие</w:t>
      </w:r>
      <w:r w:rsidR="008925FA" w:rsidRPr="00577593">
        <w:rPr>
          <w:rFonts w:ascii="Times New Roman" w:hAnsi="Times New Roman"/>
          <w:sz w:val="28"/>
          <w:szCs w:val="28"/>
        </w:rPr>
        <w:t xml:space="preserve"> </w:t>
      </w:r>
      <w:r w:rsidR="008925FA" w:rsidRPr="00577593">
        <w:rPr>
          <w:rFonts w:ascii="Times New Roman" w:eastAsia="Times New Roman" w:hAnsi="Times New Roman"/>
          <w:sz w:val="28"/>
          <w:szCs w:val="28"/>
        </w:rPr>
        <w:t>особо охраняемых природных</w:t>
      </w:r>
      <w:r w:rsidR="008925FA" w:rsidRPr="00577593">
        <w:rPr>
          <w:rFonts w:ascii="Times New Roman" w:hAnsi="Times New Roman"/>
          <w:sz w:val="28"/>
          <w:szCs w:val="28"/>
        </w:rPr>
        <w:t xml:space="preserve"> </w:t>
      </w:r>
      <w:r w:rsidR="008925FA" w:rsidRPr="00577593">
        <w:rPr>
          <w:rFonts w:ascii="Times New Roman" w:eastAsia="Times New Roman" w:hAnsi="Times New Roman"/>
          <w:sz w:val="28"/>
          <w:szCs w:val="28"/>
        </w:rPr>
        <w:t>территорий и создание условий для</w:t>
      </w:r>
      <w:r w:rsidR="008925FA" w:rsidRPr="00577593">
        <w:rPr>
          <w:rFonts w:ascii="Times New Roman" w:hAnsi="Times New Roman"/>
          <w:sz w:val="28"/>
          <w:szCs w:val="28"/>
        </w:rPr>
        <w:t xml:space="preserve"> </w:t>
      </w:r>
      <w:r w:rsidR="008925FA" w:rsidRPr="00577593">
        <w:rPr>
          <w:rFonts w:ascii="Times New Roman" w:eastAsia="Times New Roman" w:hAnsi="Times New Roman"/>
          <w:sz w:val="28"/>
          <w:szCs w:val="28"/>
        </w:rPr>
        <w:t>экологического туризма во всех</w:t>
      </w:r>
      <w:r w:rsidR="008925FA" w:rsidRPr="00577593">
        <w:rPr>
          <w:rFonts w:ascii="Times New Roman" w:hAnsi="Times New Roman"/>
          <w:sz w:val="28"/>
          <w:szCs w:val="28"/>
        </w:rPr>
        <w:t xml:space="preserve"> </w:t>
      </w:r>
      <w:r w:rsidR="008925FA" w:rsidRPr="00577593">
        <w:rPr>
          <w:rFonts w:ascii="Times New Roman" w:eastAsia="Times New Roman" w:hAnsi="Times New Roman"/>
          <w:sz w:val="28"/>
          <w:szCs w:val="28"/>
        </w:rPr>
        <w:t>национальных парках.</w:t>
      </w:r>
    </w:p>
    <w:p w:rsidR="00FC41F4" w:rsidRPr="00577593" w:rsidRDefault="008925FA" w:rsidP="00584F00">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В Стратегии социально-экономического развития Алтайского края </w:t>
      </w:r>
      <w:r w:rsidR="004110DD" w:rsidRPr="00577593">
        <w:rPr>
          <w:rFonts w:ascii="Times New Roman" w:eastAsia="Times New Roman" w:hAnsi="Times New Roman"/>
          <w:sz w:val="28"/>
          <w:szCs w:val="28"/>
        </w:rPr>
        <w:br/>
      </w:r>
      <w:r w:rsidRPr="00577593">
        <w:rPr>
          <w:rFonts w:ascii="Times New Roman" w:eastAsia="Times New Roman" w:hAnsi="Times New Roman"/>
          <w:sz w:val="28"/>
          <w:szCs w:val="28"/>
        </w:rPr>
        <w:t>до 2035 года определены следующие задачи:</w:t>
      </w:r>
    </w:p>
    <w:p w:rsidR="00FC41F4" w:rsidRPr="00577593" w:rsidRDefault="00584F00" w:rsidP="00584F00">
      <w:pPr>
        <w:pStyle w:val="af5"/>
        <w:pBdr>
          <w:top w:val="none" w:sz="4" w:space="0" w:color="000000"/>
          <w:left w:val="none" w:sz="4" w:space="0" w:color="000000"/>
          <w:bottom w:val="none" w:sz="4" w:space="0" w:color="000000"/>
          <w:right w:val="none" w:sz="4" w:space="0" w:color="000000"/>
        </w:pBdr>
        <w:tabs>
          <w:tab w:val="left" w:pos="993"/>
        </w:tabs>
        <w:spacing w:after="0" w:line="240" w:lineRule="auto"/>
        <w:ind w:left="0" w:firstLine="709"/>
        <w:jc w:val="both"/>
        <w:rPr>
          <w:rFonts w:ascii="Times New Roman" w:eastAsia="Times New Roman" w:hAnsi="Times New Roman"/>
          <w:sz w:val="28"/>
          <w:szCs w:val="28"/>
        </w:rPr>
      </w:pPr>
      <w:r w:rsidRPr="00584F00">
        <w:rPr>
          <w:rFonts w:ascii="Times New Roman" w:eastAsia="Times New Roman" w:hAnsi="Times New Roman"/>
          <w:sz w:val="28"/>
          <w:szCs w:val="28"/>
        </w:rPr>
        <w:t>– </w:t>
      </w:r>
      <w:r w:rsidR="006A5454" w:rsidRPr="00577593">
        <w:rPr>
          <w:rFonts w:ascii="Times New Roman" w:eastAsia="Times New Roman" w:hAnsi="Times New Roman"/>
          <w:sz w:val="28"/>
          <w:szCs w:val="28"/>
        </w:rPr>
        <w:t>з</w:t>
      </w:r>
      <w:r w:rsidR="008925FA" w:rsidRPr="00577593">
        <w:rPr>
          <w:rFonts w:ascii="Times New Roman" w:eastAsia="Times New Roman" w:hAnsi="Times New Roman"/>
          <w:sz w:val="28"/>
          <w:szCs w:val="28"/>
        </w:rPr>
        <w:t>ащита окружающей природной среды и снижение влияния на нее неблагоприятных антропогенных факторов;</w:t>
      </w:r>
    </w:p>
    <w:p w:rsidR="00FC41F4" w:rsidRPr="00577593" w:rsidRDefault="00584F00" w:rsidP="00584F00">
      <w:pPr>
        <w:pStyle w:val="af5"/>
        <w:pBdr>
          <w:top w:val="none" w:sz="4" w:space="0" w:color="000000"/>
          <w:left w:val="none" w:sz="4" w:space="0" w:color="000000"/>
          <w:bottom w:val="none" w:sz="4" w:space="0" w:color="000000"/>
          <w:right w:val="none" w:sz="4" w:space="0" w:color="000000"/>
        </w:pBdr>
        <w:tabs>
          <w:tab w:val="left" w:pos="993"/>
        </w:tabs>
        <w:spacing w:after="0" w:line="240" w:lineRule="auto"/>
        <w:ind w:left="0" w:firstLine="709"/>
        <w:jc w:val="both"/>
        <w:rPr>
          <w:rFonts w:ascii="Times New Roman" w:eastAsia="Times New Roman" w:hAnsi="Times New Roman"/>
          <w:sz w:val="28"/>
          <w:szCs w:val="28"/>
        </w:rPr>
      </w:pPr>
      <w:r w:rsidRPr="00584F00">
        <w:rPr>
          <w:rFonts w:ascii="Times New Roman" w:eastAsia="Times New Roman" w:hAnsi="Times New Roman"/>
          <w:sz w:val="28"/>
          <w:szCs w:val="28"/>
        </w:rPr>
        <w:t>– </w:t>
      </w:r>
      <w:r w:rsidR="006A5454" w:rsidRPr="00577593">
        <w:rPr>
          <w:rFonts w:ascii="Times New Roman" w:eastAsia="Times New Roman" w:hAnsi="Times New Roman"/>
          <w:sz w:val="28"/>
          <w:szCs w:val="28"/>
        </w:rPr>
        <w:t>р</w:t>
      </w:r>
      <w:r w:rsidR="008925FA" w:rsidRPr="00577593">
        <w:rPr>
          <w:rFonts w:ascii="Times New Roman" w:eastAsia="Times New Roman" w:hAnsi="Times New Roman"/>
          <w:sz w:val="28"/>
          <w:szCs w:val="28"/>
        </w:rPr>
        <w:t>азвитие особо охраняемых природных территорий;</w:t>
      </w:r>
    </w:p>
    <w:p w:rsidR="00FC41F4" w:rsidRPr="00577593" w:rsidRDefault="00584F00" w:rsidP="00584F00">
      <w:pPr>
        <w:pStyle w:val="af5"/>
        <w:pBdr>
          <w:top w:val="none" w:sz="4" w:space="0" w:color="000000"/>
          <w:left w:val="none" w:sz="4" w:space="0" w:color="000000"/>
          <w:bottom w:val="none" w:sz="4" w:space="0" w:color="000000"/>
          <w:right w:val="none" w:sz="4" w:space="0" w:color="000000"/>
        </w:pBdr>
        <w:tabs>
          <w:tab w:val="left" w:pos="993"/>
        </w:tabs>
        <w:spacing w:after="0" w:line="240" w:lineRule="auto"/>
        <w:ind w:left="0" w:firstLine="709"/>
        <w:jc w:val="both"/>
        <w:rPr>
          <w:rFonts w:ascii="Times New Roman" w:eastAsia="Times New Roman" w:hAnsi="Times New Roman"/>
          <w:sz w:val="28"/>
          <w:szCs w:val="28"/>
        </w:rPr>
      </w:pPr>
      <w:r w:rsidRPr="00584F00">
        <w:rPr>
          <w:rFonts w:ascii="Times New Roman" w:eastAsia="Times New Roman" w:hAnsi="Times New Roman"/>
          <w:sz w:val="28"/>
          <w:szCs w:val="28"/>
        </w:rPr>
        <w:t>– </w:t>
      </w:r>
      <w:r w:rsidR="006A5454" w:rsidRPr="00577593">
        <w:rPr>
          <w:rFonts w:ascii="Times New Roman" w:eastAsia="Times New Roman" w:hAnsi="Times New Roman"/>
          <w:sz w:val="28"/>
          <w:szCs w:val="28"/>
        </w:rPr>
        <w:t>с</w:t>
      </w:r>
      <w:r w:rsidR="008925FA" w:rsidRPr="00577593">
        <w:rPr>
          <w:rFonts w:ascii="Times New Roman" w:eastAsia="Times New Roman" w:hAnsi="Times New Roman"/>
          <w:sz w:val="28"/>
          <w:szCs w:val="28"/>
        </w:rPr>
        <w:t xml:space="preserve">оздание современной и эффективной системы обращения </w:t>
      </w:r>
      <w:r w:rsidR="004110DD" w:rsidRPr="00577593">
        <w:rPr>
          <w:rFonts w:ascii="Times New Roman" w:eastAsia="Times New Roman" w:hAnsi="Times New Roman"/>
          <w:sz w:val="28"/>
          <w:szCs w:val="28"/>
        </w:rPr>
        <w:br/>
      </w:r>
      <w:r w:rsidR="008925FA" w:rsidRPr="00577593">
        <w:rPr>
          <w:rFonts w:ascii="Times New Roman" w:eastAsia="Times New Roman" w:hAnsi="Times New Roman"/>
          <w:sz w:val="28"/>
          <w:szCs w:val="28"/>
        </w:rPr>
        <w:t>с отходами;</w:t>
      </w:r>
    </w:p>
    <w:p w:rsidR="00FC41F4" w:rsidRPr="00577593" w:rsidRDefault="00584F00" w:rsidP="00584F00">
      <w:pPr>
        <w:pStyle w:val="af5"/>
        <w:pBdr>
          <w:top w:val="none" w:sz="4" w:space="0" w:color="000000"/>
          <w:left w:val="none" w:sz="4" w:space="0" w:color="000000"/>
          <w:bottom w:val="none" w:sz="4" w:space="0" w:color="000000"/>
          <w:right w:val="none" w:sz="4" w:space="0" w:color="000000"/>
        </w:pBdr>
        <w:tabs>
          <w:tab w:val="left" w:pos="993"/>
        </w:tabs>
        <w:spacing w:after="0" w:line="240" w:lineRule="auto"/>
        <w:ind w:left="0" w:firstLine="709"/>
        <w:jc w:val="both"/>
        <w:rPr>
          <w:rFonts w:ascii="Times New Roman" w:eastAsia="Times New Roman" w:hAnsi="Times New Roman"/>
          <w:sz w:val="28"/>
          <w:szCs w:val="28"/>
        </w:rPr>
      </w:pPr>
      <w:r w:rsidRPr="00584F00">
        <w:rPr>
          <w:rFonts w:ascii="Times New Roman" w:eastAsia="Times New Roman" w:hAnsi="Times New Roman"/>
          <w:sz w:val="28"/>
          <w:szCs w:val="28"/>
        </w:rPr>
        <w:t>– </w:t>
      </w:r>
      <w:r w:rsidR="006A5454" w:rsidRPr="00577593">
        <w:rPr>
          <w:rFonts w:ascii="Times New Roman" w:eastAsia="Times New Roman" w:hAnsi="Times New Roman"/>
          <w:sz w:val="28"/>
          <w:szCs w:val="28"/>
        </w:rPr>
        <w:t>и</w:t>
      </w:r>
      <w:r w:rsidR="008925FA" w:rsidRPr="00577593">
        <w:rPr>
          <w:rFonts w:ascii="Times New Roman" w:eastAsia="Times New Roman" w:hAnsi="Times New Roman"/>
          <w:sz w:val="28"/>
          <w:szCs w:val="28"/>
        </w:rPr>
        <w:t>нвентаризация мест размещения отходов, в том числе объектов накопленного экологического вреда, в границах населенных пунктов, а также несанкционированных свалок и их рекультивация;</w:t>
      </w:r>
    </w:p>
    <w:p w:rsidR="00FC41F4" w:rsidRPr="00577593" w:rsidRDefault="00584F00" w:rsidP="00584F00">
      <w:pPr>
        <w:pStyle w:val="af5"/>
        <w:pBdr>
          <w:top w:val="none" w:sz="4" w:space="0" w:color="000000"/>
          <w:left w:val="none" w:sz="4" w:space="0" w:color="000000"/>
          <w:bottom w:val="none" w:sz="4" w:space="0" w:color="000000"/>
          <w:right w:val="none" w:sz="4" w:space="0" w:color="000000"/>
        </w:pBdr>
        <w:tabs>
          <w:tab w:val="left" w:pos="993"/>
        </w:tabs>
        <w:spacing w:after="0" w:line="240" w:lineRule="auto"/>
        <w:ind w:left="0" w:firstLine="709"/>
        <w:jc w:val="both"/>
        <w:rPr>
          <w:rFonts w:ascii="Times New Roman" w:eastAsia="Times New Roman" w:hAnsi="Times New Roman"/>
          <w:sz w:val="28"/>
          <w:szCs w:val="28"/>
        </w:rPr>
      </w:pPr>
      <w:r w:rsidRPr="00584F00">
        <w:rPr>
          <w:rFonts w:ascii="Times New Roman" w:eastAsia="Times New Roman" w:hAnsi="Times New Roman"/>
          <w:sz w:val="28"/>
          <w:szCs w:val="28"/>
        </w:rPr>
        <w:t>– </w:t>
      </w:r>
      <w:r w:rsidR="001A201D" w:rsidRPr="00577593">
        <w:rPr>
          <w:rFonts w:ascii="Times New Roman" w:eastAsia="Times New Roman" w:hAnsi="Times New Roman"/>
          <w:sz w:val="28"/>
          <w:szCs w:val="28"/>
        </w:rPr>
        <w:t>р</w:t>
      </w:r>
      <w:r w:rsidR="008925FA" w:rsidRPr="00577593">
        <w:rPr>
          <w:rFonts w:ascii="Times New Roman" w:eastAsia="Times New Roman" w:hAnsi="Times New Roman"/>
          <w:sz w:val="28"/>
          <w:szCs w:val="28"/>
        </w:rPr>
        <w:t>азвитие экологической культуры образования и воспитания.</w:t>
      </w:r>
    </w:p>
    <w:p w:rsidR="00CB75C8" w:rsidRPr="00577593" w:rsidRDefault="00CB75C8" w:rsidP="00584F00">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Направления реализации задачи «</w:t>
      </w:r>
      <w:r w:rsidRPr="00577593">
        <w:rPr>
          <w:rFonts w:ascii="Times New Roman" w:eastAsia="Times New Roman" w:hAnsi="Times New Roman"/>
          <w:bCs/>
          <w:sz w:val="28"/>
          <w:szCs w:val="28"/>
        </w:rPr>
        <w:t>Защита окружающей среды</w:t>
      </w:r>
      <w:r w:rsidRPr="00577593">
        <w:rPr>
          <w:rFonts w:ascii="Times New Roman" w:eastAsia="Times New Roman" w:hAnsi="Times New Roman"/>
          <w:sz w:val="28"/>
          <w:szCs w:val="28"/>
        </w:rPr>
        <w:t>» в городе Барнауле:</w:t>
      </w:r>
    </w:p>
    <w:p w:rsidR="00CB75C8" w:rsidRPr="00577593" w:rsidRDefault="00584F00" w:rsidP="00584F00">
      <w:pPr>
        <w:spacing w:after="0" w:line="240" w:lineRule="auto"/>
        <w:ind w:firstLine="709"/>
        <w:jc w:val="both"/>
        <w:rPr>
          <w:rFonts w:ascii="Times New Roman" w:eastAsia="Times New Roman" w:hAnsi="Times New Roman"/>
          <w:sz w:val="28"/>
          <w:szCs w:val="28"/>
        </w:rPr>
      </w:pPr>
      <w:r w:rsidRPr="00584F00">
        <w:rPr>
          <w:rFonts w:ascii="Times New Roman" w:eastAsia="Times New Roman" w:hAnsi="Times New Roman"/>
          <w:bCs/>
          <w:sz w:val="28"/>
          <w:szCs w:val="28"/>
        </w:rPr>
        <w:t>– </w:t>
      </w:r>
      <w:r>
        <w:rPr>
          <w:rFonts w:ascii="Times New Roman" w:eastAsia="Times New Roman" w:hAnsi="Times New Roman"/>
          <w:bCs/>
          <w:sz w:val="28"/>
          <w:szCs w:val="28"/>
        </w:rPr>
        <w:t>р</w:t>
      </w:r>
      <w:r w:rsidR="00CB75C8" w:rsidRPr="00577593">
        <w:rPr>
          <w:rFonts w:ascii="Times New Roman" w:eastAsia="Times New Roman" w:hAnsi="Times New Roman"/>
          <w:bCs/>
          <w:sz w:val="28"/>
          <w:szCs w:val="28"/>
        </w:rPr>
        <w:t>азвитие системы раздельного сбора мусора;</w:t>
      </w:r>
    </w:p>
    <w:p w:rsidR="00CB75C8" w:rsidRPr="00577593" w:rsidRDefault="00584F00" w:rsidP="00584F00">
      <w:pPr>
        <w:spacing w:after="0" w:line="240" w:lineRule="auto"/>
        <w:ind w:firstLine="709"/>
        <w:jc w:val="both"/>
        <w:rPr>
          <w:rFonts w:ascii="Times New Roman" w:eastAsia="Times New Roman" w:hAnsi="Times New Roman"/>
          <w:sz w:val="28"/>
          <w:szCs w:val="28"/>
        </w:rPr>
      </w:pPr>
      <w:r w:rsidRPr="00584F00">
        <w:rPr>
          <w:rFonts w:ascii="Times New Roman" w:eastAsia="Times New Roman" w:hAnsi="Times New Roman"/>
          <w:bCs/>
          <w:sz w:val="28"/>
          <w:szCs w:val="28"/>
        </w:rPr>
        <w:t>– </w:t>
      </w:r>
      <w:r>
        <w:rPr>
          <w:rFonts w:ascii="Times New Roman" w:eastAsia="Times New Roman" w:hAnsi="Times New Roman"/>
          <w:bCs/>
          <w:sz w:val="28"/>
          <w:szCs w:val="28"/>
        </w:rPr>
        <w:t>с</w:t>
      </w:r>
      <w:r w:rsidR="00CB75C8" w:rsidRPr="00577593">
        <w:rPr>
          <w:rFonts w:ascii="Times New Roman" w:eastAsia="Times New Roman" w:hAnsi="Times New Roman"/>
          <w:bCs/>
          <w:sz w:val="28"/>
          <w:szCs w:val="28"/>
        </w:rPr>
        <w:t>нижение уровня загрязнения воздуха;</w:t>
      </w:r>
    </w:p>
    <w:p w:rsidR="00CB75C8" w:rsidRPr="00577593" w:rsidRDefault="00584F00" w:rsidP="00584F00">
      <w:pPr>
        <w:spacing w:after="0" w:line="240" w:lineRule="auto"/>
        <w:ind w:firstLine="709"/>
        <w:jc w:val="both"/>
        <w:rPr>
          <w:rFonts w:ascii="Times New Roman" w:eastAsia="Times New Roman" w:hAnsi="Times New Roman"/>
          <w:sz w:val="28"/>
          <w:szCs w:val="28"/>
        </w:rPr>
      </w:pPr>
      <w:r w:rsidRPr="00584F00">
        <w:rPr>
          <w:rFonts w:ascii="Times New Roman" w:eastAsia="Times New Roman" w:hAnsi="Times New Roman"/>
          <w:bCs/>
          <w:sz w:val="28"/>
          <w:szCs w:val="28"/>
        </w:rPr>
        <w:t>– </w:t>
      </w:r>
      <w:r>
        <w:rPr>
          <w:rFonts w:ascii="Times New Roman" w:eastAsia="Times New Roman" w:hAnsi="Times New Roman"/>
          <w:bCs/>
          <w:sz w:val="28"/>
          <w:szCs w:val="28"/>
        </w:rPr>
        <w:t>с</w:t>
      </w:r>
      <w:r w:rsidR="00CB75C8" w:rsidRPr="00577593">
        <w:rPr>
          <w:rFonts w:ascii="Times New Roman" w:eastAsia="Times New Roman" w:hAnsi="Times New Roman"/>
          <w:bCs/>
          <w:sz w:val="28"/>
          <w:szCs w:val="28"/>
        </w:rPr>
        <w:t>охранение городских лесов;</w:t>
      </w:r>
    </w:p>
    <w:p w:rsidR="00CB75C8" w:rsidRPr="00577593" w:rsidRDefault="00584F00" w:rsidP="00584F00">
      <w:pPr>
        <w:spacing w:after="0" w:line="240" w:lineRule="auto"/>
        <w:ind w:firstLine="709"/>
        <w:jc w:val="both"/>
        <w:rPr>
          <w:rFonts w:ascii="Times New Roman" w:eastAsia="Times New Roman" w:hAnsi="Times New Roman"/>
          <w:sz w:val="28"/>
          <w:szCs w:val="28"/>
        </w:rPr>
      </w:pPr>
      <w:r w:rsidRPr="00584F00">
        <w:rPr>
          <w:rFonts w:ascii="Times New Roman" w:eastAsia="Times New Roman" w:hAnsi="Times New Roman"/>
          <w:bCs/>
          <w:sz w:val="28"/>
          <w:szCs w:val="28"/>
        </w:rPr>
        <w:t>– </w:t>
      </w:r>
      <w:r>
        <w:rPr>
          <w:rFonts w:ascii="Times New Roman" w:eastAsia="Times New Roman" w:hAnsi="Times New Roman"/>
          <w:bCs/>
          <w:sz w:val="28"/>
          <w:szCs w:val="28"/>
        </w:rPr>
        <w:t>к</w:t>
      </w:r>
      <w:r w:rsidR="00CB75C8" w:rsidRPr="00577593">
        <w:rPr>
          <w:rFonts w:ascii="Times New Roman" w:eastAsia="Times New Roman" w:hAnsi="Times New Roman"/>
          <w:bCs/>
          <w:sz w:val="28"/>
          <w:szCs w:val="28"/>
        </w:rPr>
        <w:t>онтроль ситуации с безнадзорными животными;</w:t>
      </w:r>
    </w:p>
    <w:p w:rsidR="00FC41F4" w:rsidRPr="00577593" w:rsidRDefault="00584F00" w:rsidP="00584F00">
      <w:pPr>
        <w:spacing w:after="0" w:line="240" w:lineRule="auto"/>
        <w:ind w:firstLine="709"/>
        <w:jc w:val="both"/>
        <w:rPr>
          <w:rFonts w:ascii="Times New Roman" w:eastAsia="Times New Roman" w:hAnsi="Times New Roman"/>
          <w:sz w:val="28"/>
          <w:szCs w:val="28"/>
        </w:rPr>
      </w:pPr>
      <w:r w:rsidRPr="00584F00">
        <w:rPr>
          <w:rFonts w:ascii="Times New Roman" w:eastAsia="Times New Roman" w:hAnsi="Times New Roman"/>
          <w:sz w:val="28"/>
          <w:szCs w:val="28"/>
        </w:rPr>
        <w:t>– </w:t>
      </w:r>
      <w:r>
        <w:rPr>
          <w:rFonts w:ascii="Times New Roman" w:eastAsia="Times New Roman" w:hAnsi="Times New Roman"/>
          <w:sz w:val="28"/>
          <w:szCs w:val="28"/>
        </w:rPr>
        <w:t>с</w:t>
      </w:r>
      <w:r w:rsidR="00CB75C8" w:rsidRPr="00577593">
        <w:rPr>
          <w:rFonts w:ascii="Times New Roman" w:eastAsia="Times New Roman" w:hAnsi="Times New Roman"/>
          <w:sz w:val="28"/>
          <w:szCs w:val="28"/>
        </w:rPr>
        <w:t>нижение негативного воздействия на водные объекты.</w:t>
      </w:r>
    </w:p>
    <w:p w:rsidR="00FC41F4" w:rsidRPr="00577593" w:rsidRDefault="008925FA" w:rsidP="008D738C">
      <w:pPr>
        <w:pStyle w:val="3"/>
        <w:pBdr>
          <w:top w:val="none" w:sz="4" w:space="0" w:color="000000"/>
          <w:left w:val="none" w:sz="4" w:space="0" w:color="000000"/>
          <w:bottom w:val="none" w:sz="4" w:space="0" w:color="000000"/>
          <w:right w:val="none" w:sz="4" w:space="0" w:color="000000"/>
        </w:pBdr>
        <w:spacing w:before="0" w:line="240" w:lineRule="auto"/>
        <w:ind w:firstLine="709"/>
        <w:jc w:val="both"/>
        <w:rPr>
          <w:rFonts w:ascii="Times New Roman" w:hAnsi="Times New Roman"/>
          <w:bCs/>
          <w:color w:val="auto"/>
          <w:sz w:val="28"/>
          <w:szCs w:val="28"/>
        </w:rPr>
      </w:pPr>
      <w:bookmarkStart w:id="531" w:name="_Toc208496750"/>
      <w:bookmarkStart w:id="532" w:name="_Toc208669032"/>
      <w:bookmarkStart w:id="533" w:name="_Toc212804384"/>
      <w:r w:rsidRPr="00577593">
        <w:rPr>
          <w:rFonts w:ascii="Times New Roman" w:eastAsia="Times New Roman" w:hAnsi="Times New Roman"/>
          <w:bCs/>
          <w:color w:val="auto"/>
          <w:sz w:val="28"/>
          <w:szCs w:val="28"/>
        </w:rPr>
        <w:t>9.3.5.1. Развитие системы раздельного сбора мусора</w:t>
      </w:r>
      <w:bookmarkEnd w:id="531"/>
      <w:bookmarkEnd w:id="532"/>
      <w:bookmarkEnd w:id="533"/>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В рамках перехода страны к экономике замкнутого цикла необходимо развитие системы раздельного сбора мусора. Реализация этого направления зависит от территориальной схемы обращения с отходами и строительства инвестором нового комплекса переработки отходов взамен отработавшего свой ресурс Барнаульского мусорного полигона. Создание на краевом уровне устойчивой системы обращения с твердыми коммунальными отходами, обеспечивающей сортировку и переработку отходов, позволит перейти к развитию необходимой инфраструктуры уже на городском уровне. Мероприятия по развитию системы раздельного сбора мусора должны включать общественную кампанию по пропаганде раздельного сбора среди горожан, в том числе в образовательных учреждениях города. Важно поддерживать частную инициативу по сбору и переработке мусора как в форме коммерческих предприятий, так и общественных начинаний.</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На текущий момент не на всей территории города созданы условия для вывоза мусора </w:t>
      </w:r>
      <w:r w:rsidR="00D53DC9" w:rsidRPr="00577593">
        <w:rPr>
          <w:rFonts w:ascii="Times New Roman" w:eastAsia="Times New Roman" w:hAnsi="Times New Roman"/>
          <w:sz w:val="28"/>
          <w:szCs w:val="28"/>
        </w:rPr>
        <w:t>–</w:t>
      </w:r>
      <w:r w:rsidRPr="00577593">
        <w:rPr>
          <w:rFonts w:ascii="Times New Roman" w:eastAsia="Times New Roman" w:hAnsi="Times New Roman"/>
          <w:sz w:val="28"/>
          <w:szCs w:val="28"/>
        </w:rPr>
        <w:t xml:space="preserve"> необходимо дооборудование контейнерных площадок на территориях ИЖС. Следует продолжать обновлять и оборудовать контейнерные площадки в зонах массовой жилой застройки.</w:t>
      </w:r>
    </w:p>
    <w:p w:rsidR="00FC41F4" w:rsidRPr="00577593" w:rsidRDefault="000F40F6"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lastRenderedPageBreak/>
        <w:t>С целью поддержания санитарного состояния территории города будет продолжена работа по очистке мест несанкционированного размещения отходов.</w:t>
      </w:r>
    </w:p>
    <w:p w:rsidR="00FC41F4" w:rsidRPr="00577593" w:rsidRDefault="008925FA" w:rsidP="008D738C">
      <w:pPr>
        <w:pStyle w:val="3"/>
        <w:pBdr>
          <w:top w:val="none" w:sz="4" w:space="0" w:color="000000"/>
          <w:left w:val="none" w:sz="4" w:space="0" w:color="000000"/>
          <w:bottom w:val="none" w:sz="4" w:space="0" w:color="000000"/>
          <w:right w:val="none" w:sz="4" w:space="0" w:color="000000"/>
        </w:pBdr>
        <w:spacing w:before="0" w:line="240" w:lineRule="auto"/>
        <w:ind w:firstLine="709"/>
        <w:jc w:val="both"/>
        <w:rPr>
          <w:rFonts w:ascii="Times New Roman" w:hAnsi="Times New Roman"/>
          <w:bCs/>
          <w:color w:val="auto"/>
          <w:sz w:val="28"/>
          <w:szCs w:val="28"/>
        </w:rPr>
      </w:pPr>
      <w:bookmarkStart w:id="534" w:name="_Toc208496751"/>
      <w:bookmarkStart w:id="535" w:name="_Toc208669033"/>
      <w:bookmarkStart w:id="536" w:name="_Toc212804385"/>
      <w:r w:rsidRPr="00577593">
        <w:rPr>
          <w:rFonts w:ascii="Times New Roman" w:eastAsia="Times New Roman" w:hAnsi="Times New Roman"/>
          <w:bCs/>
          <w:color w:val="auto"/>
          <w:sz w:val="28"/>
          <w:szCs w:val="28"/>
        </w:rPr>
        <w:t>9.3.5.2</w:t>
      </w:r>
      <w:r w:rsidR="00584F00">
        <w:rPr>
          <w:rFonts w:ascii="Times New Roman" w:eastAsia="Times New Roman" w:hAnsi="Times New Roman"/>
          <w:bCs/>
          <w:color w:val="auto"/>
          <w:sz w:val="28"/>
          <w:szCs w:val="28"/>
        </w:rPr>
        <w:t>.</w:t>
      </w:r>
      <w:r w:rsidRPr="00577593">
        <w:rPr>
          <w:rFonts w:ascii="Times New Roman" w:eastAsia="Times New Roman" w:hAnsi="Times New Roman"/>
          <w:bCs/>
          <w:color w:val="auto"/>
          <w:sz w:val="28"/>
          <w:szCs w:val="28"/>
        </w:rPr>
        <w:t xml:space="preserve"> Снижение уровня загрязнения воздуха</w:t>
      </w:r>
      <w:bookmarkEnd w:id="534"/>
      <w:bookmarkEnd w:id="535"/>
      <w:bookmarkEnd w:id="536"/>
    </w:p>
    <w:p w:rsidR="00FC41F4" w:rsidRPr="00577593" w:rsidRDefault="00DB101E"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Улучшение качества воздуха в городе Барнауле способствует повышению комфортности проживания горожан. </w:t>
      </w:r>
    </w:p>
    <w:p w:rsidR="00FC41F4" w:rsidRPr="00577593" w:rsidRDefault="00DB101E"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В связи с тем, что уровень загрязнения атмосферы оценивается как «высокий», реализация мероприятий </w:t>
      </w:r>
      <w:r w:rsidR="00BE7334" w:rsidRPr="00577593">
        <w:rPr>
          <w:rFonts w:ascii="Times New Roman" w:eastAsia="Times New Roman" w:hAnsi="Times New Roman"/>
          <w:sz w:val="28"/>
          <w:szCs w:val="28"/>
        </w:rPr>
        <w:t xml:space="preserve">в рамках </w:t>
      </w:r>
      <w:r w:rsidR="008925FA" w:rsidRPr="00577593">
        <w:rPr>
          <w:rFonts w:ascii="Times New Roman" w:eastAsia="Times New Roman" w:hAnsi="Times New Roman"/>
          <w:sz w:val="28"/>
          <w:szCs w:val="28"/>
        </w:rPr>
        <w:t>федерального проекта «Чистый воздух» национального проект</w:t>
      </w:r>
      <w:r w:rsidRPr="00577593">
        <w:rPr>
          <w:rFonts w:ascii="Times New Roman" w:eastAsia="Times New Roman" w:hAnsi="Times New Roman"/>
          <w:sz w:val="28"/>
          <w:szCs w:val="28"/>
        </w:rPr>
        <w:t>а «Экологическое благополучие» позволит к</w:t>
      </w:r>
      <w:r w:rsidR="008925FA" w:rsidRPr="00577593">
        <w:rPr>
          <w:rFonts w:ascii="Times New Roman" w:eastAsia="Times New Roman" w:hAnsi="Times New Roman"/>
          <w:sz w:val="28"/>
          <w:szCs w:val="28"/>
        </w:rPr>
        <w:t xml:space="preserve"> 2036 году </w:t>
      </w:r>
      <w:r w:rsidR="007308D9" w:rsidRPr="00577593">
        <w:rPr>
          <w:rFonts w:ascii="Times New Roman" w:eastAsia="Times New Roman" w:hAnsi="Times New Roman"/>
          <w:sz w:val="28"/>
          <w:szCs w:val="28"/>
        </w:rPr>
        <w:t xml:space="preserve">сократить объем вредных выбросов в два раза относительно </w:t>
      </w:r>
      <w:r w:rsidR="008925FA" w:rsidRPr="00577593">
        <w:rPr>
          <w:rFonts w:ascii="Times New Roman" w:eastAsia="Times New Roman" w:hAnsi="Times New Roman"/>
          <w:sz w:val="28"/>
          <w:szCs w:val="28"/>
        </w:rPr>
        <w:t>показател</w:t>
      </w:r>
      <w:r w:rsidR="007308D9" w:rsidRPr="00577593">
        <w:rPr>
          <w:rFonts w:ascii="Times New Roman" w:eastAsia="Times New Roman" w:hAnsi="Times New Roman"/>
          <w:sz w:val="28"/>
          <w:szCs w:val="28"/>
        </w:rPr>
        <w:t>ей</w:t>
      </w:r>
      <w:r w:rsidR="008925FA" w:rsidRPr="00577593">
        <w:rPr>
          <w:rFonts w:ascii="Times New Roman" w:eastAsia="Times New Roman" w:hAnsi="Times New Roman"/>
          <w:sz w:val="28"/>
          <w:szCs w:val="28"/>
        </w:rPr>
        <w:t xml:space="preserve"> 2020 года.</w:t>
      </w:r>
    </w:p>
    <w:p w:rsidR="00FC41F4" w:rsidRPr="00577593" w:rsidRDefault="008925FA" w:rsidP="008D738C">
      <w:pPr>
        <w:pStyle w:val="3"/>
        <w:pBdr>
          <w:top w:val="none" w:sz="4" w:space="0" w:color="000000"/>
          <w:left w:val="none" w:sz="4" w:space="0" w:color="000000"/>
          <w:bottom w:val="none" w:sz="4" w:space="0" w:color="000000"/>
          <w:right w:val="none" w:sz="4" w:space="0" w:color="000000"/>
        </w:pBdr>
        <w:spacing w:before="0" w:line="240" w:lineRule="auto"/>
        <w:ind w:firstLine="709"/>
        <w:jc w:val="both"/>
        <w:rPr>
          <w:rFonts w:ascii="Times New Roman" w:hAnsi="Times New Roman"/>
          <w:bCs/>
          <w:color w:val="auto"/>
          <w:sz w:val="28"/>
          <w:szCs w:val="28"/>
        </w:rPr>
      </w:pPr>
      <w:bookmarkStart w:id="537" w:name="_Toc208496752"/>
      <w:bookmarkStart w:id="538" w:name="_Toc208669034"/>
      <w:bookmarkStart w:id="539" w:name="_Toc212804386"/>
      <w:r w:rsidRPr="00577593">
        <w:rPr>
          <w:rFonts w:ascii="Times New Roman" w:eastAsia="Times New Roman" w:hAnsi="Times New Roman"/>
          <w:bCs/>
          <w:color w:val="auto"/>
          <w:sz w:val="28"/>
          <w:szCs w:val="28"/>
        </w:rPr>
        <w:t>9.3.5.3</w:t>
      </w:r>
      <w:r w:rsidR="00584F00">
        <w:rPr>
          <w:rFonts w:ascii="Times New Roman" w:eastAsia="Times New Roman" w:hAnsi="Times New Roman"/>
          <w:bCs/>
          <w:color w:val="auto"/>
          <w:sz w:val="28"/>
          <w:szCs w:val="28"/>
        </w:rPr>
        <w:t>.</w:t>
      </w:r>
      <w:r w:rsidRPr="00577593">
        <w:rPr>
          <w:rFonts w:ascii="Times New Roman" w:eastAsia="Times New Roman" w:hAnsi="Times New Roman"/>
          <w:bCs/>
          <w:color w:val="auto"/>
          <w:sz w:val="28"/>
          <w:szCs w:val="28"/>
        </w:rPr>
        <w:t xml:space="preserve"> Сохранение городских лесов</w:t>
      </w:r>
      <w:bookmarkEnd w:id="537"/>
      <w:bookmarkEnd w:id="538"/>
      <w:bookmarkEnd w:id="539"/>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Территория городских лесов </w:t>
      </w:r>
      <w:r w:rsidR="007F6D87">
        <w:rPr>
          <w:rFonts w:ascii="Times New Roman" w:eastAsia="Times New Roman" w:hAnsi="Times New Roman"/>
          <w:sz w:val="28"/>
          <w:szCs w:val="28"/>
        </w:rPr>
        <w:t xml:space="preserve">города </w:t>
      </w:r>
      <w:r w:rsidRPr="00577593">
        <w:rPr>
          <w:rFonts w:ascii="Times New Roman" w:eastAsia="Times New Roman" w:hAnsi="Times New Roman"/>
          <w:sz w:val="28"/>
          <w:szCs w:val="28"/>
        </w:rPr>
        <w:t xml:space="preserve">Барнаула является важной частью природного каркаса города, куда также входит Ленточный бор и река Обь. Их сохранение и защита </w:t>
      </w:r>
      <w:r w:rsidR="00D53DC9" w:rsidRPr="00577593">
        <w:rPr>
          <w:rFonts w:ascii="Times New Roman" w:eastAsia="Times New Roman" w:hAnsi="Times New Roman"/>
          <w:sz w:val="28"/>
          <w:szCs w:val="28"/>
        </w:rPr>
        <w:t>–</w:t>
      </w:r>
      <w:r w:rsidRPr="00577593">
        <w:rPr>
          <w:rFonts w:ascii="Times New Roman" w:eastAsia="Times New Roman" w:hAnsi="Times New Roman"/>
          <w:sz w:val="28"/>
          <w:szCs w:val="28"/>
        </w:rPr>
        <w:t xml:space="preserve"> задача для городских властей.</w:t>
      </w:r>
    </w:p>
    <w:p w:rsidR="00FC41F4" w:rsidRPr="00577593" w:rsidRDefault="008925FA" w:rsidP="008D738C">
      <w:pPr>
        <w:pStyle w:val="3"/>
        <w:pBdr>
          <w:top w:val="none" w:sz="4" w:space="0" w:color="000000"/>
          <w:left w:val="none" w:sz="4" w:space="0" w:color="000000"/>
          <w:bottom w:val="none" w:sz="4" w:space="0" w:color="000000"/>
          <w:right w:val="none" w:sz="4" w:space="0" w:color="000000"/>
        </w:pBdr>
        <w:spacing w:before="0" w:line="240" w:lineRule="auto"/>
        <w:ind w:firstLine="709"/>
        <w:jc w:val="both"/>
        <w:rPr>
          <w:rFonts w:ascii="Times New Roman" w:hAnsi="Times New Roman"/>
          <w:bCs/>
          <w:color w:val="auto"/>
          <w:sz w:val="28"/>
          <w:szCs w:val="28"/>
        </w:rPr>
      </w:pPr>
      <w:bookmarkStart w:id="540" w:name="_Toc208496753"/>
      <w:bookmarkStart w:id="541" w:name="_Toc208669035"/>
      <w:bookmarkStart w:id="542" w:name="_Toc212804387"/>
      <w:r w:rsidRPr="00577593">
        <w:rPr>
          <w:rFonts w:ascii="Times New Roman" w:eastAsia="Times New Roman" w:hAnsi="Times New Roman"/>
          <w:bCs/>
          <w:color w:val="auto"/>
          <w:sz w:val="28"/>
          <w:szCs w:val="28"/>
        </w:rPr>
        <w:t>9.3.5.4</w:t>
      </w:r>
      <w:r w:rsidR="00584F00">
        <w:rPr>
          <w:rFonts w:ascii="Times New Roman" w:eastAsia="Times New Roman" w:hAnsi="Times New Roman"/>
          <w:bCs/>
          <w:color w:val="auto"/>
          <w:sz w:val="28"/>
          <w:szCs w:val="28"/>
        </w:rPr>
        <w:t>.</w:t>
      </w:r>
      <w:r w:rsidRPr="00577593">
        <w:rPr>
          <w:rFonts w:ascii="Times New Roman" w:eastAsia="Times New Roman" w:hAnsi="Times New Roman"/>
          <w:bCs/>
          <w:color w:val="auto"/>
          <w:sz w:val="28"/>
          <w:szCs w:val="28"/>
        </w:rPr>
        <w:t xml:space="preserve"> Контроль ситуации с безнадзорными животными</w:t>
      </w:r>
      <w:bookmarkEnd w:id="540"/>
      <w:bookmarkEnd w:id="541"/>
      <w:bookmarkEnd w:id="542"/>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Необходимо продолжать прикладывать усилия по уменьшению количества безнадзорных животных (в первую очередь собак) на территории городского округа через проведение меткования соб</w:t>
      </w:r>
      <w:r w:rsidR="002F6B89" w:rsidRPr="00577593">
        <w:rPr>
          <w:rFonts w:ascii="Times New Roman" w:eastAsia="Times New Roman" w:hAnsi="Times New Roman"/>
          <w:sz w:val="28"/>
          <w:szCs w:val="28"/>
        </w:rPr>
        <w:t>ак, их стерилизацию и содержание</w:t>
      </w:r>
      <w:r w:rsidRPr="00577593">
        <w:rPr>
          <w:rFonts w:ascii="Times New Roman" w:eastAsia="Times New Roman" w:hAnsi="Times New Roman"/>
          <w:sz w:val="28"/>
          <w:szCs w:val="28"/>
        </w:rPr>
        <w:t xml:space="preserve"> в приютах. Важно оказывать помощь общественным организациям в содержании приютов.</w:t>
      </w:r>
    </w:p>
    <w:p w:rsidR="00FC41F4" w:rsidRPr="00577593" w:rsidRDefault="008925FA" w:rsidP="008D738C">
      <w:pPr>
        <w:pStyle w:val="3"/>
        <w:pBdr>
          <w:top w:val="none" w:sz="4" w:space="0" w:color="000000"/>
          <w:left w:val="none" w:sz="4" w:space="0" w:color="000000"/>
          <w:bottom w:val="none" w:sz="4" w:space="0" w:color="000000"/>
          <w:right w:val="none" w:sz="4" w:space="0" w:color="000000"/>
        </w:pBdr>
        <w:spacing w:before="0" w:line="240" w:lineRule="auto"/>
        <w:ind w:firstLine="709"/>
        <w:jc w:val="both"/>
        <w:rPr>
          <w:rFonts w:ascii="Times New Roman" w:hAnsi="Times New Roman"/>
          <w:color w:val="auto"/>
          <w:sz w:val="28"/>
          <w:szCs w:val="28"/>
        </w:rPr>
      </w:pPr>
      <w:bookmarkStart w:id="543" w:name="_Toc208669036"/>
      <w:bookmarkStart w:id="544" w:name="_Toc212804388"/>
      <w:r w:rsidRPr="00577593">
        <w:rPr>
          <w:rFonts w:ascii="Times New Roman" w:eastAsia="Times New Roman" w:hAnsi="Times New Roman"/>
          <w:color w:val="auto"/>
          <w:sz w:val="28"/>
          <w:szCs w:val="28"/>
        </w:rPr>
        <w:t>9.3.5.5</w:t>
      </w:r>
      <w:r w:rsidR="00584F00">
        <w:rPr>
          <w:rFonts w:ascii="Times New Roman" w:eastAsia="Times New Roman" w:hAnsi="Times New Roman"/>
          <w:color w:val="auto"/>
          <w:sz w:val="28"/>
          <w:szCs w:val="28"/>
        </w:rPr>
        <w:t>.</w:t>
      </w:r>
      <w:r w:rsidRPr="00577593">
        <w:rPr>
          <w:rFonts w:ascii="Times New Roman" w:eastAsia="Times New Roman" w:hAnsi="Times New Roman"/>
          <w:color w:val="auto"/>
          <w:sz w:val="28"/>
          <w:szCs w:val="28"/>
        </w:rPr>
        <w:t xml:space="preserve"> Снижение негативного воздействия на водные объекты</w:t>
      </w:r>
      <w:bookmarkEnd w:id="543"/>
      <w:bookmarkEnd w:id="544"/>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Одним из приоритетных направлений по охране окружающей среды </w:t>
      </w:r>
      <w:r w:rsidR="002F6B89" w:rsidRPr="00577593">
        <w:rPr>
          <w:rFonts w:ascii="Times New Roman" w:eastAsia="Times New Roman" w:hAnsi="Times New Roman"/>
          <w:sz w:val="28"/>
          <w:szCs w:val="28"/>
        </w:rPr>
        <w:br/>
      </w:r>
      <w:r w:rsidRPr="00577593">
        <w:rPr>
          <w:rFonts w:ascii="Times New Roman" w:eastAsia="Times New Roman" w:hAnsi="Times New Roman"/>
          <w:sz w:val="28"/>
          <w:szCs w:val="28"/>
        </w:rPr>
        <w:t xml:space="preserve">в городе Барнауле является также снижение негативного воздействия </w:t>
      </w:r>
      <w:r w:rsidR="002F6B89" w:rsidRPr="00577593">
        <w:rPr>
          <w:rFonts w:ascii="Times New Roman" w:eastAsia="Times New Roman" w:hAnsi="Times New Roman"/>
          <w:sz w:val="28"/>
          <w:szCs w:val="28"/>
        </w:rPr>
        <w:br/>
      </w:r>
      <w:r w:rsidRPr="00577593">
        <w:rPr>
          <w:rFonts w:ascii="Times New Roman" w:eastAsia="Times New Roman" w:hAnsi="Times New Roman"/>
          <w:sz w:val="28"/>
          <w:szCs w:val="28"/>
        </w:rPr>
        <w:t xml:space="preserve">на водные объекты и улучшение их санитарно-экологического состояния. </w:t>
      </w:r>
      <w:r w:rsidR="002F6B89" w:rsidRPr="00577593">
        <w:rPr>
          <w:rFonts w:ascii="Times New Roman" w:eastAsia="Times New Roman" w:hAnsi="Times New Roman"/>
          <w:sz w:val="28"/>
          <w:szCs w:val="28"/>
        </w:rPr>
        <w:br/>
      </w:r>
      <w:r w:rsidRPr="00577593">
        <w:rPr>
          <w:rFonts w:ascii="Times New Roman" w:eastAsia="Times New Roman" w:hAnsi="Times New Roman"/>
          <w:sz w:val="28"/>
          <w:szCs w:val="28"/>
        </w:rPr>
        <w:t>В данном вопросе органами местного самоуправления в пределах установленных полномочий с целью предотвращения попадания в водные объекты загрязненных поверхностных сточных вод необходимо осуществлять работу по проектированию и строительству очистных сооружений.</w:t>
      </w:r>
    </w:p>
    <w:p w:rsidR="00FC41F4" w:rsidRPr="00577593" w:rsidRDefault="00FC41F4"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p>
    <w:p w:rsidR="00FC41F4" w:rsidRPr="00577593" w:rsidRDefault="008925FA" w:rsidP="008D738C">
      <w:pPr>
        <w:pStyle w:val="3"/>
        <w:spacing w:before="0" w:line="240" w:lineRule="auto"/>
        <w:ind w:firstLine="709"/>
        <w:jc w:val="both"/>
        <w:rPr>
          <w:rFonts w:ascii="Times New Roman" w:eastAsia="Times New Roman" w:hAnsi="Times New Roman"/>
          <w:b/>
          <w:bCs/>
          <w:color w:val="auto"/>
          <w:sz w:val="28"/>
          <w:szCs w:val="28"/>
        </w:rPr>
      </w:pPr>
      <w:bookmarkStart w:id="545" w:name="_Toc212804389"/>
      <w:r w:rsidRPr="00577593">
        <w:rPr>
          <w:rFonts w:ascii="Times New Roman" w:eastAsia="Times New Roman" w:hAnsi="Times New Roman"/>
          <w:b/>
          <w:bCs/>
          <w:color w:val="auto"/>
          <w:sz w:val="28"/>
          <w:szCs w:val="28"/>
        </w:rPr>
        <w:t>9.4</w:t>
      </w:r>
      <w:r w:rsidR="008D738C">
        <w:rPr>
          <w:rFonts w:ascii="Times New Roman" w:eastAsia="Times New Roman" w:hAnsi="Times New Roman"/>
          <w:b/>
          <w:bCs/>
          <w:color w:val="auto"/>
          <w:sz w:val="28"/>
          <w:szCs w:val="28"/>
        </w:rPr>
        <w:t>.</w:t>
      </w:r>
      <w:r w:rsidRPr="00577593">
        <w:rPr>
          <w:rFonts w:ascii="Times New Roman" w:eastAsia="Times New Roman" w:hAnsi="Times New Roman"/>
          <w:b/>
          <w:bCs/>
          <w:color w:val="auto"/>
          <w:sz w:val="28"/>
          <w:szCs w:val="28"/>
        </w:rPr>
        <w:t xml:space="preserve"> Стратегическое направление «Развитие межмуниципальных и международных связей»</w:t>
      </w:r>
      <w:bookmarkEnd w:id="545"/>
    </w:p>
    <w:p w:rsidR="00FC41F4" w:rsidRPr="00577593" w:rsidRDefault="008925FA" w:rsidP="008D738C">
      <w:pPr>
        <w:pStyle w:val="3"/>
        <w:spacing w:before="0" w:line="240" w:lineRule="auto"/>
        <w:ind w:firstLine="709"/>
        <w:jc w:val="both"/>
        <w:rPr>
          <w:rFonts w:ascii="Times New Roman" w:eastAsia="Times New Roman" w:hAnsi="Times New Roman"/>
          <w:b/>
          <w:color w:val="auto"/>
          <w:sz w:val="28"/>
          <w:szCs w:val="28"/>
        </w:rPr>
      </w:pPr>
      <w:bookmarkStart w:id="546" w:name="_Toc204923096"/>
      <w:bookmarkStart w:id="547" w:name="_Toc204933430"/>
      <w:bookmarkStart w:id="548" w:name="_Toc208496755"/>
      <w:bookmarkStart w:id="549" w:name="_Toc208669038"/>
      <w:bookmarkStart w:id="550" w:name="_Toc212804390"/>
      <w:r w:rsidRPr="00577593">
        <w:rPr>
          <w:rFonts w:ascii="Times New Roman" w:eastAsia="Times New Roman" w:hAnsi="Times New Roman"/>
          <w:b/>
          <w:color w:val="auto"/>
          <w:sz w:val="28"/>
          <w:szCs w:val="28"/>
        </w:rPr>
        <w:t>9.4.1</w:t>
      </w:r>
      <w:r w:rsidR="00584F00">
        <w:rPr>
          <w:rFonts w:ascii="Times New Roman" w:eastAsia="Times New Roman" w:hAnsi="Times New Roman"/>
          <w:b/>
          <w:color w:val="auto"/>
          <w:sz w:val="28"/>
          <w:szCs w:val="28"/>
        </w:rPr>
        <w:t>.</w:t>
      </w:r>
      <w:r w:rsidRPr="00577593">
        <w:rPr>
          <w:rFonts w:ascii="Times New Roman" w:eastAsia="Times New Roman" w:hAnsi="Times New Roman"/>
          <w:b/>
          <w:color w:val="auto"/>
          <w:sz w:val="28"/>
          <w:szCs w:val="28"/>
        </w:rPr>
        <w:t xml:space="preserve"> Развитие в рамках Ассоциации «Барнаульская агломерация интеграционного развития территорий»</w:t>
      </w:r>
      <w:bookmarkEnd w:id="546"/>
      <w:bookmarkEnd w:id="547"/>
      <w:bookmarkEnd w:id="548"/>
      <w:bookmarkEnd w:id="549"/>
      <w:bookmarkEnd w:id="550"/>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Стратегия социально-экономического развития Алтайского края </w:t>
      </w:r>
      <w:r w:rsidR="004110DD" w:rsidRPr="00577593">
        <w:rPr>
          <w:rFonts w:ascii="Times New Roman" w:eastAsia="Times New Roman" w:hAnsi="Times New Roman"/>
          <w:sz w:val="28"/>
          <w:szCs w:val="28"/>
        </w:rPr>
        <w:br/>
      </w:r>
      <w:r w:rsidRPr="00577593">
        <w:rPr>
          <w:rFonts w:ascii="Times New Roman" w:eastAsia="Times New Roman" w:hAnsi="Times New Roman"/>
          <w:sz w:val="28"/>
          <w:szCs w:val="28"/>
        </w:rPr>
        <w:t>до 2035 года включает цель: «Обеспечение территориально сбалансированной экономики муниципальных образований за счет эффективного использования имеющихся ресурсов».</w:t>
      </w:r>
    </w:p>
    <w:p w:rsidR="00FC41F4" w:rsidRPr="00577593" w:rsidRDefault="008925FA" w:rsidP="008D738C">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Одной из стратегических задач является «</w:t>
      </w:r>
      <w:r w:rsidR="000537F1" w:rsidRPr="00577593">
        <w:rPr>
          <w:rFonts w:ascii="Times New Roman" w:eastAsia="Times New Roman" w:hAnsi="Times New Roman"/>
          <w:sz w:val="28"/>
          <w:szCs w:val="28"/>
        </w:rPr>
        <w:t>ф</w:t>
      </w:r>
      <w:r w:rsidRPr="00577593">
        <w:rPr>
          <w:rFonts w:ascii="Times New Roman" w:eastAsia="Times New Roman" w:hAnsi="Times New Roman"/>
          <w:sz w:val="28"/>
          <w:szCs w:val="28"/>
        </w:rPr>
        <w:t>ормирование опорных центров экономического роста, обеспечение качества пространственного развития». В числе направлений пространственной политики в Алтайском крае определено создание агломерационных систем.</w:t>
      </w:r>
    </w:p>
    <w:p w:rsidR="00FC41F4" w:rsidRPr="00577593" w:rsidRDefault="008925FA" w:rsidP="008D738C">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Барнаульская агломерация сформировалась на северо-востоке Алтайского края вокруг столицы края </w:t>
      </w:r>
      <w:r w:rsidR="00D53DC9" w:rsidRPr="00577593">
        <w:rPr>
          <w:rFonts w:ascii="Times New Roman" w:eastAsia="Times New Roman" w:hAnsi="Times New Roman"/>
          <w:sz w:val="28"/>
          <w:szCs w:val="28"/>
        </w:rPr>
        <w:t>–</w:t>
      </w:r>
      <w:r w:rsidRPr="00577593">
        <w:rPr>
          <w:rFonts w:ascii="Times New Roman" w:eastAsia="Times New Roman" w:hAnsi="Times New Roman"/>
          <w:sz w:val="28"/>
          <w:szCs w:val="28"/>
        </w:rPr>
        <w:t xml:space="preserve"> города Барнаула, и является </w:t>
      </w:r>
      <w:r w:rsidRPr="00577593">
        <w:rPr>
          <w:rFonts w:ascii="Times New Roman" w:eastAsia="Times New Roman" w:hAnsi="Times New Roman"/>
          <w:sz w:val="28"/>
          <w:szCs w:val="28"/>
        </w:rPr>
        <w:lastRenderedPageBreak/>
        <w:t xml:space="preserve">одноядерной. В 2012 году учреждена и зарегистрирована в качестве юридического лица Ассоциация «Барнаульская агломерация интеграционного развития территорий» </w:t>
      </w:r>
      <w:r w:rsidR="00D53DC9" w:rsidRPr="00577593">
        <w:rPr>
          <w:rFonts w:ascii="Times New Roman" w:eastAsia="Times New Roman" w:hAnsi="Times New Roman"/>
          <w:sz w:val="28"/>
          <w:szCs w:val="28"/>
        </w:rPr>
        <w:t>–</w:t>
      </w:r>
      <w:r w:rsidRPr="00577593">
        <w:rPr>
          <w:rFonts w:ascii="Times New Roman" w:eastAsia="Times New Roman" w:hAnsi="Times New Roman"/>
          <w:sz w:val="28"/>
          <w:szCs w:val="28"/>
        </w:rPr>
        <w:t xml:space="preserve"> первый в России орган управления агломерацией со статусом юридического лица. В настоящее время в Барнаульскую агломерацию входят города Барнаул и Новоалтайск, а также Первомайский и Павловский муниципальные районы (</w:t>
      </w:r>
      <w:r w:rsidR="00D558A5">
        <w:fldChar w:fldCharType="begin"/>
      </w:r>
      <w:r w:rsidR="00D558A5">
        <w:instrText xml:space="preserve"> REF _Ref204913611 \h  \* MERGEFORMAT </w:instrText>
      </w:r>
      <w:r w:rsidR="00D558A5">
        <w:fldChar w:fldCharType="separate"/>
      </w:r>
      <w:r w:rsidR="00071499" w:rsidRPr="00577593">
        <w:rPr>
          <w:rFonts w:ascii="Times New Roman" w:hAnsi="Times New Roman"/>
          <w:sz w:val="28"/>
          <w:szCs w:val="28"/>
        </w:rPr>
        <w:t xml:space="preserve">Рисунок </w:t>
      </w:r>
      <w:r w:rsidR="00071499">
        <w:rPr>
          <w:rFonts w:ascii="Times New Roman" w:hAnsi="Times New Roman"/>
          <w:sz w:val="28"/>
          <w:szCs w:val="28"/>
        </w:rPr>
        <w:t>73</w:t>
      </w:r>
      <w:r w:rsidR="00D558A5">
        <w:fldChar w:fldCharType="end"/>
      </w:r>
      <w:r w:rsidRPr="00577593">
        <w:rPr>
          <w:rFonts w:ascii="Times New Roman" w:eastAsia="Times New Roman" w:hAnsi="Times New Roman"/>
          <w:sz w:val="28"/>
          <w:szCs w:val="28"/>
        </w:rPr>
        <w:t>). Общая площадь территории агломерации 6814 кв. км, на которой проживает около 85</w:t>
      </w:r>
      <w:r w:rsidR="00DC3713" w:rsidRPr="00577593">
        <w:rPr>
          <w:rFonts w:ascii="Times New Roman" w:eastAsia="Times New Roman" w:hAnsi="Times New Roman"/>
          <w:sz w:val="28"/>
          <w:szCs w:val="28"/>
        </w:rPr>
        <w:t>4</w:t>
      </w:r>
      <w:r w:rsidRPr="00577593">
        <w:rPr>
          <w:rFonts w:ascii="Times New Roman" w:eastAsia="Times New Roman" w:hAnsi="Times New Roman"/>
          <w:sz w:val="28"/>
          <w:szCs w:val="28"/>
        </w:rPr>
        <w:t xml:space="preserve"> тысяч человек (40,</w:t>
      </w:r>
      <w:r w:rsidR="00DC3713" w:rsidRPr="00577593">
        <w:rPr>
          <w:rFonts w:ascii="Times New Roman" w:eastAsia="Times New Roman" w:hAnsi="Times New Roman"/>
          <w:sz w:val="28"/>
          <w:szCs w:val="28"/>
        </w:rPr>
        <w:t>7</w:t>
      </w:r>
      <w:r w:rsidRPr="00577593">
        <w:rPr>
          <w:rFonts w:ascii="Times New Roman" w:eastAsia="Times New Roman" w:hAnsi="Times New Roman"/>
          <w:sz w:val="28"/>
          <w:szCs w:val="28"/>
        </w:rPr>
        <w:t>% жителей региона). С учетом потенциальных территорий Калманского, Косихинского и Тальменского районов, с</w:t>
      </w:r>
      <w:r w:rsidR="00A028AA" w:rsidRPr="00577593">
        <w:rPr>
          <w:rFonts w:ascii="Times New Roman" w:eastAsia="Times New Roman" w:hAnsi="Times New Roman"/>
          <w:sz w:val="28"/>
          <w:szCs w:val="28"/>
        </w:rPr>
        <w:t> </w:t>
      </w:r>
      <w:r w:rsidRPr="00577593">
        <w:rPr>
          <w:rFonts w:ascii="Times New Roman" w:eastAsia="Times New Roman" w:hAnsi="Times New Roman"/>
          <w:sz w:val="28"/>
          <w:szCs w:val="28"/>
        </w:rPr>
        <w:t>которыми подписано соглашение о сотрудничестве, численност</w:t>
      </w:r>
      <w:r w:rsidR="00DC3713" w:rsidRPr="00577593">
        <w:rPr>
          <w:rFonts w:ascii="Times New Roman" w:eastAsia="Times New Roman" w:hAnsi="Times New Roman"/>
          <w:sz w:val="28"/>
          <w:szCs w:val="28"/>
        </w:rPr>
        <w:t>ь жителей агломерации составит</w:t>
      </w:r>
      <w:r w:rsidRPr="00577593">
        <w:rPr>
          <w:rFonts w:ascii="Times New Roman" w:eastAsia="Times New Roman" w:hAnsi="Times New Roman"/>
          <w:sz w:val="28"/>
          <w:szCs w:val="28"/>
        </w:rPr>
        <w:t xml:space="preserve"> 9</w:t>
      </w:r>
      <w:r w:rsidR="00DC3713" w:rsidRPr="00577593">
        <w:rPr>
          <w:rFonts w:ascii="Times New Roman" w:eastAsia="Times New Roman" w:hAnsi="Times New Roman"/>
          <w:sz w:val="28"/>
          <w:szCs w:val="28"/>
        </w:rPr>
        <w:t>20,5</w:t>
      </w:r>
      <w:r w:rsidRPr="00577593">
        <w:rPr>
          <w:rFonts w:ascii="Times New Roman" w:eastAsia="Times New Roman" w:hAnsi="Times New Roman"/>
          <w:sz w:val="28"/>
          <w:szCs w:val="28"/>
        </w:rPr>
        <w:t xml:space="preserve"> тысяч человек (43,8% жителей края).</w:t>
      </w:r>
    </w:p>
    <w:p w:rsidR="00912594" w:rsidRPr="00577593" w:rsidRDefault="00912594" w:rsidP="008D738C">
      <w:pPr>
        <w:pStyle w:val="3"/>
        <w:spacing w:before="0" w:line="240" w:lineRule="auto"/>
        <w:ind w:firstLine="709"/>
        <w:jc w:val="both"/>
        <w:rPr>
          <w:rFonts w:ascii="Times New Roman" w:eastAsia="Times New Roman" w:hAnsi="Times New Roman"/>
          <w:color w:val="auto"/>
          <w:sz w:val="28"/>
          <w:szCs w:val="28"/>
        </w:rPr>
      </w:pPr>
      <w:bookmarkStart w:id="551" w:name="_Toc212804391"/>
      <w:r w:rsidRPr="00577593">
        <w:rPr>
          <w:rFonts w:ascii="Times New Roman" w:eastAsia="Times New Roman" w:hAnsi="Times New Roman"/>
          <w:color w:val="auto"/>
          <w:sz w:val="28"/>
          <w:szCs w:val="28"/>
        </w:rPr>
        <w:t>Направления реализации задачи «Развитие в рамках Ассоциации «Барнаульская агломерация интеграционного развития территорий» в городе Барнауле:</w:t>
      </w:r>
      <w:bookmarkEnd w:id="551"/>
    </w:p>
    <w:p w:rsidR="00912594" w:rsidRPr="00577593" w:rsidRDefault="00584F00" w:rsidP="00584F00">
      <w:pPr>
        <w:spacing w:after="0" w:line="240" w:lineRule="auto"/>
        <w:ind w:firstLine="709"/>
        <w:jc w:val="both"/>
        <w:rPr>
          <w:rFonts w:ascii="Times New Roman" w:hAnsi="Times New Roman"/>
          <w:sz w:val="28"/>
          <w:szCs w:val="28"/>
        </w:rPr>
      </w:pPr>
      <w:r w:rsidRPr="00584F00">
        <w:rPr>
          <w:rFonts w:ascii="Times New Roman" w:eastAsia="Times New Roman" w:hAnsi="Times New Roman"/>
          <w:sz w:val="28"/>
          <w:szCs w:val="28"/>
        </w:rPr>
        <w:t>– </w:t>
      </w:r>
      <w:r>
        <w:rPr>
          <w:rFonts w:ascii="Times New Roman" w:eastAsia="Times New Roman" w:hAnsi="Times New Roman"/>
          <w:sz w:val="28"/>
          <w:szCs w:val="28"/>
        </w:rPr>
        <w:t>с</w:t>
      </w:r>
      <w:r w:rsidR="00912594" w:rsidRPr="00577593">
        <w:rPr>
          <w:rFonts w:ascii="Times New Roman" w:eastAsia="Times New Roman" w:hAnsi="Times New Roman"/>
          <w:sz w:val="28"/>
          <w:szCs w:val="28"/>
        </w:rPr>
        <w:t>координированная политика развития промышленных площадок на территории Барнаульской агломерации;</w:t>
      </w:r>
    </w:p>
    <w:p w:rsidR="00912594" w:rsidRPr="00577593" w:rsidRDefault="00584F00" w:rsidP="00584F00">
      <w:pPr>
        <w:spacing w:after="0" w:line="240" w:lineRule="auto"/>
        <w:ind w:firstLine="709"/>
        <w:jc w:val="both"/>
        <w:rPr>
          <w:rFonts w:ascii="Times New Roman" w:hAnsi="Times New Roman"/>
          <w:sz w:val="28"/>
          <w:szCs w:val="28"/>
        </w:rPr>
      </w:pPr>
      <w:r w:rsidRPr="00584F00">
        <w:rPr>
          <w:rFonts w:ascii="Times New Roman" w:eastAsia="Times New Roman" w:hAnsi="Times New Roman"/>
          <w:sz w:val="28"/>
          <w:szCs w:val="28"/>
        </w:rPr>
        <w:t>– </w:t>
      </w:r>
      <w:r>
        <w:rPr>
          <w:rFonts w:ascii="Times New Roman" w:eastAsia="Times New Roman" w:hAnsi="Times New Roman"/>
          <w:sz w:val="28"/>
          <w:szCs w:val="28"/>
        </w:rPr>
        <w:t>п</w:t>
      </w:r>
      <w:r w:rsidR="00912594" w:rsidRPr="00577593">
        <w:rPr>
          <w:rFonts w:ascii="Times New Roman" w:eastAsia="Times New Roman" w:hAnsi="Times New Roman"/>
          <w:sz w:val="28"/>
          <w:szCs w:val="28"/>
        </w:rPr>
        <w:t>овышение связанности территории Барнаульской агломерации;</w:t>
      </w:r>
    </w:p>
    <w:p w:rsidR="00912594" w:rsidRPr="00577593" w:rsidRDefault="00584F00" w:rsidP="00584F00">
      <w:pPr>
        <w:spacing w:after="0" w:line="240" w:lineRule="auto"/>
        <w:ind w:firstLine="709"/>
        <w:jc w:val="both"/>
        <w:rPr>
          <w:rFonts w:ascii="Times New Roman" w:hAnsi="Times New Roman"/>
          <w:sz w:val="28"/>
          <w:szCs w:val="28"/>
        </w:rPr>
      </w:pPr>
      <w:r w:rsidRPr="00584F00">
        <w:rPr>
          <w:rFonts w:ascii="Times New Roman" w:eastAsia="Times New Roman" w:hAnsi="Times New Roman"/>
          <w:sz w:val="28"/>
          <w:szCs w:val="28"/>
        </w:rPr>
        <w:t>– </w:t>
      </w:r>
      <w:r>
        <w:rPr>
          <w:rFonts w:ascii="Times New Roman" w:eastAsia="Times New Roman" w:hAnsi="Times New Roman"/>
          <w:sz w:val="28"/>
          <w:szCs w:val="28"/>
        </w:rPr>
        <w:t>о</w:t>
      </w:r>
      <w:r w:rsidR="00912594" w:rsidRPr="00577593">
        <w:rPr>
          <w:rFonts w:ascii="Times New Roman" w:eastAsia="Times New Roman" w:hAnsi="Times New Roman"/>
          <w:sz w:val="28"/>
          <w:szCs w:val="28"/>
        </w:rPr>
        <w:t>беспечение дачных и коттеджный поселков горожан объектами инженерной, дорожно-транспортной и социальной инфраструктуры;</w:t>
      </w:r>
    </w:p>
    <w:p w:rsidR="00912594" w:rsidRPr="00577593" w:rsidRDefault="00584F00" w:rsidP="00584F00">
      <w:pPr>
        <w:spacing w:after="0" w:line="240" w:lineRule="auto"/>
        <w:ind w:firstLine="709"/>
        <w:jc w:val="both"/>
        <w:rPr>
          <w:rFonts w:ascii="Times New Roman" w:hAnsi="Times New Roman"/>
          <w:sz w:val="28"/>
          <w:szCs w:val="28"/>
        </w:rPr>
      </w:pPr>
      <w:r w:rsidRPr="00584F00">
        <w:rPr>
          <w:rFonts w:ascii="Times New Roman" w:eastAsia="Times New Roman" w:hAnsi="Times New Roman"/>
          <w:sz w:val="28"/>
          <w:szCs w:val="28"/>
        </w:rPr>
        <w:t>– </w:t>
      </w:r>
      <w:r>
        <w:rPr>
          <w:rFonts w:ascii="Times New Roman" w:eastAsia="Times New Roman" w:hAnsi="Times New Roman"/>
          <w:sz w:val="28"/>
          <w:szCs w:val="28"/>
        </w:rPr>
        <w:t>с</w:t>
      </w:r>
      <w:r w:rsidR="00912594" w:rsidRPr="00577593">
        <w:rPr>
          <w:rFonts w:ascii="Times New Roman" w:eastAsia="Times New Roman" w:hAnsi="Times New Roman"/>
          <w:sz w:val="28"/>
          <w:szCs w:val="28"/>
        </w:rPr>
        <w:t>овместное планирование рекреационной инфраструктуры в рамках Барнаульской агломерации.</w:t>
      </w:r>
    </w:p>
    <w:p w:rsidR="00912594" w:rsidRPr="008D738C" w:rsidRDefault="00912594" w:rsidP="008D738C">
      <w:pPr>
        <w:spacing w:line="240" w:lineRule="auto"/>
        <w:ind w:firstLine="709"/>
        <w:rPr>
          <w:rFonts w:ascii="Times New Roman" w:hAnsi="Times New Roman"/>
          <w:sz w:val="10"/>
          <w:szCs w:val="10"/>
        </w:rPr>
      </w:pPr>
    </w:p>
    <w:p w:rsidR="00FC41F4" w:rsidRPr="00577593" w:rsidRDefault="000D3F7A" w:rsidP="002000D4">
      <w:pPr>
        <w:spacing w:after="0" w:line="240" w:lineRule="auto"/>
        <w:jc w:val="center"/>
        <w:rPr>
          <w:rFonts w:ascii="Times New Roman" w:hAnsi="Times New Roman"/>
        </w:rPr>
      </w:pPr>
      <w:r w:rsidRPr="00577593">
        <w:rPr>
          <w:rFonts w:ascii="Times New Roman" w:hAnsi="Times New Roman"/>
          <w:noProof/>
          <w:lang w:eastAsia="ru-RU"/>
        </w:rPr>
        <w:drawing>
          <wp:inline distT="0" distB="0" distL="0" distR="0">
            <wp:extent cx="4702810" cy="3670935"/>
            <wp:effectExtent l="0" t="0" r="2540" b="5715"/>
            <wp:docPr id="73" name="Рисунок 1" descr="Изображение выглядит как карта, текст, атлас&#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Изображение выглядит как карта, текст, атлас&#10;&#10;Содержимое, созданное искусственным интеллектом, может быть неверным."/>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702810" cy="3670935"/>
                    </a:xfrm>
                    <a:prstGeom prst="rect">
                      <a:avLst/>
                    </a:prstGeom>
                    <a:noFill/>
                    <a:ln>
                      <a:noFill/>
                    </a:ln>
                  </pic:spPr>
                </pic:pic>
              </a:graphicData>
            </a:graphic>
          </wp:inline>
        </w:drawing>
      </w:r>
    </w:p>
    <w:p w:rsidR="00FC41F4" w:rsidRPr="00577593" w:rsidRDefault="008925FA" w:rsidP="002000D4">
      <w:pPr>
        <w:spacing w:line="240" w:lineRule="auto"/>
        <w:jc w:val="center"/>
        <w:rPr>
          <w:rFonts w:ascii="Times New Roman" w:hAnsi="Times New Roman"/>
          <w:sz w:val="28"/>
          <w:szCs w:val="28"/>
        </w:rPr>
      </w:pPr>
      <w:bookmarkStart w:id="552" w:name="_Ref204913611"/>
      <w:r w:rsidRPr="00577593">
        <w:rPr>
          <w:rFonts w:ascii="Times New Roman" w:hAnsi="Times New Roman"/>
          <w:sz w:val="28"/>
          <w:szCs w:val="28"/>
        </w:rPr>
        <w:t xml:space="preserve">Рисунок </w:t>
      </w:r>
      <w:r w:rsidR="008D738C">
        <w:rPr>
          <w:rFonts w:ascii="Times New Roman" w:hAnsi="Times New Roman"/>
          <w:sz w:val="28"/>
          <w:szCs w:val="28"/>
        </w:rPr>
        <w:t>73</w:t>
      </w:r>
      <w:bookmarkEnd w:id="552"/>
      <w:r w:rsidRPr="00577593">
        <w:rPr>
          <w:rFonts w:ascii="Times New Roman" w:hAnsi="Times New Roman"/>
          <w:sz w:val="28"/>
          <w:szCs w:val="28"/>
        </w:rPr>
        <w:t xml:space="preserve"> </w:t>
      </w:r>
      <w:r w:rsidR="00D53DC9" w:rsidRPr="00577593">
        <w:rPr>
          <w:rFonts w:ascii="Times New Roman" w:hAnsi="Times New Roman"/>
          <w:sz w:val="28"/>
          <w:szCs w:val="28"/>
        </w:rPr>
        <w:t>–</w:t>
      </w:r>
      <w:r w:rsidRPr="00577593">
        <w:rPr>
          <w:rFonts w:ascii="Times New Roman" w:hAnsi="Times New Roman"/>
          <w:sz w:val="28"/>
          <w:szCs w:val="28"/>
        </w:rPr>
        <w:t xml:space="preserve"> Границы Барнаульской агломерации</w:t>
      </w:r>
    </w:p>
    <w:p w:rsidR="00FC41F4" w:rsidRPr="00577593" w:rsidRDefault="008925FA" w:rsidP="002000D4">
      <w:pPr>
        <w:pStyle w:val="3"/>
        <w:spacing w:before="0" w:line="240" w:lineRule="auto"/>
        <w:ind w:firstLine="709"/>
        <w:jc w:val="both"/>
        <w:rPr>
          <w:rFonts w:ascii="Times New Roman" w:eastAsia="Times New Roman" w:hAnsi="Times New Roman"/>
          <w:color w:val="auto"/>
          <w:sz w:val="28"/>
          <w:szCs w:val="28"/>
        </w:rPr>
      </w:pPr>
      <w:bookmarkStart w:id="553" w:name="_Hlk204846232"/>
      <w:bookmarkStart w:id="554" w:name="_Toc204923097"/>
      <w:bookmarkStart w:id="555" w:name="_Toc204933431"/>
      <w:bookmarkStart w:id="556" w:name="_Toc208496756"/>
      <w:bookmarkStart w:id="557" w:name="_Toc208669039"/>
      <w:bookmarkStart w:id="558" w:name="_Toc212804392"/>
      <w:r w:rsidRPr="00577593">
        <w:rPr>
          <w:rFonts w:ascii="Times New Roman" w:eastAsia="Times New Roman" w:hAnsi="Times New Roman"/>
          <w:color w:val="auto"/>
          <w:sz w:val="28"/>
          <w:szCs w:val="28"/>
        </w:rPr>
        <w:lastRenderedPageBreak/>
        <w:t>9.4.1.1</w:t>
      </w:r>
      <w:r w:rsidR="00584F00">
        <w:rPr>
          <w:rFonts w:ascii="Times New Roman" w:eastAsia="Times New Roman" w:hAnsi="Times New Roman"/>
          <w:color w:val="auto"/>
          <w:sz w:val="28"/>
          <w:szCs w:val="28"/>
        </w:rPr>
        <w:t>.</w:t>
      </w:r>
      <w:bookmarkEnd w:id="553"/>
      <w:r w:rsidR="007F6D87">
        <w:rPr>
          <w:rFonts w:ascii="Times New Roman" w:eastAsia="Times New Roman" w:hAnsi="Times New Roman"/>
          <w:color w:val="auto"/>
          <w:sz w:val="28"/>
          <w:szCs w:val="28"/>
        </w:rPr>
        <w:t> </w:t>
      </w:r>
      <w:r w:rsidRPr="00577593">
        <w:rPr>
          <w:rFonts w:ascii="Times New Roman" w:eastAsia="Times New Roman" w:hAnsi="Times New Roman"/>
          <w:color w:val="auto"/>
          <w:sz w:val="28"/>
          <w:szCs w:val="28"/>
        </w:rPr>
        <w:t>Скоординированная политика развития промышленных площадок на территории Барнаульской агломерации</w:t>
      </w:r>
      <w:bookmarkEnd w:id="554"/>
      <w:bookmarkEnd w:id="555"/>
      <w:bookmarkEnd w:id="556"/>
      <w:bookmarkEnd w:id="557"/>
      <w:bookmarkEnd w:id="558"/>
    </w:p>
    <w:p w:rsidR="00FC41F4" w:rsidRPr="00577593" w:rsidRDefault="00584F00" w:rsidP="002000D4">
      <w:pPr>
        <w:spacing w:after="0" w:line="24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Город </w:t>
      </w:r>
      <w:r w:rsidR="008925FA" w:rsidRPr="00577593">
        <w:rPr>
          <w:rFonts w:ascii="Times New Roman" w:eastAsia="Times New Roman" w:hAnsi="Times New Roman"/>
          <w:sz w:val="28"/>
          <w:szCs w:val="28"/>
        </w:rPr>
        <w:t xml:space="preserve">Барнаул, как и многие города, являющиеся центрами городских агломераций, имеет высокую концентрацию производственных функций в центральной части города. Основная часть связей внутри Барнаульской агломерации осуществляется по линии «центр </w:t>
      </w:r>
      <w:r w:rsidR="00D53DC9" w:rsidRPr="00577593">
        <w:rPr>
          <w:rFonts w:ascii="Times New Roman" w:eastAsia="Times New Roman" w:hAnsi="Times New Roman"/>
          <w:sz w:val="28"/>
          <w:szCs w:val="28"/>
        </w:rPr>
        <w:t>–</w:t>
      </w:r>
      <w:r w:rsidR="008925FA" w:rsidRPr="00577593">
        <w:rPr>
          <w:rFonts w:ascii="Times New Roman" w:eastAsia="Times New Roman" w:hAnsi="Times New Roman"/>
          <w:sz w:val="28"/>
          <w:szCs w:val="28"/>
        </w:rPr>
        <w:t xml:space="preserve"> периферия», что предопределяет высокую нагрузку (транспортную, экологическую и пр.) на ядро и в особенности на центральную часть Барнаула, где сосредоточены основные рабочие места для маятниковых мигрантов. </w:t>
      </w:r>
    </w:p>
    <w:p w:rsidR="00FC41F4" w:rsidRPr="00577593" w:rsidRDefault="008925FA" w:rsidP="002000D4">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Снижение нагрузки на ядро агломерации может быть достигнуто путем скоординированной в рамках агломерации политики развития промышленных площадок. Одним из приоритетов должно стать создание новых раб</w:t>
      </w:r>
      <w:r w:rsidR="00584F00">
        <w:rPr>
          <w:rFonts w:ascii="Times New Roman" w:eastAsia="Times New Roman" w:hAnsi="Times New Roman"/>
          <w:sz w:val="28"/>
          <w:szCs w:val="28"/>
        </w:rPr>
        <w:t xml:space="preserve">очих мест на периферии города и </w:t>
      </w:r>
      <w:r w:rsidRPr="00577593">
        <w:rPr>
          <w:rFonts w:ascii="Times New Roman" w:eastAsia="Times New Roman" w:hAnsi="Times New Roman"/>
          <w:sz w:val="28"/>
          <w:szCs w:val="28"/>
        </w:rPr>
        <w:t>в</w:t>
      </w:r>
      <w:r w:rsidR="00584F00">
        <w:rPr>
          <w:rFonts w:ascii="Times New Roman" w:eastAsia="Times New Roman" w:hAnsi="Times New Roman"/>
          <w:sz w:val="28"/>
          <w:szCs w:val="28"/>
        </w:rPr>
        <w:t xml:space="preserve"> </w:t>
      </w:r>
      <w:r w:rsidRPr="00577593">
        <w:rPr>
          <w:rFonts w:ascii="Times New Roman" w:eastAsia="Times New Roman" w:hAnsi="Times New Roman"/>
          <w:sz w:val="28"/>
          <w:szCs w:val="28"/>
        </w:rPr>
        <w:t xml:space="preserve">пригородных муниципалитетах. </w:t>
      </w:r>
    </w:p>
    <w:p w:rsidR="00FC41F4" w:rsidRPr="00577593" w:rsidRDefault="008925FA" w:rsidP="002000D4">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При решении вопросов размещения промышленных площадок необходимо не упускать из виду возможные отрицательные последствия, </w:t>
      </w:r>
      <w:r w:rsidR="00C004DC" w:rsidRPr="00577593">
        <w:rPr>
          <w:rFonts w:ascii="Times New Roman" w:eastAsia="Times New Roman" w:hAnsi="Times New Roman"/>
          <w:sz w:val="28"/>
          <w:szCs w:val="28"/>
        </w:rPr>
        <w:t>например,</w:t>
      </w:r>
      <w:r w:rsidRPr="00577593">
        <w:rPr>
          <w:rFonts w:ascii="Times New Roman" w:eastAsia="Times New Roman" w:hAnsi="Times New Roman"/>
          <w:sz w:val="28"/>
          <w:szCs w:val="28"/>
        </w:rPr>
        <w:t xml:space="preserve"> возможное снижение налоговой базы городского бюджета при размещении новых производств за границами территории города.</w:t>
      </w:r>
    </w:p>
    <w:p w:rsidR="00FC41F4" w:rsidRPr="00577593" w:rsidRDefault="008925FA" w:rsidP="002000D4">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Одним из проектов данного направления может стать создание крупного транспортно-логистического комплекса. Возможные площадки размещения: территория Новоалтайска с учетом имеющегося в городе крупного железнодорожного узла, а также территория в районе аэропорта.</w:t>
      </w:r>
    </w:p>
    <w:p w:rsidR="00FC41F4" w:rsidRPr="00577593" w:rsidRDefault="008925FA" w:rsidP="002000D4">
      <w:pPr>
        <w:pStyle w:val="3"/>
        <w:spacing w:before="0" w:line="240" w:lineRule="auto"/>
        <w:ind w:firstLine="709"/>
        <w:jc w:val="both"/>
        <w:rPr>
          <w:rFonts w:ascii="Times New Roman" w:eastAsia="Times New Roman" w:hAnsi="Times New Roman"/>
          <w:color w:val="auto"/>
          <w:sz w:val="28"/>
          <w:szCs w:val="28"/>
        </w:rPr>
      </w:pPr>
      <w:bookmarkStart w:id="559" w:name="_Toc204923098"/>
      <w:bookmarkStart w:id="560" w:name="_Toc204933432"/>
      <w:bookmarkStart w:id="561" w:name="_Toc208496757"/>
      <w:bookmarkStart w:id="562" w:name="_Toc208669040"/>
      <w:bookmarkStart w:id="563" w:name="_Toc212804393"/>
      <w:r w:rsidRPr="00577593">
        <w:rPr>
          <w:rFonts w:ascii="Times New Roman" w:eastAsia="Times New Roman" w:hAnsi="Times New Roman"/>
          <w:color w:val="auto"/>
          <w:sz w:val="28"/>
          <w:szCs w:val="28"/>
        </w:rPr>
        <w:t>9.4.1.2</w:t>
      </w:r>
      <w:r w:rsidR="00584F00">
        <w:rPr>
          <w:rFonts w:ascii="Times New Roman" w:eastAsia="Times New Roman" w:hAnsi="Times New Roman"/>
          <w:color w:val="auto"/>
          <w:sz w:val="28"/>
          <w:szCs w:val="28"/>
        </w:rPr>
        <w:t>.</w:t>
      </w:r>
      <w:r w:rsidRPr="00577593">
        <w:rPr>
          <w:rFonts w:ascii="Times New Roman" w:eastAsia="Times New Roman" w:hAnsi="Times New Roman"/>
          <w:color w:val="auto"/>
          <w:sz w:val="28"/>
          <w:szCs w:val="28"/>
        </w:rPr>
        <w:t xml:space="preserve"> Повышение связанности территории Барнаульской агломерации</w:t>
      </w:r>
      <w:bookmarkEnd w:id="559"/>
      <w:bookmarkEnd w:id="560"/>
      <w:bookmarkEnd w:id="561"/>
      <w:bookmarkEnd w:id="562"/>
      <w:bookmarkEnd w:id="563"/>
      <w:r w:rsidRPr="00577593">
        <w:rPr>
          <w:rFonts w:ascii="Times New Roman" w:eastAsia="Times New Roman" w:hAnsi="Times New Roman"/>
          <w:color w:val="auto"/>
          <w:sz w:val="28"/>
          <w:szCs w:val="28"/>
        </w:rPr>
        <w:t xml:space="preserve"> </w:t>
      </w:r>
    </w:p>
    <w:p w:rsidR="00FC41F4" w:rsidRPr="00577593" w:rsidRDefault="008925FA" w:rsidP="002000D4">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В любой агломерации развитие дорожно-транспортной системы </w:t>
      </w:r>
      <w:r w:rsidR="00D53DC9" w:rsidRPr="00577593">
        <w:rPr>
          <w:rFonts w:ascii="Times New Roman" w:eastAsia="Times New Roman" w:hAnsi="Times New Roman"/>
          <w:sz w:val="28"/>
          <w:szCs w:val="28"/>
        </w:rPr>
        <w:t>–</w:t>
      </w:r>
      <w:r w:rsidRPr="00577593">
        <w:rPr>
          <w:rFonts w:ascii="Times New Roman" w:eastAsia="Times New Roman" w:hAnsi="Times New Roman"/>
          <w:sz w:val="28"/>
          <w:szCs w:val="28"/>
        </w:rPr>
        <w:t xml:space="preserve"> важнейший фактор, влияющий на повышение доступности всей территории и услуг агломерации для ее жителей и, как следствие, на формирование агломерации в целом. Для барнаульцев, проживающих в пригороде, важно комфортно и быстро добраться до мест работы в городе. Для горожан, проживающих </w:t>
      </w:r>
      <w:r w:rsidR="002F6B89" w:rsidRPr="00577593">
        <w:rPr>
          <w:rFonts w:ascii="Times New Roman" w:eastAsia="Times New Roman" w:hAnsi="Times New Roman"/>
          <w:sz w:val="28"/>
          <w:szCs w:val="28"/>
        </w:rPr>
        <w:t xml:space="preserve">в </w:t>
      </w:r>
      <w:r w:rsidR="00EB7E3B">
        <w:rPr>
          <w:rFonts w:ascii="Times New Roman" w:eastAsia="Times New Roman" w:hAnsi="Times New Roman"/>
          <w:sz w:val="28"/>
          <w:szCs w:val="28"/>
        </w:rPr>
        <w:t xml:space="preserve">городе </w:t>
      </w:r>
      <w:r w:rsidRPr="00577593">
        <w:rPr>
          <w:rFonts w:ascii="Times New Roman" w:eastAsia="Times New Roman" w:hAnsi="Times New Roman"/>
          <w:sz w:val="28"/>
          <w:szCs w:val="28"/>
        </w:rPr>
        <w:t xml:space="preserve">Барнауле </w:t>
      </w:r>
      <w:r w:rsidR="00D53DC9" w:rsidRPr="00577593">
        <w:rPr>
          <w:rFonts w:ascii="Times New Roman" w:eastAsia="Times New Roman" w:hAnsi="Times New Roman"/>
          <w:sz w:val="28"/>
          <w:szCs w:val="28"/>
        </w:rPr>
        <w:t>–</w:t>
      </w:r>
      <w:r w:rsidRPr="00577593">
        <w:rPr>
          <w:rFonts w:ascii="Times New Roman" w:eastAsia="Times New Roman" w:hAnsi="Times New Roman"/>
          <w:sz w:val="28"/>
          <w:szCs w:val="28"/>
        </w:rPr>
        <w:t xml:space="preserve"> добираться до пригородных рекреационных территорий, до своих садовых и дачных участков.</w:t>
      </w:r>
    </w:p>
    <w:p w:rsidR="00FC41F4" w:rsidRPr="00577593" w:rsidRDefault="008925FA" w:rsidP="002000D4">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Особенностью территории Барнаульской агломерации является наличие реки Об</w:t>
      </w:r>
      <w:r w:rsidR="002F6B89" w:rsidRPr="00577593">
        <w:rPr>
          <w:rFonts w:ascii="Times New Roman" w:eastAsia="Times New Roman" w:hAnsi="Times New Roman"/>
          <w:sz w:val="28"/>
          <w:szCs w:val="28"/>
        </w:rPr>
        <w:t>и</w:t>
      </w:r>
      <w:r w:rsidRPr="00577593">
        <w:rPr>
          <w:rFonts w:ascii="Times New Roman" w:eastAsia="Times New Roman" w:hAnsi="Times New Roman"/>
          <w:sz w:val="28"/>
          <w:szCs w:val="28"/>
        </w:rPr>
        <w:t>, разрезающей территорию агломерации и снижающей уровень транс</w:t>
      </w:r>
      <w:r w:rsidR="002F6B89" w:rsidRPr="00577593">
        <w:rPr>
          <w:rFonts w:ascii="Times New Roman" w:eastAsia="Times New Roman" w:hAnsi="Times New Roman"/>
          <w:sz w:val="28"/>
          <w:szCs w:val="28"/>
        </w:rPr>
        <w:t>портной связности ее территорий,</w:t>
      </w:r>
      <w:r w:rsidRPr="00577593">
        <w:rPr>
          <w:rFonts w:ascii="Times New Roman" w:eastAsia="Times New Roman" w:hAnsi="Times New Roman"/>
          <w:sz w:val="28"/>
          <w:szCs w:val="28"/>
        </w:rPr>
        <w:t xml:space="preserve"> что снижает возможности миграции населения. </w:t>
      </w:r>
    </w:p>
    <w:p w:rsidR="00FC41F4" w:rsidRPr="00577593" w:rsidRDefault="008925FA" w:rsidP="002000D4">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У </w:t>
      </w:r>
      <w:r w:rsidR="00584F00">
        <w:rPr>
          <w:rFonts w:ascii="Times New Roman" w:eastAsia="Times New Roman" w:hAnsi="Times New Roman"/>
          <w:sz w:val="28"/>
          <w:szCs w:val="28"/>
        </w:rPr>
        <w:t xml:space="preserve">города </w:t>
      </w:r>
      <w:r w:rsidRPr="00577593">
        <w:rPr>
          <w:rFonts w:ascii="Times New Roman" w:eastAsia="Times New Roman" w:hAnsi="Times New Roman"/>
          <w:sz w:val="28"/>
          <w:szCs w:val="28"/>
        </w:rPr>
        <w:t xml:space="preserve">Барнаула 3 основных выезда из города: Павловский, Змеиногорский, Новоалтайский. У двух из них нет транспортно-пересадочных узлов (далее </w:t>
      </w:r>
      <w:r w:rsidR="00D53DC9" w:rsidRPr="00577593">
        <w:rPr>
          <w:rFonts w:ascii="Times New Roman" w:eastAsia="Times New Roman" w:hAnsi="Times New Roman"/>
          <w:sz w:val="28"/>
          <w:szCs w:val="28"/>
        </w:rPr>
        <w:t>–</w:t>
      </w:r>
      <w:r w:rsidRPr="00577593">
        <w:rPr>
          <w:rFonts w:ascii="Times New Roman" w:eastAsia="Times New Roman" w:hAnsi="Times New Roman"/>
          <w:sz w:val="28"/>
          <w:szCs w:val="28"/>
        </w:rPr>
        <w:t xml:space="preserve"> ТПУ). Узкое горло Павловского тракта </w:t>
      </w:r>
      <w:r w:rsidR="00D53DC9" w:rsidRPr="00577593">
        <w:rPr>
          <w:rFonts w:ascii="Times New Roman" w:eastAsia="Times New Roman" w:hAnsi="Times New Roman"/>
          <w:sz w:val="28"/>
          <w:szCs w:val="28"/>
        </w:rPr>
        <w:t>–</w:t>
      </w:r>
      <w:r w:rsidRPr="00577593">
        <w:rPr>
          <w:rFonts w:ascii="Times New Roman" w:eastAsia="Times New Roman" w:hAnsi="Times New Roman"/>
          <w:sz w:val="28"/>
          <w:szCs w:val="28"/>
        </w:rPr>
        <w:t xml:space="preserve"> въезд в центр. </w:t>
      </w:r>
    </w:p>
    <w:p w:rsidR="00FC41F4" w:rsidRPr="00577593" w:rsidRDefault="008925FA" w:rsidP="002000D4">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Развитие транспортной логистики должно стать одной из задач развития агломерации. Необходима разработка концепции развития Барнаульского транспортного узла, предполагающая создание единой системы перевозок пассажиров и максимальную интеграцию разных видов общественного транспорта, в том числе посредством строительства ТПУ. </w:t>
      </w:r>
      <w:r w:rsidRPr="00577593">
        <w:rPr>
          <w:rFonts w:ascii="Times New Roman" w:eastAsia="Times New Roman" w:hAnsi="Times New Roman"/>
          <w:sz w:val="28"/>
          <w:szCs w:val="28"/>
        </w:rPr>
        <w:lastRenderedPageBreak/>
        <w:t xml:space="preserve">Наиболее перспективное размещение - территория автостанции «Спартак-2» и территория вокзала. </w:t>
      </w:r>
    </w:p>
    <w:p w:rsidR="00FC41F4" w:rsidRPr="00577593" w:rsidRDefault="008925FA" w:rsidP="002000D4">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Положительным фактором в повышении связанности территории будет также и введение единого проездного билета на территории всей агломерации. </w:t>
      </w:r>
    </w:p>
    <w:p w:rsidR="00FC41F4" w:rsidRPr="00577593" w:rsidRDefault="008925FA" w:rsidP="002000D4">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Одним из ключевых моментов развития Барнаульского транспортного узла должно стать строительство объездной дороги «Обход города Барнаула». Реализация этого проекта не только повысит связанность территорий агломерации, но и существенно разгрузит город от транзитного грузового и легкового транспорта. </w:t>
      </w:r>
    </w:p>
    <w:p w:rsidR="00FC41F4" w:rsidRPr="00577593" w:rsidRDefault="008925FA" w:rsidP="002000D4">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Существенно повлияет на улучшение дорожно-транспортной ситуации в агломерации строительство дополнительных мостовых переходов, еще одного переезда через железнодорожные пути, разрезающие территорию города. </w:t>
      </w:r>
    </w:p>
    <w:p w:rsidR="00FC41F4" w:rsidRPr="00577593" w:rsidRDefault="008925FA" w:rsidP="002000D4">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Очевидна необходимость повышения связанности территории агломерации за счет водного транспорта. В границах региона проходят социально значимые пригородные пассажирские маршруты: «Барнаул </w:t>
      </w:r>
      <w:r w:rsidR="00D53DC9" w:rsidRPr="00577593">
        <w:rPr>
          <w:rFonts w:ascii="Times New Roman" w:eastAsia="Times New Roman" w:hAnsi="Times New Roman"/>
          <w:sz w:val="28"/>
          <w:szCs w:val="28"/>
        </w:rPr>
        <w:t>–</w:t>
      </w:r>
      <w:r w:rsidRPr="00577593">
        <w:rPr>
          <w:rFonts w:ascii="Times New Roman" w:eastAsia="Times New Roman" w:hAnsi="Times New Roman"/>
          <w:sz w:val="28"/>
          <w:szCs w:val="28"/>
        </w:rPr>
        <w:t xml:space="preserve"> Рассказиха», протяженностью 31 км; «Барнаул </w:t>
      </w:r>
      <w:r w:rsidR="00D53DC9" w:rsidRPr="00577593">
        <w:rPr>
          <w:rFonts w:ascii="Times New Roman" w:eastAsia="Times New Roman" w:hAnsi="Times New Roman"/>
          <w:sz w:val="28"/>
          <w:szCs w:val="28"/>
        </w:rPr>
        <w:t>–</w:t>
      </w:r>
      <w:r w:rsidRPr="00577593">
        <w:rPr>
          <w:rFonts w:ascii="Times New Roman" w:eastAsia="Times New Roman" w:hAnsi="Times New Roman"/>
          <w:sz w:val="28"/>
          <w:szCs w:val="28"/>
        </w:rPr>
        <w:t xml:space="preserve"> Бобровка», протяженностью 22 км; «Барнаул </w:t>
      </w:r>
      <w:r w:rsidR="00D53DC9" w:rsidRPr="00577593">
        <w:rPr>
          <w:rFonts w:ascii="Times New Roman" w:eastAsia="Times New Roman" w:hAnsi="Times New Roman"/>
          <w:sz w:val="28"/>
          <w:szCs w:val="28"/>
        </w:rPr>
        <w:t>–</w:t>
      </w:r>
      <w:r w:rsidRPr="00577593">
        <w:rPr>
          <w:rFonts w:ascii="Times New Roman" w:eastAsia="Times New Roman" w:hAnsi="Times New Roman"/>
          <w:sz w:val="28"/>
          <w:szCs w:val="28"/>
        </w:rPr>
        <w:t xml:space="preserve"> Кокуйское», протяженностью 69 км. Основными направлениями развития внутреннего водного транспорта являются сохранение всех существующих рейсов движения пассажирских судов.</w:t>
      </w:r>
    </w:p>
    <w:p w:rsidR="00FC41F4" w:rsidRPr="00577593" w:rsidRDefault="00B90DFF" w:rsidP="002000D4">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Река </w:t>
      </w:r>
      <w:r w:rsidR="008925FA" w:rsidRPr="00577593">
        <w:rPr>
          <w:rFonts w:ascii="Times New Roman" w:eastAsia="Times New Roman" w:hAnsi="Times New Roman"/>
          <w:sz w:val="28"/>
          <w:szCs w:val="28"/>
        </w:rPr>
        <w:t xml:space="preserve">Обь судоходна на всем протяжении. Длина </w:t>
      </w:r>
      <w:r w:rsidRPr="00577593">
        <w:rPr>
          <w:rFonts w:ascii="Times New Roman" w:eastAsia="Times New Roman" w:hAnsi="Times New Roman"/>
          <w:sz w:val="28"/>
          <w:szCs w:val="28"/>
        </w:rPr>
        <w:t xml:space="preserve">реки </w:t>
      </w:r>
      <w:r w:rsidR="008925FA" w:rsidRPr="00577593">
        <w:rPr>
          <w:rFonts w:ascii="Times New Roman" w:eastAsia="Times New Roman" w:hAnsi="Times New Roman"/>
          <w:sz w:val="28"/>
          <w:szCs w:val="28"/>
        </w:rPr>
        <w:t xml:space="preserve">Оби 3650 км (от истока </w:t>
      </w:r>
      <w:r w:rsidRPr="00577593">
        <w:rPr>
          <w:rFonts w:ascii="Times New Roman" w:eastAsia="Times New Roman" w:hAnsi="Times New Roman"/>
          <w:sz w:val="28"/>
          <w:szCs w:val="28"/>
        </w:rPr>
        <w:t xml:space="preserve">реки </w:t>
      </w:r>
      <w:r w:rsidR="008925FA" w:rsidRPr="00577593">
        <w:rPr>
          <w:rFonts w:ascii="Times New Roman" w:eastAsia="Times New Roman" w:hAnsi="Times New Roman"/>
          <w:sz w:val="28"/>
          <w:szCs w:val="28"/>
        </w:rPr>
        <w:t xml:space="preserve">Иртыша 5410 км). </w:t>
      </w:r>
      <w:r w:rsidRPr="00577593">
        <w:rPr>
          <w:rFonts w:ascii="Times New Roman" w:eastAsia="Times New Roman" w:hAnsi="Times New Roman"/>
          <w:sz w:val="28"/>
          <w:szCs w:val="28"/>
        </w:rPr>
        <w:t xml:space="preserve">Реки </w:t>
      </w:r>
      <w:r w:rsidR="008925FA" w:rsidRPr="00577593">
        <w:rPr>
          <w:rFonts w:ascii="Times New Roman" w:eastAsia="Times New Roman" w:hAnsi="Times New Roman"/>
          <w:sz w:val="28"/>
          <w:szCs w:val="28"/>
        </w:rPr>
        <w:t xml:space="preserve">Обь с Иртышом самый протяженный водоток в России. </w:t>
      </w:r>
      <w:r w:rsidRPr="00577593">
        <w:rPr>
          <w:rFonts w:ascii="Times New Roman" w:eastAsia="Times New Roman" w:hAnsi="Times New Roman"/>
          <w:sz w:val="28"/>
          <w:szCs w:val="28"/>
        </w:rPr>
        <w:t xml:space="preserve">Река </w:t>
      </w:r>
      <w:r w:rsidR="008925FA" w:rsidRPr="00577593">
        <w:rPr>
          <w:rFonts w:ascii="Times New Roman" w:eastAsia="Times New Roman" w:hAnsi="Times New Roman"/>
          <w:sz w:val="28"/>
          <w:szCs w:val="28"/>
        </w:rPr>
        <w:t xml:space="preserve">Обь протекает по территории нескольких субъектов Российской Федерации, а </w:t>
      </w:r>
      <w:r w:rsidRPr="00577593">
        <w:rPr>
          <w:rFonts w:ascii="Times New Roman" w:eastAsia="Times New Roman" w:hAnsi="Times New Roman"/>
          <w:sz w:val="28"/>
          <w:szCs w:val="28"/>
        </w:rPr>
        <w:t xml:space="preserve">река </w:t>
      </w:r>
      <w:r w:rsidR="008925FA" w:rsidRPr="00577593">
        <w:rPr>
          <w:rFonts w:ascii="Times New Roman" w:eastAsia="Times New Roman" w:hAnsi="Times New Roman"/>
          <w:sz w:val="28"/>
          <w:szCs w:val="28"/>
        </w:rPr>
        <w:t xml:space="preserve">Иртыш, как основной приток </w:t>
      </w:r>
      <w:r w:rsidRPr="00577593">
        <w:rPr>
          <w:rFonts w:ascii="Times New Roman" w:eastAsia="Times New Roman" w:hAnsi="Times New Roman"/>
          <w:sz w:val="28"/>
          <w:szCs w:val="28"/>
        </w:rPr>
        <w:t xml:space="preserve">реки </w:t>
      </w:r>
      <w:r w:rsidR="008925FA" w:rsidRPr="00577593">
        <w:rPr>
          <w:rFonts w:ascii="Times New Roman" w:eastAsia="Times New Roman" w:hAnsi="Times New Roman"/>
          <w:sz w:val="28"/>
          <w:szCs w:val="28"/>
        </w:rPr>
        <w:t xml:space="preserve">Оби, еще и по территории Китая, Монголии и Казахстана. С учетом этого развитие водного транспорта будет способствовать не только связанности территории Барнаульской агломерации, но и может стать существенным фактором в развитии грузовых перевозок. Эффективным проектом в данном аспекте будет развитие речных терминальных комплексов. </w:t>
      </w:r>
    </w:p>
    <w:p w:rsidR="00FC41F4" w:rsidRPr="00577593" w:rsidRDefault="008925FA" w:rsidP="002000D4">
      <w:pPr>
        <w:pStyle w:val="3"/>
        <w:spacing w:before="0" w:line="240" w:lineRule="auto"/>
        <w:ind w:firstLine="709"/>
        <w:jc w:val="both"/>
        <w:rPr>
          <w:rFonts w:ascii="Times New Roman" w:eastAsia="Times New Roman" w:hAnsi="Times New Roman"/>
          <w:color w:val="auto"/>
          <w:sz w:val="28"/>
          <w:szCs w:val="28"/>
        </w:rPr>
      </w:pPr>
      <w:bookmarkStart w:id="564" w:name="_Toc204923099"/>
      <w:bookmarkStart w:id="565" w:name="_Toc204933433"/>
      <w:bookmarkStart w:id="566" w:name="_Toc208496758"/>
      <w:bookmarkStart w:id="567" w:name="_Toc208669041"/>
      <w:bookmarkStart w:id="568" w:name="_Toc212804394"/>
      <w:r w:rsidRPr="00577593">
        <w:rPr>
          <w:rFonts w:ascii="Times New Roman" w:eastAsia="Times New Roman" w:hAnsi="Times New Roman"/>
          <w:color w:val="auto"/>
          <w:sz w:val="28"/>
          <w:szCs w:val="28"/>
        </w:rPr>
        <w:t>9.4.1.3</w:t>
      </w:r>
      <w:r w:rsidR="00584F00">
        <w:rPr>
          <w:rFonts w:ascii="Times New Roman" w:eastAsia="Times New Roman" w:hAnsi="Times New Roman"/>
          <w:color w:val="auto"/>
          <w:sz w:val="28"/>
          <w:szCs w:val="28"/>
        </w:rPr>
        <w:t>.</w:t>
      </w:r>
      <w:r w:rsidR="002F6B89" w:rsidRPr="00577593">
        <w:rPr>
          <w:rFonts w:ascii="Times New Roman" w:eastAsia="Times New Roman" w:hAnsi="Times New Roman"/>
          <w:color w:val="auto"/>
          <w:sz w:val="28"/>
          <w:szCs w:val="28"/>
        </w:rPr>
        <w:t xml:space="preserve"> Обеспечение дачных и коттеджных</w:t>
      </w:r>
      <w:r w:rsidRPr="00577593">
        <w:rPr>
          <w:rFonts w:ascii="Times New Roman" w:eastAsia="Times New Roman" w:hAnsi="Times New Roman"/>
          <w:color w:val="auto"/>
          <w:sz w:val="28"/>
          <w:szCs w:val="28"/>
        </w:rPr>
        <w:t xml:space="preserve"> поселков горожан объектами инженерной, дорожно-транспортной и социальной инфраструктуры</w:t>
      </w:r>
      <w:bookmarkEnd w:id="564"/>
      <w:bookmarkEnd w:id="565"/>
      <w:bookmarkEnd w:id="566"/>
      <w:bookmarkEnd w:id="567"/>
      <w:bookmarkEnd w:id="568"/>
    </w:p>
    <w:p w:rsidR="00FC41F4" w:rsidRPr="00577593" w:rsidRDefault="008925FA" w:rsidP="002000D4">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Традиционной агломерационной проблемой, существующей также и в Барнаульской агломерации, являются пригородные дачные и коттеджные поселки, садовые участки, расположенные на территории пригородных муниципалитетов, в которых проживают, которыми пользуются жители города Барнаула, будучи зарегистрированными в своем городском жилье. Наиболее яркий пример - территория коттеджного поселка «Фирсова Слобода», расположенного в Первомайском муниципальном районе, входящем в состав Барнаульской агломерации. На территории около </w:t>
      </w:r>
      <w:r w:rsidR="004110DD" w:rsidRPr="00577593">
        <w:rPr>
          <w:rFonts w:ascii="Times New Roman" w:eastAsia="Times New Roman" w:hAnsi="Times New Roman"/>
          <w:sz w:val="28"/>
          <w:szCs w:val="28"/>
        </w:rPr>
        <w:br/>
      </w:r>
      <w:r w:rsidRPr="00577593">
        <w:rPr>
          <w:rFonts w:ascii="Times New Roman" w:eastAsia="Times New Roman" w:hAnsi="Times New Roman"/>
          <w:sz w:val="28"/>
          <w:szCs w:val="28"/>
        </w:rPr>
        <w:t xml:space="preserve">2000 домовладений, в которых проживают в основном барнаульцы. В таких поселках, как правило, недостаточно объектов социальной, торговой, развлекательной инфраструктуры. Задача – превратить подобные поселки </w:t>
      </w:r>
      <w:r w:rsidRPr="00577593">
        <w:rPr>
          <w:rFonts w:ascii="Times New Roman" w:eastAsia="Times New Roman" w:hAnsi="Times New Roman"/>
          <w:sz w:val="28"/>
          <w:szCs w:val="28"/>
        </w:rPr>
        <w:lastRenderedPageBreak/>
        <w:t xml:space="preserve">из мест для ночевки в поселки, где организована полноценная жизнь, включая создание рабочих мест. При решении этой задачи город Барнаул может выступить инициатором решения этих задач, в том числе через </w:t>
      </w:r>
      <w:r w:rsidR="00B90DFF" w:rsidRPr="00577593">
        <w:rPr>
          <w:rFonts w:ascii="Times New Roman" w:eastAsia="Times New Roman" w:hAnsi="Times New Roman"/>
          <w:sz w:val="28"/>
          <w:szCs w:val="28"/>
        </w:rPr>
        <w:t>стимулирование рассмотрения</w:t>
      </w:r>
      <w:r w:rsidRPr="00577593">
        <w:rPr>
          <w:rFonts w:ascii="Times New Roman" w:eastAsia="Times New Roman" w:hAnsi="Times New Roman"/>
          <w:sz w:val="28"/>
          <w:szCs w:val="28"/>
        </w:rPr>
        <w:t xml:space="preserve"> вопросов финансового обеспечения соответствующих муниципалитетов при обсуждении объема трансфертов из регионального бюджета.</w:t>
      </w:r>
    </w:p>
    <w:p w:rsidR="00FC41F4" w:rsidRPr="00577593" w:rsidRDefault="008925FA" w:rsidP="002000D4">
      <w:pPr>
        <w:pStyle w:val="3"/>
        <w:spacing w:before="0" w:line="240" w:lineRule="auto"/>
        <w:ind w:firstLine="709"/>
        <w:jc w:val="both"/>
        <w:rPr>
          <w:rFonts w:ascii="Times New Roman" w:eastAsia="Times New Roman" w:hAnsi="Times New Roman"/>
          <w:color w:val="auto"/>
          <w:sz w:val="28"/>
          <w:szCs w:val="28"/>
        </w:rPr>
      </w:pPr>
      <w:bookmarkStart w:id="569" w:name="_Toc204923100"/>
      <w:bookmarkStart w:id="570" w:name="_Toc204933434"/>
      <w:bookmarkStart w:id="571" w:name="_Toc208496759"/>
      <w:bookmarkStart w:id="572" w:name="_Toc208669042"/>
      <w:bookmarkStart w:id="573" w:name="_Toc212804395"/>
      <w:r w:rsidRPr="00577593">
        <w:rPr>
          <w:rFonts w:ascii="Times New Roman" w:eastAsia="Times New Roman" w:hAnsi="Times New Roman"/>
          <w:color w:val="auto"/>
          <w:sz w:val="28"/>
          <w:szCs w:val="28"/>
        </w:rPr>
        <w:t>9.4.1.4</w:t>
      </w:r>
      <w:r w:rsidR="00C004DC">
        <w:rPr>
          <w:rFonts w:ascii="Times New Roman" w:eastAsia="Times New Roman" w:hAnsi="Times New Roman"/>
          <w:color w:val="auto"/>
          <w:sz w:val="28"/>
          <w:szCs w:val="28"/>
        </w:rPr>
        <w:t>.</w:t>
      </w:r>
      <w:r w:rsidRPr="00577593">
        <w:rPr>
          <w:rFonts w:ascii="Times New Roman" w:eastAsia="Times New Roman" w:hAnsi="Times New Roman"/>
          <w:color w:val="auto"/>
          <w:sz w:val="28"/>
          <w:szCs w:val="28"/>
        </w:rPr>
        <w:t xml:space="preserve"> Совместное планирование рекреационной инфраструктуры в рамках Барнаульской агломерации</w:t>
      </w:r>
      <w:bookmarkEnd w:id="569"/>
      <w:bookmarkEnd w:id="570"/>
      <w:bookmarkEnd w:id="571"/>
      <w:bookmarkEnd w:id="572"/>
      <w:bookmarkEnd w:id="573"/>
    </w:p>
    <w:p w:rsidR="00FC41F4" w:rsidRPr="00577593" w:rsidRDefault="008925FA" w:rsidP="002000D4">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Отдых на природе </w:t>
      </w:r>
      <w:r w:rsidR="00D53DC9" w:rsidRPr="00577593">
        <w:rPr>
          <w:rFonts w:ascii="Times New Roman" w:eastAsia="Times New Roman" w:hAnsi="Times New Roman"/>
          <w:sz w:val="28"/>
          <w:szCs w:val="28"/>
        </w:rPr>
        <w:t>–</w:t>
      </w:r>
      <w:r w:rsidRPr="00577593">
        <w:rPr>
          <w:rFonts w:ascii="Times New Roman" w:eastAsia="Times New Roman" w:hAnsi="Times New Roman"/>
          <w:sz w:val="28"/>
          <w:szCs w:val="28"/>
        </w:rPr>
        <w:t xml:space="preserve"> важный сценарий выходного дня жителя </w:t>
      </w:r>
      <w:r w:rsidR="00EB7E3B">
        <w:rPr>
          <w:rFonts w:ascii="Times New Roman" w:eastAsia="Times New Roman" w:hAnsi="Times New Roman"/>
          <w:sz w:val="28"/>
          <w:szCs w:val="28"/>
        </w:rPr>
        <w:t xml:space="preserve">города </w:t>
      </w:r>
      <w:r w:rsidRPr="00577593">
        <w:rPr>
          <w:rFonts w:ascii="Times New Roman" w:eastAsia="Times New Roman" w:hAnsi="Times New Roman"/>
          <w:sz w:val="28"/>
          <w:szCs w:val="28"/>
        </w:rPr>
        <w:t>Барнаула. Однако существующие места отдыха редко оборудованы инфраструктурой для рекреации, что приводит к деградации мест природного отдыха. Создание обустроенных зон отдыха у водных объектов, инициация инвестиционных проектов в сфере рекреации, размещения глэмпингов и работы с природными аттракторами на территории агломерации позволила бы повысить уровень качества жизни.</w:t>
      </w:r>
    </w:p>
    <w:p w:rsidR="00FC41F4" w:rsidRPr="00577593" w:rsidRDefault="008925FA" w:rsidP="002000D4">
      <w:pPr>
        <w:pStyle w:val="3"/>
        <w:spacing w:before="0" w:line="240" w:lineRule="auto"/>
        <w:ind w:firstLine="709"/>
        <w:jc w:val="both"/>
        <w:rPr>
          <w:rFonts w:ascii="Times New Roman" w:eastAsia="Times New Roman" w:hAnsi="Times New Roman"/>
          <w:b/>
          <w:color w:val="auto"/>
          <w:sz w:val="28"/>
          <w:szCs w:val="28"/>
        </w:rPr>
      </w:pPr>
      <w:bookmarkStart w:id="574" w:name="_Toc204923101"/>
      <w:bookmarkStart w:id="575" w:name="_Toc204933435"/>
      <w:bookmarkStart w:id="576" w:name="_Toc208496760"/>
      <w:bookmarkStart w:id="577" w:name="_Toc208669043"/>
      <w:bookmarkStart w:id="578" w:name="_Toc212804396"/>
      <w:r w:rsidRPr="00577593">
        <w:rPr>
          <w:rFonts w:ascii="Times New Roman" w:eastAsia="Times New Roman" w:hAnsi="Times New Roman"/>
          <w:b/>
          <w:color w:val="auto"/>
          <w:sz w:val="28"/>
          <w:szCs w:val="28"/>
        </w:rPr>
        <w:t>9.4.2</w:t>
      </w:r>
      <w:r w:rsidR="00C004DC">
        <w:rPr>
          <w:rFonts w:ascii="Times New Roman" w:eastAsia="Times New Roman" w:hAnsi="Times New Roman"/>
          <w:b/>
          <w:color w:val="auto"/>
          <w:sz w:val="28"/>
          <w:szCs w:val="28"/>
        </w:rPr>
        <w:t>.</w:t>
      </w:r>
      <w:r w:rsidRPr="00577593">
        <w:rPr>
          <w:rFonts w:ascii="Times New Roman" w:eastAsia="Times New Roman" w:hAnsi="Times New Roman"/>
          <w:b/>
          <w:color w:val="auto"/>
          <w:sz w:val="28"/>
          <w:szCs w:val="28"/>
        </w:rPr>
        <w:t xml:space="preserve"> Развитие международных связей</w:t>
      </w:r>
      <w:bookmarkEnd w:id="574"/>
      <w:bookmarkEnd w:id="575"/>
      <w:bookmarkEnd w:id="576"/>
      <w:bookmarkEnd w:id="577"/>
      <w:bookmarkEnd w:id="578"/>
      <w:r w:rsidRPr="00577593">
        <w:rPr>
          <w:rFonts w:ascii="Times New Roman" w:eastAsia="Times New Roman" w:hAnsi="Times New Roman"/>
          <w:b/>
          <w:color w:val="auto"/>
          <w:sz w:val="28"/>
          <w:szCs w:val="28"/>
        </w:rPr>
        <w:t> </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Перечень национальных целей развития Российской Федерации включает «</w:t>
      </w:r>
      <w:r w:rsidR="003877F3" w:rsidRPr="00577593">
        <w:rPr>
          <w:rFonts w:ascii="Times New Roman" w:hAnsi="Times New Roman"/>
          <w:sz w:val="28"/>
          <w:szCs w:val="28"/>
        </w:rPr>
        <w:t>ф</w:t>
      </w:r>
      <w:r w:rsidRPr="00577593">
        <w:rPr>
          <w:rFonts w:ascii="Times New Roman" w:hAnsi="Times New Roman"/>
          <w:sz w:val="28"/>
          <w:szCs w:val="28"/>
        </w:rPr>
        <w:t xml:space="preserve">ормирование сети устойчивых партнерств с иностранными государствами и создание необходимой инфраструктуры для внешнеэкономической деятельности, технологической и промышленной кооперации и освоения новых рынков». Для обеспечения достижения национальной цели реализуется национальный </w:t>
      </w:r>
      <w:r w:rsidR="002F6B89" w:rsidRPr="00577593">
        <w:rPr>
          <w:rFonts w:ascii="Times New Roman" w:hAnsi="Times New Roman"/>
          <w:sz w:val="28"/>
          <w:szCs w:val="28"/>
        </w:rPr>
        <w:t>проект «Международная кооперация</w:t>
      </w:r>
      <w:r w:rsidRPr="00577593">
        <w:rPr>
          <w:rFonts w:ascii="Times New Roman" w:hAnsi="Times New Roman"/>
          <w:sz w:val="28"/>
          <w:szCs w:val="28"/>
        </w:rPr>
        <w:t xml:space="preserve"> и экспорт».  </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На региональном уровне реализацию национального проекта обеспечивает региональный проект Алтайского края «Системные меры развития международной кооперации и экспорта Алтайского края» в рамках региональной государственной программы Алтайского края «Экономическое развитие и инновационная экономика». Стратегические направления реализации задач, очерченные в стратегии социально-экономического развития Алтайского края до 2036 года, включают: </w:t>
      </w:r>
    </w:p>
    <w:p w:rsidR="00FC41F4" w:rsidRPr="00577593" w:rsidRDefault="00C004DC" w:rsidP="00C004DC">
      <w:pPr>
        <w:pStyle w:val="af5"/>
        <w:tabs>
          <w:tab w:val="left" w:pos="990"/>
        </w:tabs>
        <w:spacing w:after="0" w:line="240" w:lineRule="auto"/>
        <w:ind w:left="0" w:firstLine="709"/>
        <w:jc w:val="both"/>
        <w:rPr>
          <w:rFonts w:ascii="Times New Roman" w:eastAsia="Times New Roman" w:hAnsi="Times New Roman"/>
          <w:sz w:val="28"/>
          <w:szCs w:val="28"/>
        </w:rPr>
      </w:pPr>
      <w:r w:rsidRPr="00C004DC">
        <w:rPr>
          <w:rFonts w:ascii="Times New Roman" w:eastAsia="Times New Roman" w:hAnsi="Times New Roman"/>
          <w:sz w:val="28"/>
          <w:szCs w:val="28"/>
        </w:rPr>
        <w:t>– </w:t>
      </w:r>
      <w:r w:rsidR="00032185" w:rsidRPr="00577593">
        <w:rPr>
          <w:rFonts w:ascii="Times New Roman" w:eastAsia="Times New Roman" w:hAnsi="Times New Roman"/>
          <w:sz w:val="28"/>
          <w:szCs w:val="28"/>
        </w:rPr>
        <w:t>о</w:t>
      </w:r>
      <w:r w:rsidR="008925FA" w:rsidRPr="00577593">
        <w:rPr>
          <w:rFonts w:ascii="Times New Roman" w:eastAsia="Times New Roman" w:hAnsi="Times New Roman"/>
          <w:sz w:val="28"/>
          <w:szCs w:val="28"/>
        </w:rPr>
        <w:t xml:space="preserve">рганизацию межтерриториальных, межрегиональных </w:t>
      </w:r>
      <w:r w:rsidR="004110DD" w:rsidRPr="00577593">
        <w:rPr>
          <w:rFonts w:ascii="Times New Roman" w:eastAsia="Times New Roman" w:hAnsi="Times New Roman"/>
          <w:sz w:val="28"/>
          <w:szCs w:val="28"/>
        </w:rPr>
        <w:br/>
      </w:r>
      <w:r w:rsidR="008925FA" w:rsidRPr="00577593">
        <w:rPr>
          <w:rFonts w:ascii="Times New Roman" w:eastAsia="Times New Roman" w:hAnsi="Times New Roman"/>
          <w:sz w:val="28"/>
          <w:szCs w:val="28"/>
        </w:rPr>
        <w:t>и международных выставок и ярмарок продукции; </w:t>
      </w:r>
    </w:p>
    <w:p w:rsidR="00FC41F4" w:rsidRPr="00577593" w:rsidRDefault="00C004DC" w:rsidP="00C004DC">
      <w:pPr>
        <w:pStyle w:val="af5"/>
        <w:tabs>
          <w:tab w:val="left" w:pos="990"/>
        </w:tabs>
        <w:spacing w:after="0" w:line="240" w:lineRule="auto"/>
        <w:ind w:left="0" w:firstLine="709"/>
        <w:jc w:val="both"/>
        <w:rPr>
          <w:rFonts w:ascii="Times New Roman" w:eastAsia="Times New Roman" w:hAnsi="Times New Roman"/>
          <w:sz w:val="28"/>
          <w:szCs w:val="28"/>
        </w:rPr>
      </w:pPr>
      <w:r w:rsidRPr="00C004DC">
        <w:rPr>
          <w:rFonts w:ascii="Times New Roman" w:eastAsia="Times New Roman" w:hAnsi="Times New Roman"/>
          <w:sz w:val="28"/>
          <w:szCs w:val="28"/>
        </w:rPr>
        <w:t>– </w:t>
      </w:r>
      <w:r w:rsidR="00032185" w:rsidRPr="00577593">
        <w:rPr>
          <w:rFonts w:ascii="Times New Roman" w:eastAsia="Times New Roman" w:hAnsi="Times New Roman"/>
          <w:sz w:val="28"/>
          <w:szCs w:val="28"/>
        </w:rPr>
        <w:t>о</w:t>
      </w:r>
      <w:r w:rsidR="008925FA" w:rsidRPr="00577593">
        <w:rPr>
          <w:rFonts w:ascii="Times New Roman" w:eastAsia="Times New Roman" w:hAnsi="Times New Roman"/>
          <w:sz w:val="28"/>
          <w:szCs w:val="28"/>
        </w:rPr>
        <w:t>рганизацию дней международного бизнеса в регионе, включая прием иностранных делегаци</w:t>
      </w:r>
      <w:r w:rsidR="00EA0F4E" w:rsidRPr="00577593">
        <w:rPr>
          <w:rFonts w:ascii="Times New Roman" w:eastAsia="Times New Roman" w:hAnsi="Times New Roman"/>
          <w:sz w:val="28"/>
          <w:szCs w:val="28"/>
        </w:rPr>
        <w:t>й на территории Алтайского края;</w:t>
      </w:r>
    </w:p>
    <w:p w:rsidR="00FC41F4" w:rsidRPr="00577593" w:rsidRDefault="00C004DC" w:rsidP="00C004DC">
      <w:pPr>
        <w:pStyle w:val="af5"/>
        <w:tabs>
          <w:tab w:val="left" w:pos="990"/>
        </w:tabs>
        <w:spacing w:after="0" w:line="240" w:lineRule="auto"/>
        <w:ind w:left="0" w:firstLine="709"/>
        <w:jc w:val="both"/>
        <w:rPr>
          <w:rFonts w:ascii="Times New Roman" w:eastAsia="Times New Roman" w:hAnsi="Times New Roman"/>
          <w:sz w:val="28"/>
          <w:szCs w:val="28"/>
        </w:rPr>
      </w:pPr>
      <w:r w:rsidRPr="00C004DC">
        <w:rPr>
          <w:rFonts w:ascii="Times New Roman" w:eastAsia="Times New Roman" w:hAnsi="Times New Roman"/>
          <w:sz w:val="28"/>
          <w:szCs w:val="28"/>
        </w:rPr>
        <w:t>– </w:t>
      </w:r>
      <w:r w:rsidR="00032185" w:rsidRPr="00577593">
        <w:rPr>
          <w:rFonts w:ascii="Times New Roman" w:eastAsia="Times New Roman" w:hAnsi="Times New Roman"/>
          <w:sz w:val="28"/>
          <w:szCs w:val="28"/>
        </w:rPr>
        <w:t>п</w:t>
      </w:r>
      <w:r w:rsidR="008925FA" w:rsidRPr="00577593">
        <w:rPr>
          <w:rFonts w:ascii="Times New Roman" w:eastAsia="Times New Roman" w:hAnsi="Times New Roman"/>
          <w:sz w:val="28"/>
          <w:szCs w:val="28"/>
        </w:rPr>
        <w:t>оддержку экспортно-ориентированных предприятий и внедрение «Регио</w:t>
      </w:r>
      <w:r w:rsidR="00EA0F4E" w:rsidRPr="00577593">
        <w:rPr>
          <w:rFonts w:ascii="Times New Roman" w:eastAsia="Times New Roman" w:hAnsi="Times New Roman"/>
          <w:sz w:val="28"/>
          <w:szCs w:val="28"/>
        </w:rPr>
        <w:t>нального экспортного стандарта».</w:t>
      </w:r>
    </w:p>
    <w:p w:rsidR="00FC41F4" w:rsidRPr="00577593" w:rsidRDefault="008925FA" w:rsidP="00C004DC">
      <w:pPr>
        <w:spacing w:after="0" w:line="240" w:lineRule="auto"/>
        <w:ind w:firstLine="709"/>
        <w:jc w:val="both"/>
        <w:rPr>
          <w:rFonts w:ascii="Times New Roman" w:hAnsi="Times New Roman"/>
          <w:sz w:val="28"/>
          <w:szCs w:val="28"/>
        </w:rPr>
      </w:pPr>
      <w:r w:rsidRPr="00577593">
        <w:rPr>
          <w:rFonts w:ascii="Times New Roman" w:hAnsi="Times New Roman"/>
          <w:sz w:val="28"/>
          <w:szCs w:val="28"/>
        </w:rPr>
        <w:t>В соответствии с национальными и региональными векторами международного развития сформированы следующие направления реализации задачи</w:t>
      </w:r>
      <w:r w:rsidR="00E03A2C" w:rsidRPr="00577593">
        <w:rPr>
          <w:rFonts w:ascii="Times New Roman" w:hAnsi="Times New Roman"/>
          <w:sz w:val="28"/>
          <w:szCs w:val="28"/>
        </w:rPr>
        <w:t xml:space="preserve"> «</w:t>
      </w:r>
      <w:r w:rsidR="00E03A2C" w:rsidRPr="00577593">
        <w:rPr>
          <w:rFonts w:ascii="Times New Roman" w:eastAsia="Times New Roman" w:hAnsi="Times New Roman"/>
          <w:sz w:val="28"/>
          <w:szCs w:val="28"/>
        </w:rPr>
        <w:t>Развитие международных связей</w:t>
      </w:r>
      <w:r w:rsidR="00E03A2C" w:rsidRPr="00577593">
        <w:rPr>
          <w:rFonts w:ascii="Times New Roman" w:hAnsi="Times New Roman"/>
          <w:sz w:val="28"/>
          <w:szCs w:val="28"/>
        </w:rPr>
        <w:t>» в городе Барнауле</w:t>
      </w:r>
      <w:r w:rsidRPr="00577593">
        <w:rPr>
          <w:rFonts w:ascii="Times New Roman" w:hAnsi="Times New Roman"/>
          <w:sz w:val="28"/>
          <w:szCs w:val="28"/>
        </w:rPr>
        <w:t xml:space="preserve">: </w:t>
      </w:r>
    </w:p>
    <w:p w:rsidR="00FC41F4" w:rsidRPr="00577593" w:rsidRDefault="00C004DC" w:rsidP="00C004DC">
      <w:pPr>
        <w:pStyle w:val="af5"/>
        <w:tabs>
          <w:tab w:val="left" w:pos="993"/>
        </w:tabs>
        <w:spacing w:after="0" w:line="240" w:lineRule="auto"/>
        <w:ind w:left="0" w:firstLine="709"/>
        <w:jc w:val="both"/>
        <w:rPr>
          <w:rFonts w:ascii="Times New Roman" w:hAnsi="Times New Roman"/>
          <w:sz w:val="28"/>
          <w:szCs w:val="28"/>
        </w:rPr>
      </w:pPr>
      <w:bookmarkStart w:id="579" w:name="_Hlk207896273"/>
      <w:r w:rsidRPr="00C004DC">
        <w:rPr>
          <w:rFonts w:ascii="Times New Roman" w:hAnsi="Times New Roman"/>
          <w:sz w:val="28"/>
          <w:szCs w:val="28"/>
        </w:rPr>
        <w:t>– </w:t>
      </w:r>
      <w:r>
        <w:rPr>
          <w:rFonts w:ascii="Times New Roman" w:hAnsi="Times New Roman"/>
          <w:sz w:val="28"/>
          <w:szCs w:val="28"/>
        </w:rPr>
        <w:t>ф</w:t>
      </w:r>
      <w:r w:rsidR="008925FA" w:rsidRPr="00577593">
        <w:rPr>
          <w:rFonts w:ascii="Times New Roman" w:hAnsi="Times New Roman"/>
          <w:sz w:val="28"/>
          <w:szCs w:val="28"/>
        </w:rPr>
        <w:t xml:space="preserve">ормирование нормативной базы и административной структуры, ответственной за развитие международных отношений </w:t>
      </w:r>
      <w:r>
        <w:rPr>
          <w:rFonts w:ascii="Times New Roman" w:hAnsi="Times New Roman"/>
          <w:sz w:val="28"/>
          <w:szCs w:val="28"/>
        </w:rPr>
        <w:t xml:space="preserve">города </w:t>
      </w:r>
      <w:r w:rsidR="008925FA" w:rsidRPr="00577593">
        <w:rPr>
          <w:rFonts w:ascii="Times New Roman" w:hAnsi="Times New Roman"/>
          <w:sz w:val="28"/>
          <w:szCs w:val="28"/>
        </w:rPr>
        <w:t>Барнаула;</w:t>
      </w:r>
    </w:p>
    <w:p w:rsidR="00FC41F4" w:rsidRPr="00577593" w:rsidRDefault="00C004DC" w:rsidP="00C004DC">
      <w:pPr>
        <w:pStyle w:val="af5"/>
        <w:tabs>
          <w:tab w:val="left" w:pos="993"/>
        </w:tabs>
        <w:spacing w:after="0" w:line="240" w:lineRule="auto"/>
        <w:ind w:left="0" w:firstLine="709"/>
        <w:jc w:val="both"/>
        <w:rPr>
          <w:rFonts w:ascii="Times New Roman" w:hAnsi="Times New Roman"/>
          <w:sz w:val="28"/>
          <w:szCs w:val="28"/>
        </w:rPr>
      </w:pPr>
      <w:bookmarkStart w:id="580" w:name="_Hlk207896483"/>
      <w:bookmarkEnd w:id="579"/>
      <w:r>
        <w:rPr>
          <w:rFonts w:ascii="Times New Roman" w:hAnsi="Times New Roman"/>
          <w:sz w:val="28"/>
          <w:szCs w:val="28"/>
        </w:rPr>
        <w:t>у</w:t>
      </w:r>
      <w:r w:rsidR="008925FA" w:rsidRPr="00577593">
        <w:rPr>
          <w:rFonts w:ascii="Times New Roman" w:hAnsi="Times New Roman"/>
          <w:sz w:val="28"/>
          <w:szCs w:val="28"/>
        </w:rPr>
        <w:t xml:space="preserve">частие представителей органов местного самоуправления </w:t>
      </w:r>
      <w:r w:rsidR="004110DD" w:rsidRPr="00577593">
        <w:rPr>
          <w:rFonts w:ascii="Times New Roman" w:hAnsi="Times New Roman"/>
          <w:sz w:val="28"/>
          <w:szCs w:val="28"/>
        </w:rPr>
        <w:br/>
      </w:r>
      <w:r w:rsidR="008925FA" w:rsidRPr="00577593">
        <w:rPr>
          <w:rFonts w:ascii="Times New Roman" w:hAnsi="Times New Roman"/>
          <w:sz w:val="28"/>
          <w:szCs w:val="28"/>
        </w:rPr>
        <w:t>в международных программах сотрудничества и повышения квалификации</w:t>
      </w:r>
      <w:bookmarkEnd w:id="580"/>
      <w:r w:rsidR="008925FA" w:rsidRPr="00577593">
        <w:rPr>
          <w:rFonts w:ascii="Times New Roman" w:hAnsi="Times New Roman"/>
          <w:sz w:val="28"/>
          <w:szCs w:val="28"/>
        </w:rPr>
        <w:t>;</w:t>
      </w:r>
    </w:p>
    <w:p w:rsidR="00FC41F4" w:rsidRPr="00577593" w:rsidRDefault="00C004DC" w:rsidP="00C004DC">
      <w:pPr>
        <w:pStyle w:val="af5"/>
        <w:tabs>
          <w:tab w:val="left" w:pos="993"/>
        </w:tabs>
        <w:spacing w:after="0" w:line="240" w:lineRule="auto"/>
        <w:ind w:left="0" w:firstLine="709"/>
        <w:jc w:val="both"/>
        <w:rPr>
          <w:rFonts w:ascii="Times New Roman" w:hAnsi="Times New Roman"/>
          <w:sz w:val="28"/>
          <w:szCs w:val="28"/>
        </w:rPr>
      </w:pPr>
      <w:r w:rsidRPr="00C004DC">
        <w:rPr>
          <w:rFonts w:ascii="Times New Roman" w:hAnsi="Times New Roman"/>
          <w:sz w:val="28"/>
          <w:szCs w:val="28"/>
        </w:rPr>
        <w:t>– </w:t>
      </w:r>
      <w:r>
        <w:rPr>
          <w:rFonts w:ascii="Times New Roman" w:hAnsi="Times New Roman"/>
          <w:sz w:val="28"/>
          <w:szCs w:val="28"/>
        </w:rPr>
        <w:t>с</w:t>
      </w:r>
      <w:r w:rsidR="008925FA" w:rsidRPr="00577593">
        <w:rPr>
          <w:rFonts w:ascii="Times New Roman" w:hAnsi="Times New Roman"/>
          <w:sz w:val="28"/>
          <w:szCs w:val="28"/>
        </w:rPr>
        <w:t>одействие проведению международных деловых и культурных мероприятий на территории</w:t>
      </w:r>
      <w:r>
        <w:rPr>
          <w:rFonts w:ascii="Times New Roman" w:hAnsi="Times New Roman"/>
          <w:sz w:val="28"/>
          <w:szCs w:val="28"/>
        </w:rPr>
        <w:t xml:space="preserve"> города </w:t>
      </w:r>
      <w:r w:rsidR="008925FA" w:rsidRPr="00577593">
        <w:rPr>
          <w:rFonts w:ascii="Times New Roman" w:hAnsi="Times New Roman"/>
          <w:sz w:val="28"/>
          <w:szCs w:val="28"/>
        </w:rPr>
        <w:t>Барнаула;</w:t>
      </w:r>
    </w:p>
    <w:p w:rsidR="00FC41F4" w:rsidRPr="00577593" w:rsidRDefault="00C004DC" w:rsidP="00096326">
      <w:pPr>
        <w:pStyle w:val="af5"/>
        <w:tabs>
          <w:tab w:val="left" w:pos="993"/>
        </w:tabs>
        <w:spacing w:after="0" w:line="330" w:lineRule="exact"/>
        <w:ind w:left="0" w:firstLine="709"/>
        <w:jc w:val="both"/>
        <w:rPr>
          <w:rFonts w:ascii="Times New Roman" w:hAnsi="Times New Roman"/>
          <w:sz w:val="28"/>
          <w:szCs w:val="28"/>
        </w:rPr>
      </w:pPr>
      <w:r w:rsidRPr="00C004DC">
        <w:rPr>
          <w:rFonts w:ascii="Times New Roman" w:eastAsia="Times New Roman" w:hAnsi="Times New Roman"/>
          <w:sz w:val="28"/>
          <w:szCs w:val="28"/>
        </w:rPr>
        <w:lastRenderedPageBreak/>
        <w:t>– </w:t>
      </w:r>
      <w:r>
        <w:rPr>
          <w:rFonts w:ascii="Times New Roman" w:eastAsia="Times New Roman" w:hAnsi="Times New Roman"/>
          <w:sz w:val="28"/>
          <w:szCs w:val="28"/>
        </w:rPr>
        <w:t>р</w:t>
      </w:r>
      <w:r w:rsidR="00A940CB" w:rsidRPr="00577593">
        <w:rPr>
          <w:rFonts w:ascii="Times New Roman" w:eastAsia="Times New Roman" w:hAnsi="Times New Roman"/>
          <w:sz w:val="28"/>
          <w:szCs w:val="28"/>
        </w:rPr>
        <w:t xml:space="preserve">азвитие международных связей </w:t>
      </w:r>
      <w:r>
        <w:rPr>
          <w:rFonts w:ascii="Times New Roman" w:eastAsia="Times New Roman" w:hAnsi="Times New Roman"/>
          <w:sz w:val="28"/>
          <w:szCs w:val="28"/>
        </w:rPr>
        <w:t xml:space="preserve">города </w:t>
      </w:r>
      <w:r w:rsidR="00A940CB" w:rsidRPr="00577593">
        <w:rPr>
          <w:rFonts w:ascii="Times New Roman" w:eastAsia="Times New Roman" w:hAnsi="Times New Roman"/>
          <w:sz w:val="28"/>
          <w:szCs w:val="28"/>
        </w:rPr>
        <w:t>Барнаула, в том числе в рамках проведения молодежной политики</w:t>
      </w:r>
      <w:r w:rsidR="008925FA" w:rsidRPr="00577593">
        <w:rPr>
          <w:rFonts w:ascii="Times New Roman" w:hAnsi="Times New Roman"/>
          <w:sz w:val="28"/>
          <w:szCs w:val="28"/>
        </w:rPr>
        <w:t>;</w:t>
      </w:r>
    </w:p>
    <w:p w:rsidR="00FC41F4" w:rsidRPr="00577593" w:rsidRDefault="00C004DC" w:rsidP="00096326">
      <w:pPr>
        <w:pStyle w:val="af5"/>
        <w:tabs>
          <w:tab w:val="left" w:pos="993"/>
        </w:tabs>
        <w:spacing w:after="0" w:line="330" w:lineRule="exact"/>
        <w:ind w:left="0" w:firstLine="709"/>
        <w:jc w:val="both"/>
        <w:rPr>
          <w:rFonts w:ascii="Times New Roman" w:hAnsi="Times New Roman"/>
          <w:sz w:val="28"/>
          <w:szCs w:val="28"/>
        </w:rPr>
      </w:pPr>
      <w:r w:rsidRPr="00C004DC">
        <w:rPr>
          <w:rFonts w:ascii="Times New Roman" w:hAnsi="Times New Roman"/>
          <w:sz w:val="28"/>
          <w:szCs w:val="28"/>
        </w:rPr>
        <w:t>– </w:t>
      </w:r>
      <w:r>
        <w:rPr>
          <w:rFonts w:ascii="Times New Roman" w:hAnsi="Times New Roman"/>
          <w:sz w:val="28"/>
          <w:szCs w:val="28"/>
        </w:rPr>
        <w:t>с</w:t>
      </w:r>
      <w:r w:rsidR="008925FA" w:rsidRPr="00577593">
        <w:rPr>
          <w:rFonts w:ascii="Times New Roman" w:hAnsi="Times New Roman"/>
          <w:sz w:val="28"/>
          <w:szCs w:val="28"/>
        </w:rPr>
        <w:t xml:space="preserve">одействие участию предприятий </w:t>
      </w:r>
      <w:r>
        <w:rPr>
          <w:rFonts w:ascii="Times New Roman" w:hAnsi="Times New Roman"/>
          <w:sz w:val="28"/>
          <w:szCs w:val="28"/>
        </w:rPr>
        <w:t xml:space="preserve">города </w:t>
      </w:r>
      <w:r w:rsidR="008925FA" w:rsidRPr="00577593">
        <w:rPr>
          <w:rFonts w:ascii="Times New Roman" w:hAnsi="Times New Roman"/>
          <w:sz w:val="28"/>
          <w:szCs w:val="28"/>
        </w:rPr>
        <w:t>Барнаула в региональных и национальных программах развития экспортного потенциала.</w:t>
      </w:r>
    </w:p>
    <w:p w:rsidR="00FC41F4" w:rsidRPr="00577593" w:rsidRDefault="008925FA" w:rsidP="00096326">
      <w:pPr>
        <w:pStyle w:val="3"/>
        <w:spacing w:before="0" w:line="330" w:lineRule="exact"/>
        <w:ind w:firstLine="709"/>
        <w:jc w:val="both"/>
        <w:rPr>
          <w:rFonts w:ascii="Times New Roman" w:eastAsia="Times New Roman" w:hAnsi="Times New Roman"/>
          <w:color w:val="auto"/>
          <w:sz w:val="28"/>
          <w:szCs w:val="28"/>
        </w:rPr>
      </w:pPr>
      <w:bookmarkStart w:id="581" w:name="_Toc204923102"/>
      <w:bookmarkStart w:id="582" w:name="_Toc204933436"/>
      <w:bookmarkStart w:id="583" w:name="_Toc208496761"/>
      <w:bookmarkStart w:id="584" w:name="_Toc208669044"/>
      <w:bookmarkStart w:id="585" w:name="_Toc212804397"/>
      <w:r w:rsidRPr="00577593">
        <w:rPr>
          <w:rFonts w:ascii="Times New Roman" w:eastAsia="Times New Roman" w:hAnsi="Times New Roman"/>
          <w:color w:val="auto"/>
          <w:sz w:val="28"/>
          <w:szCs w:val="28"/>
        </w:rPr>
        <w:t>9.4.2.1</w:t>
      </w:r>
      <w:bookmarkEnd w:id="581"/>
      <w:bookmarkEnd w:id="582"/>
      <w:r w:rsidR="00C004DC">
        <w:rPr>
          <w:rFonts w:ascii="Times New Roman" w:eastAsia="Times New Roman" w:hAnsi="Times New Roman"/>
          <w:color w:val="auto"/>
          <w:sz w:val="28"/>
          <w:szCs w:val="28"/>
        </w:rPr>
        <w:t>.</w:t>
      </w:r>
      <w:r w:rsidRPr="00577593">
        <w:rPr>
          <w:rFonts w:ascii="Times New Roman" w:eastAsia="Times New Roman" w:hAnsi="Times New Roman"/>
          <w:color w:val="auto"/>
          <w:sz w:val="28"/>
          <w:szCs w:val="28"/>
        </w:rPr>
        <w:t xml:space="preserve"> Формирование нормативной базы и </w:t>
      </w:r>
      <w:r w:rsidR="00096326">
        <w:rPr>
          <w:rFonts w:ascii="Times New Roman" w:eastAsia="Times New Roman" w:hAnsi="Times New Roman"/>
          <w:color w:val="auto"/>
          <w:sz w:val="28"/>
          <w:szCs w:val="28"/>
        </w:rPr>
        <w:t xml:space="preserve">определение органа, </w:t>
      </w:r>
      <w:r w:rsidRPr="00577593">
        <w:rPr>
          <w:rFonts w:ascii="Times New Roman" w:eastAsia="Times New Roman" w:hAnsi="Times New Roman"/>
          <w:color w:val="auto"/>
          <w:sz w:val="28"/>
          <w:szCs w:val="28"/>
        </w:rPr>
        <w:t>ответственно</w:t>
      </w:r>
      <w:r w:rsidR="00096326">
        <w:rPr>
          <w:rFonts w:ascii="Times New Roman" w:eastAsia="Times New Roman" w:hAnsi="Times New Roman"/>
          <w:color w:val="auto"/>
          <w:sz w:val="28"/>
          <w:szCs w:val="28"/>
        </w:rPr>
        <w:t>го</w:t>
      </w:r>
      <w:r w:rsidRPr="00577593">
        <w:rPr>
          <w:rFonts w:ascii="Times New Roman" w:eastAsia="Times New Roman" w:hAnsi="Times New Roman"/>
          <w:color w:val="auto"/>
          <w:sz w:val="28"/>
          <w:szCs w:val="28"/>
        </w:rPr>
        <w:t xml:space="preserve"> за развитие международных отношений </w:t>
      </w:r>
      <w:r w:rsidR="00C004DC">
        <w:rPr>
          <w:rFonts w:ascii="Times New Roman" w:eastAsia="Times New Roman" w:hAnsi="Times New Roman"/>
          <w:color w:val="auto"/>
          <w:sz w:val="28"/>
          <w:szCs w:val="28"/>
        </w:rPr>
        <w:t xml:space="preserve">города </w:t>
      </w:r>
      <w:r w:rsidRPr="00577593">
        <w:rPr>
          <w:rFonts w:ascii="Times New Roman" w:eastAsia="Times New Roman" w:hAnsi="Times New Roman"/>
          <w:color w:val="auto"/>
          <w:sz w:val="28"/>
          <w:szCs w:val="28"/>
        </w:rPr>
        <w:t>Барнаула</w:t>
      </w:r>
      <w:bookmarkEnd w:id="583"/>
      <w:bookmarkEnd w:id="584"/>
      <w:bookmarkEnd w:id="585"/>
      <w:r w:rsidRPr="00577593">
        <w:rPr>
          <w:rFonts w:ascii="Times New Roman" w:eastAsia="Times New Roman" w:hAnsi="Times New Roman"/>
          <w:color w:val="auto"/>
          <w:sz w:val="28"/>
          <w:szCs w:val="28"/>
        </w:rPr>
        <w:t> </w:t>
      </w:r>
    </w:p>
    <w:p w:rsidR="00FC41F4" w:rsidRPr="00577593" w:rsidRDefault="008925FA" w:rsidP="00096326">
      <w:pPr>
        <w:spacing w:after="0" w:line="330" w:lineRule="exact"/>
        <w:ind w:firstLine="709"/>
        <w:jc w:val="both"/>
        <w:rPr>
          <w:rFonts w:ascii="Times New Roman" w:hAnsi="Times New Roman"/>
          <w:sz w:val="28"/>
          <w:szCs w:val="28"/>
        </w:rPr>
      </w:pPr>
      <w:r w:rsidRPr="00577593">
        <w:rPr>
          <w:rFonts w:ascii="Times New Roman" w:hAnsi="Times New Roman"/>
          <w:sz w:val="28"/>
          <w:szCs w:val="28"/>
        </w:rPr>
        <w:t xml:space="preserve">На момент разработки стратегии </w:t>
      </w:r>
      <w:r w:rsidR="00096326">
        <w:rPr>
          <w:rFonts w:ascii="Times New Roman" w:hAnsi="Times New Roman"/>
          <w:sz w:val="28"/>
          <w:szCs w:val="28"/>
        </w:rPr>
        <w:t xml:space="preserve">полномочия по развитию </w:t>
      </w:r>
      <w:r w:rsidRPr="00577593">
        <w:rPr>
          <w:rFonts w:ascii="Times New Roman" w:hAnsi="Times New Roman"/>
          <w:sz w:val="28"/>
          <w:szCs w:val="28"/>
        </w:rPr>
        <w:t xml:space="preserve">международных отношений не </w:t>
      </w:r>
      <w:r w:rsidR="00096326">
        <w:rPr>
          <w:rFonts w:ascii="Times New Roman" w:hAnsi="Times New Roman"/>
          <w:sz w:val="28"/>
          <w:szCs w:val="28"/>
        </w:rPr>
        <w:t>распределены</w:t>
      </w:r>
      <w:r w:rsidRPr="00577593">
        <w:rPr>
          <w:rFonts w:ascii="Times New Roman" w:hAnsi="Times New Roman"/>
          <w:sz w:val="28"/>
          <w:szCs w:val="28"/>
        </w:rPr>
        <w:t>. «Развитие международных отношений» закреплено на муниципальном уровне, но соответствующ</w:t>
      </w:r>
      <w:r w:rsidR="00096326">
        <w:rPr>
          <w:rFonts w:ascii="Times New Roman" w:hAnsi="Times New Roman"/>
          <w:sz w:val="28"/>
          <w:szCs w:val="28"/>
        </w:rPr>
        <w:t>и</w:t>
      </w:r>
      <w:r w:rsidRPr="00577593">
        <w:rPr>
          <w:rFonts w:ascii="Times New Roman" w:hAnsi="Times New Roman"/>
          <w:sz w:val="28"/>
          <w:szCs w:val="28"/>
        </w:rPr>
        <w:t>е муниципальн</w:t>
      </w:r>
      <w:r w:rsidR="00096326">
        <w:rPr>
          <w:rFonts w:ascii="Times New Roman" w:hAnsi="Times New Roman"/>
          <w:sz w:val="28"/>
          <w:szCs w:val="28"/>
        </w:rPr>
        <w:t>ы</w:t>
      </w:r>
      <w:r w:rsidRPr="00577593">
        <w:rPr>
          <w:rFonts w:ascii="Times New Roman" w:hAnsi="Times New Roman"/>
          <w:sz w:val="28"/>
          <w:szCs w:val="28"/>
        </w:rPr>
        <w:t xml:space="preserve">е </w:t>
      </w:r>
      <w:r w:rsidR="00096326">
        <w:rPr>
          <w:rFonts w:ascii="Times New Roman" w:hAnsi="Times New Roman"/>
          <w:sz w:val="28"/>
          <w:szCs w:val="28"/>
        </w:rPr>
        <w:t>правовые акты не приняты</w:t>
      </w:r>
      <w:r w:rsidRPr="00577593">
        <w:rPr>
          <w:rFonts w:ascii="Times New Roman" w:hAnsi="Times New Roman"/>
          <w:sz w:val="28"/>
          <w:szCs w:val="28"/>
        </w:rPr>
        <w:t>. Для реализации предлагаемых направлений решения задачи «Развитие международных отношений» необходимо определить муниципальных служащих, к чьим полномочиям относится эта задача. </w:t>
      </w:r>
    </w:p>
    <w:p w:rsidR="00FC41F4" w:rsidRPr="00577593" w:rsidRDefault="008925FA" w:rsidP="00096326">
      <w:pPr>
        <w:pStyle w:val="3"/>
        <w:spacing w:before="0" w:line="330" w:lineRule="exact"/>
        <w:ind w:firstLine="709"/>
        <w:jc w:val="both"/>
        <w:rPr>
          <w:rFonts w:ascii="Times New Roman" w:eastAsia="Times New Roman" w:hAnsi="Times New Roman"/>
          <w:color w:val="auto"/>
          <w:sz w:val="28"/>
          <w:szCs w:val="28"/>
        </w:rPr>
      </w:pPr>
      <w:bookmarkStart w:id="586" w:name="_Toc204923103"/>
      <w:bookmarkStart w:id="587" w:name="_Toc204933437"/>
      <w:bookmarkStart w:id="588" w:name="_Toc208496762"/>
      <w:bookmarkStart w:id="589" w:name="_Toc208669045"/>
      <w:bookmarkStart w:id="590" w:name="_Toc212804398"/>
      <w:r w:rsidRPr="00577593">
        <w:rPr>
          <w:rFonts w:ascii="Times New Roman" w:eastAsia="Times New Roman" w:hAnsi="Times New Roman"/>
          <w:color w:val="auto"/>
          <w:sz w:val="28"/>
          <w:szCs w:val="28"/>
        </w:rPr>
        <w:t>9.4.2.2</w:t>
      </w:r>
      <w:bookmarkEnd w:id="586"/>
      <w:bookmarkEnd w:id="587"/>
      <w:r w:rsidR="00C004DC">
        <w:rPr>
          <w:rFonts w:ascii="Times New Roman" w:eastAsia="Times New Roman" w:hAnsi="Times New Roman"/>
          <w:color w:val="auto"/>
          <w:sz w:val="28"/>
          <w:szCs w:val="28"/>
        </w:rPr>
        <w:t>.</w:t>
      </w:r>
      <w:r w:rsidRPr="00577593">
        <w:rPr>
          <w:rFonts w:ascii="Times New Roman" w:eastAsia="Times New Roman" w:hAnsi="Times New Roman"/>
          <w:color w:val="auto"/>
          <w:sz w:val="28"/>
          <w:szCs w:val="28"/>
        </w:rPr>
        <w:t xml:space="preserve"> Участие представителей органов местного самоуправления </w:t>
      </w:r>
      <w:r w:rsidR="004110DD" w:rsidRPr="00577593">
        <w:rPr>
          <w:rFonts w:ascii="Times New Roman" w:eastAsia="Times New Roman" w:hAnsi="Times New Roman"/>
          <w:color w:val="auto"/>
          <w:sz w:val="28"/>
          <w:szCs w:val="28"/>
        </w:rPr>
        <w:br/>
      </w:r>
      <w:r w:rsidRPr="00577593">
        <w:rPr>
          <w:rFonts w:ascii="Times New Roman" w:eastAsia="Times New Roman" w:hAnsi="Times New Roman"/>
          <w:color w:val="auto"/>
          <w:sz w:val="28"/>
          <w:szCs w:val="28"/>
        </w:rPr>
        <w:t>в международных программах сотрудничества и повышения квалификации</w:t>
      </w:r>
      <w:bookmarkEnd w:id="588"/>
      <w:bookmarkEnd w:id="589"/>
      <w:bookmarkEnd w:id="590"/>
      <w:r w:rsidRPr="00577593">
        <w:rPr>
          <w:rFonts w:ascii="Times New Roman" w:eastAsia="Times New Roman" w:hAnsi="Times New Roman"/>
          <w:color w:val="auto"/>
          <w:sz w:val="28"/>
          <w:szCs w:val="28"/>
        </w:rPr>
        <w:t> </w:t>
      </w:r>
    </w:p>
    <w:p w:rsidR="00FC41F4" w:rsidRPr="00577593" w:rsidRDefault="008925FA" w:rsidP="00096326">
      <w:pPr>
        <w:spacing w:after="0" w:line="330" w:lineRule="exact"/>
        <w:ind w:firstLine="709"/>
        <w:jc w:val="both"/>
        <w:rPr>
          <w:rFonts w:ascii="Times New Roman" w:hAnsi="Times New Roman"/>
          <w:sz w:val="28"/>
          <w:szCs w:val="28"/>
        </w:rPr>
      </w:pPr>
      <w:r w:rsidRPr="00577593">
        <w:rPr>
          <w:rFonts w:ascii="Times New Roman" w:hAnsi="Times New Roman"/>
          <w:sz w:val="28"/>
          <w:szCs w:val="28"/>
        </w:rPr>
        <w:t>Планируется участие муниципальных служащих в международных выставках по тематике «Образование и карьера». Необходимо увеличить количество заявок, поданных сотрудниками администрации города Барнаула, для участия в программах повышения квалификации с международным компонентом, таких как «Архитекторы.РФ», «Лидеры России», программы Института Конфуция, программы, организованные Российским экспортным центром, Всероссийской академией внешней торговли Минэкономразвития России и зарубежными университетами. </w:t>
      </w:r>
    </w:p>
    <w:p w:rsidR="00FC41F4" w:rsidRPr="00577593" w:rsidRDefault="008925FA" w:rsidP="00096326">
      <w:pPr>
        <w:pStyle w:val="3"/>
        <w:spacing w:before="0" w:line="330" w:lineRule="exact"/>
        <w:ind w:firstLine="709"/>
        <w:jc w:val="both"/>
        <w:rPr>
          <w:rFonts w:ascii="Times New Roman" w:eastAsia="Times New Roman" w:hAnsi="Times New Roman"/>
          <w:color w:val="auto"/>
          <w:sz w:val="28"/>
          <w:szCs w:val="28"/>
        </w:rPr>
      </w:pPr>
      <w:bookmarkStart w:id="591" w:name="_Toc204923104"/>
      <w:bookmarkStart w:id="592" w:name="_Toc204933438"/>
      <w:bookmarkStart w:id="593" w:name="_Toc208496763"/>
      <w:bookmarkStart w:id="594" w:name="_Toc208669046"/>
      <w:bookmarkStart w:id="595" w:name="_Toc212804399"/>
      <w:r w:rsidRPr="00577593">
        <w:rPr>
          <w:rFonts w:ascii="Times New Roman" w:eastAsia="Times New Roman" w:hAnsi="Times New Roman"/>
          <w:color w:val="auto"/>
          <w:sz w:val="28"/>
          <w:szCs w:val="28"/>
        </w:rPr>
        <w:t>9.4.2.3</w:t>
      </w:r>
      <w:bookmarkEnd w:id="591"/>
      <w:bookmarkEnd w:id="592"/>
      <w:r w:rsidR="001511F3">
        <w:rPr>
          <w:rFonts w:ascii="Times New Roman" w:eastAsia="Times New Roman" w:hAnsi="Times New Roman"/>
          <w:color w:val="auto"/>
          <w:sz w:val="28"/>
          <w:szCs w:val="28"/>
        </w:rPr>
        <w:t>. </w:t>
      </w:r>
      <w:r w:rsidRPr="00577593">
        <w:rPr>
          <w:rFonts w:ascii="Times New Roman" w:eastAsia="Times New Roman" w:hAnsi="Times New Roman"/>
          <w:color w:val="auto"/>
          <w:sz w:val="28"/>
          <w:szCs w:val="28"/>
        </w:rPr>
        <w:t xml:space="preserve">Содействие проведению международных деловых и культурных мероприятий на территории </w:t>
      </w:r>
      <w:r w:rsidR="00C004DC">
        <w:rPr>
          <w:rFonts w:ascii="Times New Roman" w:eastAsia="Times New Roman" w:hAnsi="Times New Roman"/>
          <w:color w:val="auto"/>
          <w:sz w:val="28"/>
          <w:szCs w:val="28"/>
        </w:rPr>
        <w:t xml:space="preserve">города </w:t>
      </w:r>
      <w:r w:rsidRPr="00577593">
        <w:rPr>
          <w:rFonts w:ascii="Times New Roman" w:eastAsia="Times New Roman" w:hAnsi="Times New Roman"/>
          <w:color w:val="auto"/>
          <w:sz w:val="28"/>
          <w:szCs w:val="28"/>
        </w:rPr>
        <w:t>Барнаула</w:t>
      </w:r>
      <w:bookmarkEnd w:id="593"/>
      <w:bookmarkEnd w:id="594"/>
      <w:bookmarkEnd w:id="595"/>
    </w:p>
    <w:p w:rsidR="00FC41F4" w:rsidRPr="00577593" w:rsidRDefault="008925FA" w:rsidP="00096326">
      <w:pPr>
        <w:spacing w:after="0" w:line="330" w:lineRule="exact"/>
        <w:ind w:firstLine="709"/>
        <w:jc w:val="both"/>
        <w:rPr>
          <w:rFonts w:ascii="Times New Roman" w:hAnsi="Times New Roman"/>
          <w:sz w:val="28"/>
          <w:szCs w:val="28"/>
        </w:rPr>
      </w:pPr>
      <w:r w:rsidRPr="00577593">
        <w:rPr>
          <w:rFonts w:ascii="Times New Roman" w:hAnsi="Times New Roman"/>
          <w:sz w:val="28"/>
          <w:szCs w:val="28"/>
        </w:rPr>
        <w:t xml:space="preserve">Планируется </w:t>
      </w:r>
      <w:r w:rsidR="00B47575" w:rsidRPr="00577593">
        <w:rPr>
          <w:rFonts w:ascii="Times New Roman" w:hAnsi="Times New Roman"/>
          <w:sz w:val="28"/>
          <w:szCs w:val="28"/>
        </w:rPr>
        <w:t>начать работу по подготовке</w:t>
      </w:r>
      <w:r w:rsidRPr="00577593">
        <w:rPr>
          <w:rFonts w:ascii="Times New Roman" w:hAnsi="Times New Roman"/>
          <w:sz w:val="28"/>
          <w:szCs w:val="28"/>
        </w:rPr>
        <w:t xml:space="preserve"> заявок на </w:t>
      </w:r>
      <w:r w:rsidR="00B47575" w:rsidRPr="00577593">
        <w:rPr>
          <w:rFonts w:ascii="Times New Roman" w:hAnsi="Times New Roman"/>
          <w:sz w:val="28"/>
          <w:szCs w:val="28"/>
        </w:rPr>
        <w:t>проведение</w:t>
      </w:r>
      <w:r w:rsidRPr="00577593">
        <w:rPr>
          <w:rFonts w:ascii="Times New Roman" w:hAnsi="Times New Roman"/>
          <w:sz w:val="28"/>
          <w:szCs w:val="28"/>
        </w:rPr>
        <w:t xml:space="preserve"> в </w:t>
      </w:r>
      <w:r w:rsidR="00D87DAA">
        <w:rPr>
          <w:rFonts w:ascii="Times New Roman" w:hAnsi="Times New Roman"/>
          <w:sz w:val="28"/>
          <w:szCs w:val="28"/>
        </w:rPr>
        <w:t xml:space="preserve">городе </w:t>
      </w:r>
      <w:r w:rsidRPr="00577593">
        <w:rPr>
          <w:rFonts w:ascii="Times New Roman" w:hAnsi="Times New Roman"/>
          <w:sz w:val="28"/>
          <w:szCs w:val="28"/>
        </w:rPr>
        <w:t>Барнауле разнопрофильных мероприятий (деловых и отраслевых конференций, культурных фестивалей, спортивных соревнований, слетов и форумов). Для составления и продвижения заявок будут привлечены исполнительн</w:t>
      </w:r>
      <w:r w:rsidR="009371B4" w:rsidRPr="00577593">
        <w:rPr>
          <w:rFonts w:ascii="Times New Roman" w:hAnsi="Times New Roman"/>
          <w:sz w:val="28"/>
          <w:szCs w:val="28"/>
        </w:rPr>
        <w:t>ые органы Алтайского края</w:t>
      </w:r>
      <w:r w:rsidRPr="00577593">
        <w:rPr>
          <w:rFonts w:ascii="Times New Roman" w:hAnsi="Times New Roman"/>
          <w:sz w:val="28"/>
          <w:szCs w:val="28"/>
        </w:rPr>
        <w:t>, образовательные и</w:t>
      </w:r>
      <w:r w:rsidR="009B7503" w:rsidRPr="00577593">
        <w:rPr>
          <w:rFonts w:ascii="Times New Roman" w:hAnsi="Times New Roman"/>
          <w:sz w:val="28"/>
          <w:szCs w:val="28"/>
        </w:rPr>
        <w:t> </w:t>
      </w:r>
      <w:r w:rsidRPr="00577593">
        <w:rPr>
          <w:rFonts w:ascii="Times New Roman" w:hAnsi="Times New Roman"/>
          <w:sz w:val="28"/>
          <w:szCs w:val="28"/>
        </w:rPr>
        <w:t xml:space="preserve">деловые организации, расположенные на территории города. </w:t>
      </w:r>
    </w:p>
    <w:p w:rsidR="00FC41F4" w:rsidRPr="00577593" w:rsidRDefault="008925FA" w:rsidP="00096326">
      <w:pPr>
        <w:spacing w:after="0" w:line="330" w:lineRule="exact"/>
        <w:ind w:firstLine="709"/>
        <w:jc w:val="both"/>
        <w:rPr>
          <w:rFonts w:ascii="Times New Roman" w:hAnsi="Times New Roman"/>
          <w:sz w:val="28"/>
          <w:szCs w:val="28"/>
        </w:rPr>
      </w:pPr>
      <w:r w:rsidRPr="00577593">
        <w:rPr>
          <w:rFonts w:ascii="Times New Roman" w:hAnsi="Times New Roman"/>
          <w:sz w:val="28"/>
          <w:szCs w:val="28"/>
        </w:rPr>
        <w:t>Принятие таких мероприятий обеспечит лидирующую позицию города Барнаул</w:t>
      </w:r>
      <w:r w:rsidR="00D87DAA">
        <w:rPr>
          <w:rFonts w:ascii="Times New Roman" w:hAnsi="Times New Roman"/>
          <w:sz w:val="28"/>
          <w:szCs w:val="28"/>
        </w:rPr>
        <w:t>а</w:t>
      </w:r>
      <w:r w:rsidRPr="00577593">
        <w:rPr>
          <w:rFonts w:ascii="Times New Roman" w:hAnsi="Times New Roman"/>
          <w:sz w:val="28"/>
          <w:szCs w:val="28"/>
        </w:rPr>
        <w:t xml:space="preserve"> в реализации событийной составляющей программ международной кооперации и укрепление репутации города как привлекательного места для проведения международных мероприятий. </w:t>
      </w:r>
    </w:p>
    <w:p w:rsidR="00FC41F4" w:rsidRPr="00577593" w:rsidRDefault="008925FA" w:rsidP="00096326">
      <w:pPr>
        <w:pStyle w:val="3"/>
        <w:spacing w:before="0" w:line="330" w:lineRule="exact"/>
        <w:ind w:firstLine="709"/>
        <w:jc w:val="both"/>
        <w:rPr>
          <w:rFonts w:ascii="Times New Roman" w:eastAsia="Times New Roman" w:hAnsi="Times New Roman"/>
          <w:color w:val="auto"/>
          <w:sz w:val="28"/>
          <w:szCs w:val="28"/>
        </w:rPr>
      </w:pPr>
      <w:bookmarkStart w:id="596" w:name="_Toc212804400"/>
      <w:bookmarkStart w:id="597" w:name="_Toc208496764"/>
      <w:bookmarkStart w:id="598" w:name="_Toc208669047"/>
      <w:r w:rsidRPr="00577593">
        <w:rPr>
          <w:rFonts w:ascii="Times New Roman" w:eastAsia="Times New Roman" w:hAnsi="Times New Roman"/>
          <w:color w:val="auto"/>
          <w:sz w:val="28"/>
          <w:szCs w:val="28"/>
        </w:rPr>
        <w:t>9.4.2.4</w:t>
      </w:r>
      <w:r w:rsidR="001511F3">
        <w:rPr>
          <w:rFonts w:ascii="Times New Roman" w:eastAsia="Times New Roman" w:hAnsi="Times New Roman"/>
          <w:color w:val="auto"/>
          <w:sz w:val="28"/>
          <w:szCs w:val="28"/>
        </w:rPr>
        <w:t>.</w:t>
      </w:r>
      <w:r w:rsidRPr="00577593">
        <w:rPr>
          <w:rFonts w:ascii="Times New Roman" w:eastAsia="Times New Roman" w:hAnsi="Times New Roman"/>
          <w:color w:val="auto"/>
          <w:sz w:val="28"/>
          <w:szCs w:val="28"/>
        </w:rPr>
        <w:t xml:space="preserve"> </w:t>
      </w:r>
      <w:r w:rsidR="00CB641E" w:rsidRPr="00577593">
        <w:rPr>
          <w:rFonts w:ascii="Times New Roman" w:eastAsia="Times New Roman" w:hAnsi="Times New Roman"/>
          <w:color w:val="auto"/>
          <w:sz w:val="28"/>
          <w:szCs w:val="28"/>
        </w:rPr>
        <w:t>Р</w:t>
      </w:r>
      <w:r w:rsidR="00F94359" w:rsidRPr="00577593">
        <w:rPr>
          <w:rFonts w:ascii="Times New Roman" w:eastAsia="Times New Roman" w:hAnsi="Times New Roman"/>
          <w:color w:val="auto"/>
          <w:sz w:val="28"/>
          <w:szCs w:val="28"/>
        </w:rPr>
        <w:t>азвитие</w:t>
      </w:r>
      <w:r w:rsidRPr="00577593">
        <w:rPr>
          <w:rFonts w:ascii="Times New Roman" w:eastAsia="Times New Roman" w:hAnsi="Times New Roman"/>
          <w:color w:val="auto"/>
          <w:sz w:val="28"/>
          <w:szCs w:val="28"/>
        </w:rPr>
        <w:t xml:space="preserve"> международных связей</w:t>
      </w:r>
      <w:r w:rsidR="00CB641E" w:rsidRPr="00577593">
        <w:rPr>
          <w:rFonts w:ascii="Times New Roman" w:eastAsia="Times New Roman" w:hAnsi="Times New Roman"/>
          <w:color w:val="auto"/>
          <w:sz w:val="28"/>
          <w:szCs w:val="28"/>
        </w:rPr>
        <w:t xml:space="preserve"> </w:t>
      </w:r>
      <w:r w:rsidR="00C004DC">
        <w:rPr>
          <w:rFonts w:ascii="Times New Roman" w:eastAsia="Times New Roman" w:hAnsi="Times New Roman"/>
          <w:color w:val="auto"/>
          <w:sz w:val="28"/>
          <w:szCs w:val="28"/>
        </w:rPr>
        <w:t xml:space="preserve">города </w:t>
      </w:r>
      <w:r w:rsidR="00CB641E" w:rsidRPr="00577593">
        <w:rPr>
          <w:rFonts w:ascii="Times New Roman" w:eastAsia="Times New Roman" w:hAnsi="Times New Roman"/>
          <w:color w:val="auto"/>
          <w:sz w:val="28"/>
          <w:szCs w:val="28"/>
        </w:rPr>
        <w:t>Барнаула, в том числе в рамках проведения молодежной политики</w:t>
      </w:r>
      <w:bookmarkEnd w:id="596"/>
      <w:r w:rsidRPr="00577593">
        <w:rPr>
          <w:rFonts w:ascii="Times New Roman" w:eastAsia="Times New Roman" w:hAnsi="Times New Roman"/>
          <w:color w:val="auto"/>
          <w:sz w:val="28"/>
          <w:szCs w:val="28"/>
        </w:rPr>
        <w:t xml:space="preserve"> </w:t>
      </w:r>
      <w:bookmarkEnd w:id="597"/>
      <w:bookmarkEnd w:id="598"/>
    </w:p>
    <w:p w:rsidR="00FE6BAF" w:rsidRPr="00577593" w:rsidRDefault="008925FA" w:rsidP="00096326">
      <w:pPr>
        <w:spacing w:after="0" w:line="330" w:lineRule="exact"/>
        <w:ind w:firstLine="709"/>
        <w:jc w:val="both"/>
        <w:rPr>
          <w:rFonts w:ascii="Times New Roman" w:hAnsi="Times New Roman"/>
          <w:sz w:val="28"/>
          <w:szCs w:val="28"/>
        </w:rPr>
      </w:pPr>
      <w:r w:rsidRPr="00577593">
        <w:rPr>
          <w:rFonts w:ascii="Times New Roman" w:hAnsi="Times New Roman"/>
          <w:sz w:val="28"/>
          <w:szCs w:val="28"/>
        </w:rPr>
        <w:t>Фундамент развития кооперации, экономических, культурных и политических международных связей формируется за счет развития межкультурных связей</w:t>
      </w:r>
      <w:r w:rsidR="00FE6BAF" w:rsidRPr="00577593">
        <w:rPr>
          <w:rFonts w:ascii="Times New Roman" w:hAnsi="Times New Roman"/>
          <w:sz w:val="28"/>
          <w:szCs w:val="28"/>
        </w:rPr>
        <w:t xml:space="preserve">,  </w:t>
      </w:r>
      <w:r w:rsidR="00EA0F4E" w:rsidRPr="00577593">
        <w:rPr>
          <w:rFonts w:ascii="Times New Roman" w:hAnsi="Times New Roman"/>
          <w:sz w:val="28"/>
          <w:szCs w:val="28"/>
        </w:rPr>
        <w:t>в том числе по</w:t>
      </w:r>
      <w:r w:rsidR="00FE6BAF" w:rsidRPr="00577593">
        <w:rPr>
          <w:rFonts w:ascii="Times New Roman" w:hAnsi="Times New Roman"/>
          <w:sz w:val="28"/>
          <w:szCs w:val="28"/>
        </w:rPr>
        <w:t>средством реализации</w:t>
      </w:r>
      <w:r w:rsidRPr="00577593">
        <w:rPr>
          <w:rFonts w:ascii="Times New Roman" w:hAnsi="Times New Roman"/>
          <w:sz w:val="28"/>
          <w:szCs w:val="28"/>
        </w:rPr>
        <w:t xml:space="preserve"> молодежной политики. </w:t>
      </w:r>
    </w:p>
    <w:p w:rsidR="00096326" w:rsidRDefault="00FE6BAF" w:rsidP="00096326">
      <w:pPr>
        <w:spacing w:after="0" w:line="330" w:lineRule="exact"/>
        <w:ind w:firstLine="709"/>
        <w:jc w:val="both"/>
        <w:rPr>
          <w:rFonts w:ascii="Times New Roman" w:hAnsi="Times New Roman"/>
          <w:sz w:val="28"/>
          <w:szCs w:val="28"/>
        </w:rPr>
      </w:pPr>
      <w:r w:rsidRPr="00577593">
        <w:rPr>
          <w:rFonts w:ascii="Times New Roman" w:hAnsi="Times New Roman"/>
          <w:sz w:val="28"/>
          <w:szCs w:val="28"/>
        </w:rPr>
        <w:t>В данном направлении п</w:t>
      </w:r>
      <w:r w:rsidR="008925FA" w:rsidRPr="00577593">
        <w:rPr>
          <w:rFonts w:ascii="Times New Roman" w:hAnsi="Times New Roman"/>
          <w:sz w:val="28"/>
          <w:szCs w:val="28"/>
        </w:rPr>
        <w:t>ланируется инициация участия школьных объединений и</w:t>
      </w:r>
      <w:r w:rsidR="00267FC5" w:rsidRPr="00577593">
        <w:rPr>
          <w:rFonts w:ascii="Times New Roman" w:hAnsi="Times New Roman"/>
          <w:sz w:val="28"/>
          <w:szCs w:val="28"/>
        </w:rPr>
        <w:t> </w:t>
      </w:r>
      <w:r w:rsidR="008925FA" w:rsidRPr="00577593">
        <w:rPr>
          <w:rFonts w:ascii="Times New Roman" w:hAnsi="Times New Roman"/>
          <w:sz w:val="28"/>
          <w:szCs w:val="28"/>
        </w:rPr>
        <w:t xml:space="preserve">организаций студентов СПО в программах обмена опытом. </w:t>
      </w:r>
    </w:p>
    <w:p w:rsidR="00FC41F4" w:rsidRPr="00577593" w:rsidRDefault="008925FA" w:rsidP="00096326">
      <w:pPr>
        <w:spacing w:after="0" w:line="330" w:lineRule="exact"/>
        <w:jc w:val="both"/>
        <w:rPr>
          <w:rFonts w:ascii="Times New Roman" w:hAnsi="Times New Roman"/>
          <w:sz w:val="28"/>
          <w:szCs w:val="28"/>
        </w:rPr>
      </w:pPr>
      <w:r w:rsidRPr="00577593">
        <w:rPr>
          <w:rFonts w:ascii="Times New Roman" w:hAnsi="Times New Roman"/>
          <w:sz w:val="28"/>
          <w:szCs w:val="28"/>
        </w:rPr>
        <w:lastRenderedPageBreak/>
        <w:t xml:space="preserve">Возможно привлечение стран, студенты из которых обучаются в </w:t>
      </w:r>
      <w:r w:rsidR="00D87DAA">
        <w:rPr>
          <w:rFonts w:ascii="Times New Roman" w:hAnsi="Times New Roman"/>
          <w:sz w:val="28"/>
          <w:szCs w:val="28"/>
        </w:rPr>
        <w:t xml:space="preserve">городе </w:t>
      </w:r>
      <w:r w:rsidRPr="00577593">
        <w:rPr>
          <w:rFonts w:ascii="Times New Roman" w:hAnsi="Times New Roman"/>
          <w:sz w:val="28"/>
          <w:szCs w:val="28"/>
        </w:rPr>
        <w:t>Барнауле, к системному сотрудничеству на уровне среднего образования. На территории города возможно проведение Международной школы молодежной дипломатии и международных слетов молодежи, предлагается развитие института школ-побратимов. </w:t>
      </w:r>
    </w:p>
    <w:p w:rsidR="00FC41F4" w:rsidRPr="00577593" w:rsidRDefault="008925FA" w:rsidP="002000D4">
      <w:pPr>
        <w:pStyle w:val="3"/>
        <w:spacing w:before="0" w:line="240" w:lineRule="auto"/>
        <w:ind w:firstLine="709"/>
        <w:jc w:val="both"/>
        <w:rPr>
          <w:rFonts w:ascii="Times New Roman" w:eastAsia="Times New Roman" w:hAnsi="Times New Roman"/>
          <w:color w:val="auto"/>
          <w:sz w:val="28"/>
          <w:szCs w:val="28"/>
        </w:rPr>
      </w:pPr>
      <w:bookmarkStart w:id="599" w:name="_Toc204923105"/>
      <w:bookmarkStart w:id="600" w:name="_Toc204933439"/>
      <w:bookmarkStart w:id="601" w:name="_Toc208496765"/>
      <w:bookmarkStart w:id="602" w:name="_Toc208669048"/>
      <w:bookmarkStart w:id="603" w:name="_Toc212804401"/>
      <w:r w:rsidRPr="00577593">
        <w:rPr>
          <w:rFonts w:ascii="Times New Roman" w:eastAsia="Times New Roman" w:hAnsi="Times New Roman"/>
          <w:color w:val="auto"/>
          <w:sz w:val="28"/>
          <w:szCs w:val="28"/>
        </w:rPr>
        <w:t>9.4.2.5</w:t>
      </w:r>
      <w:r w:rsidR="001511F3">
        <w:rPr>
          <w:rFonts w:ascii="Times New Roman" w:eastAsia="Times New Roman" w:hAnsi="Times New Roman"/>
          <w:color w:val="auto"/>
          <w:sz w:val="28"/>
          <w:szCs w:val="28"/>
        </w:rPr>
        <w:t>.</w:t>
      </w:r>
      <w:r w:rsidRPr="00577593">
        <w:rPr>
          <w:rFonts w:ascii="Times New Roman" w:eastAsia="Times New Roman" w:hAnsi="Times New Roman"/>
          <w:color w:val="auto"/>
          <w:sz w:val="28"/>
          <w:szCs w:val="28"/>
        </w:rPr>
        <w:t xml:space="preserve"> Содействие участию предприятий </w:t>
      </w:r>
      <w:r w:rsidR="00C004DC">
        <w:rPr>
          <w:rFonts w:ascii="Times New Roman" w:eastAsia="Times New Roman" w:hAnsi="Times New Roman"/>
          <w:color w:val="auto"/>
          <w:sz w:val="28"/>
          <w:szCs w:val="28"/>
        </w:rPr>
        <w:t xml:space="preserve">города </w:t>
      </w:r>
      <w:r w:rsidRPr="00577593">
        <w:rPr>
          <w:rFonts w:ascii="Times New Roman" w:eastAsia="Times New Roman" w:hAnsi="Times New Roman"/>
          <w:color w:val="auto"/>
          <w:sz w:val="28"/>
          <w:szCs w:val="28"/>
        </w:rPr>
        <w:t>Барнаула в региональных и национальных программах развития экспортного потенциала</w:t>
      </w:r>
      <w:bookmarkEnd w:id="599"/>
      <w:bookmarkEnd w:id="600"/>
      <w:bookmarkEnd w:id="601"/>
      <w:bookmarkEnd w:id="602"/>
      <w:bookmarkEnd w:id="603"/>
      <w:r w:rsidRPr="00577593">
        <w:rPr>
          <w:rFonts w:ascii="Times New Roman" w:eastAsia="Times New Roman" w:hAnsi="Times New Roman"/>
          <w:color w:val="auto"/>
          <w:sz w:val="28"/>
          <w:szCs w:val="28"/>
        </w:rPr>
        <w:t> </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Планируется обеспечение участия крупных предприятий и субъектов МСП в региональных и федеральных программах поддержки экспорта (компенсация затрат на участие в конгрессно-выставочных мероприятиях, компенсация затрат на транспортировку продукции, компенсация расходов на сертификацию продукции согласно международным стандартам). </w:t>
      </w:r>
      <w:r w:rsidR="001511F3">
        <w:rPr>
          <w:rFonts w:ascii="Times New Roman" w:hAnsi="Times New Roman"/>
          <w:sz w:val="28"/>
          <w:szCs w:val="28"/>
        </w:rPr>
        <w:t xml:space="preserve">         </w:t>
      </w:r>
      <w:r w:rsidRPr="00577593">
        <w:rPr>
          <w:rFonts w:ascii="Times New Roman" w:hAnsi="Times New Roman"/>
          <w:sz w:val="28"/>
          <w:szCs w:val="28"/>
        </w:rPr>
        <w:t>Со стороны муниципалитета предполагается информационная и консультационная поддержка предприятий, квалифицированных для участия в программах государственной поддержки. </w:t>
      </w:r>
    </w:p>
    <w:p w:rsidR="00FC41F4" w:rsidRPr="00577593" w:rsidRDefault="00FC41F4" w:rsidP="002000D4">
      <w:pPr>
        <w:spacing w:after="0" w:line="240" w:lineRule="auto"/>
        <w:ind w:firstLine="709"/>
        <w:jc w:val="both"/>
        <w:rPr>
          <w:rFonts w:ascii="Times New Roman" w:eastAsia="Times New Roman" w:hAnsi="Times New Roman"/>
          <w:sz w:val="28"/>
          <w:szCs w:val="28"/>
        </w:rPr>
      </w:pPr>
    </w:p>
    <w:p w:rsidR="00FC41F4" w:rsidRPr="00577593" w:rsidRDefault="008925FA" w:rsidP="002000D4">
      <w:pPr>
        <w:pStyle w:val="3"/>
        <w:spacing w:before="0" w:line="240" w:lineRule="auto"/>
        <w:ind w:firstLine="709"/>
        <w:jc w:val="both"/>
        <w:rPr>
          <w:rFonts w:ascii="Times New Roman" w:eastAsia="Times New Roman" w:hAnsi="Times New Roman"/>
          <w:b/>
          <w:bCs/>
          <w:color w:val="auto"/>
          <w:sz w:val="28"/>
          <w:szCs w:val="28"/>
        </w:rPr>
      </w:pPr>
      <w:bookmarkStart w:id="604" w:name="_Toc212804402"/>
      <w:r w:rsidRPr="00577593">
        <w:rPr>
          <w:rFonts w:ascii="Times New Roman" w:eastAsia="Times New Roman" w:hAnsi="Times New Roman"/>
          <w:b/>
          <w:bCs/>
          <w:color w:val="auto"/>
          <w:sz w:val="28"/>
          <w:szCs w:val="28"/>
        </w:rPr>
        <w:t>9.5</w:t>
      </w:r>
      <w:r w:rsidR="00C004DC">
        <w:rPr>
          <w:rFonts w:ascii="Times New Roman" w:eastAsia="Times New Roman" w:hAnsi="Times New Roman"/>
          <w:b/>
          <w:bCs/>
          <w:color w:val="auto"/>
          <w:sz w:val="28"/>
          <w:szCs w:val="28"/>
        </w:rPr>
        <w:t>.</w:t>
      </w:r>
      <w:r w:rsidRPr="00577593">
        <w:rPr>
          <w:rFonts w:ascii="Times New Roman" w:eastAsia="Times New Roman" w:hAnsi="Times New Roman"/>
          <w:b/>
          <w:bCs/>
          <w:color w:val="auto"/>
          <w:sz w:val="28"/>
          <w:szCs w:val="28"/>
        </w:rPr>
        <w:t xml:space="preserve"> Стратегическое направление «Эффективное управление»</w:t>
      </w:r>
      <w:bookmarkEnd w:id="604"/>
    </w:p>
    <w:p w:rsidR="00FC41F4" w:rsidRPr="00577593" w:rsidRDefault="008925FA" w:rsidP="002000D4">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В рамках национальной цели развития Российской Федерации </w:t>
      </w:r>
      <w:r w:rsidR="004110DD" w:rsidRPr="00577593">
        <w:rPr>
          <w:rFonts w:ascii="Times New Roman" w:eastAsia="Times New Roman" w:hAnsi="Times New Roman"/>
          <w:sz w:val="28"/>
          <w:szCs w:val="28"/>
        </w:rPr>
        <w:br/>
      </w:r>
      <w:r w:rsidRPr="00577593">
        <w:rPr>
          <w:rFonts w:ascii="Times New Roman" w:eastAsia="Times New Roman" w:hAnsi="Times New Roman"/>
          <w:sz w:val="28"/>
          <w:szCs w:val="28"/>
        </w:rPr>
        <w:t>на период до 2030 года и на перспективу до 2036 года «Цифровая трансформация государственного и</w:t>
      </w:r>
      <w:r w:rsidR="001E4F73" w:rsidRPr="00577593">
        <w:rPr>
          <w:rFonts w:ascii="Times New Roman" w:eastAsia="Times New Roman" w:hAnsi="Times New Roman"/>
          <w:sz w:val="28"/>
          <w:szCs w:val="28"/>
        </w:rPr>
        <w:t> </w:t>
      </w:r>
      <w:r w:rsidRPr="00577593">
        <w:rPr>
          <w:rFonts w:ascii="Times New Roman" w:eastAsia="Times New Roman" w:hAnsi="Times New Roman"/>
          <w:sz w:val="28"/>
          <w:szCs w:val="28"/>
        </w:rPr>
        <w:t>муниципального управления, экономики и социальной сферы» определена следующая задача:</w:t>
      </w:r>
    </w:p>
    <w:p w:rsidR="00FC41F4" w:rsidRPr="00577593" w:rsidRDefault="00A642E6" w:rsidP="002000D4">
      <w:pPr>
        <w:pStyle w:val="af5"/>
        <w:numPr>
          <w:ilvl w:val="0"/>
          <w:numId w:val="25"/>
        </w:numPr>
        <w:pBdr>
          <w:top w:val="none" w:sz="4" w:space="0" w:color="000000"/>
          <w:left w:val="none" w:sz="4" w:space="0" w:color="000000"/>
          <w:bottom w:val="none" w:sz="4" w:space="0" w:color="000000"/>
          <w:right w:val="none" w:sz="4" w:space="0" w:color="000000"/>
        </w:pBdr>
        <w:tabs>
          <w:tab w:val="left" w:pos="993"/>
        </w:tabs>
        <w:spacing w:after="0" w:line="240" w:lineRule="auto"/>
        <w:ind w:left="0" w:firstLine="709"/>
        <w:jc w:val="both"/>
        <w:rPr>
          <w:rFonts w:ascii="Times New Roman" w:hAnsi="Times New Roman"/>
          <w:sz w:val="28"/>
          <w:szCs w:val="28"/>
        </w:rPr>
      </w:pPr>
      <w:r w:rsidRPr="00577593">
        <w:rPr>
          <w:rFonts w:ascii="Times New Roman" w:eastAsia="Times New Roman" w:hAnsi="Times New Roman"/>
          <w:sz w:val="28"/>
          <w:szCs w:val="28"/>
        </w:rPr>
        <w:t>д</w:t>
      </w:r>
      <w:r w:rsidR="008925FA" w:rsidRPr="00577593">
        <w:rPr>
          <w:rFonts w:ascii="Times New Roman" w:eastAsia="Times New Roman" w:hAnsi="Times New Roman"/>
          <w:sz w:val="28"/>
          <w:szCs w:val="28"/>
        </w:rPr>
        <w:t>остижение к 2030 году «цифровой зрелости» государственного и</w:t>
      </w:r>
      <w:r w:rsidR="001E4F73" w:rsidRPr="00577593">
        <w:rPr>
          <w:rFonts w:ascii="Times New Roman" w:eastAsia="Times New Roman" w:hAnsi="Times New Roman"/>
          <w:sz w:val="28"/>
          <w:szCs w:val="28"/>
        </w:rPr>
        <w:t> </w:t>
      </w:r>
      <w:r w:rsidR="008925FA" w:rsidRPr="00577593">
        <w:rPr>
          <w:rFonts w:ascii="Times New Roman" w:eastAsia="Times New Roman" w:hAnsi="Times New Roman"/>
          <w:sz w:val="28"/>
          <w:szCs w:val="28"/>
        </w:rPr>
        <w:t>муниципального управления, ключевых отраслей экономики и социальной сферы, в том числе здравоохранения и образования, предполагающей автоматизацию большей части транзакций в рамках единых отраслевых цифровых платформ и модели управления на</w:t>
      </w:r>
      <w:r w:rsidR="001E4F73" w:rsidRPr="00577593">
        <w:rPr>
          <w:rFonts w:ascii="Times New Roman" w:eastAsia="Times New Roman" w:hAnsi="Times New Roman"/>
          <w:sz w:val="28"/>
          <w:szCs w:val="28"/>
        </w:rPr>
        <w:t> </w:t>
      </w:r>
      <w:r w:rsidR="008925FA" w:rsidRPr="00577593">
        <w:rPr>
          <w:rFonts w:ascii="Times New Roman" w:eastAsia="Times New Roman" w:hAnsi="Times New Roman"/>
          <w:sz w:val="28"/>
          <w:szCs w:val="28"/>
        </w:rPr>
        <w:t>основе данных с учетом ускоренного внедрения технологий обработки больших объемов данных, машинного обучения и искусственного интеллекта.</w:t>
      </w:r>
    </w:p>
    <w:p w:rsidR="00FC41F4" w:rsidRPr="00577593" w:rsidRDefault="008925FA" w:rsidP="002000D4">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В Стратегии социально-экономического развития Алтайского края </w:t>
      </w:r>
      <w:r w:rsidR="004110DD" w:rsidRPr="00577593">
        <w:rPr>
          <w:rFonts w:ascii="Times New Roman" w:eastAsia="Times New Roman" w:hAnsi="Times New Roman"/>
          <w:sz w:val="28"/>
          <w:szCs w:val="28"/>
        </w:rPr>
        <w:br/>
      </w:r>
      <w:r w:rsidRPr="00577593">
        <w:rPr>
          <w:rFonts w:ascii="Times New Roman" w:eastAsia="Times New Roman" w:hAnsi="Times New Roman"/>
          <w:sz w:val="28"/>
          <w:szCs w:val="28"/>
        </w:rPr>
        <w:t>до 2035 года определена следующая задача:</w:t>
      </w:r>
    </w:p>
    <w:p w:rsidR="00FC41F4" w:rsidRPr="00577593" w:rsidRDefault="00A550D9" w:rsidP="002000D4">
      <w:pPr>
        <w:pStyle w:val="af5"/>
        <w:numPr>
          <w:ilvl w:val="0"/>
          <w:numId w:val="25"/>
        </w:numPr>
        <w:pBdr>
          <w:top w:val="none" w:sz="4" w:space="0" w:color="000000"/>
          <w:left w:val="none" w:sz="4" w:space="0" w:color="000000"/>
          <w:bottom w:val="none" w:sz="4" w:space="0" w:color="000000"/>
          <w:right w:val="none" w:sz="4" w:space="0" w:color="000000"/>
        </w:pBdr>
        <w:tabs>
          <w:tab w:val="left" w:pos="993"/>
        </w:tabs>
        <w:spacing w:after="0" w:line="240" w:lineRule="auto"/>
        <w:ind w:left="0" w:firstLine="709"/>
        <w:jc w:val="both"/>
        <w:rPr>
          <w:rFonts w:ascii="Times New Roman" w:eastAsia="Times New Roman" w:hAnsi="Times New Roman"/>
          <w:sz w:val="28"/>
          <w:szCs w:val="28"/>
        </w:rPr>
      </w:pPr>
      <w:r w:rsidRPr="00577593">
        <w:rPr>
          <w:rFonts w:ascii="Times New Roman" w:eastAsia="Times New Roman" w:hAnsi="Times New Roman"/>
          <w:sz w:val="28"/>
          <w:szCs w:val="28"/>
        </w:rPr>
        <w:t>р</w:t>
      </w:r>
      <w:r w:rsidR="008925FA" w:rsidRPr="00577593">
        <w:rPr>
          <w:rFonts w:ascii="Times New Roman" w:eastAsia="Times New Roman" w:hAnsi="Times New Roman"/>
          <w:sz w:val="28"/>
          <w:szCs w:val="28"/>
        </w:rPr>
        <w:t>азвитие современной информационно-телекоммуникационной инфраструктуры на всей территории Алтайского края, обеспечивающей цифровизацию и цифровую трансформацию основных отраслей и рынков (сфер хозяйствующей деятельности).</w:t>
      </w:r>
      <w:bookmarkStart w:id="605" w:name="_Toc204923107"/>
      <w:bookmarkStart w:id="606" w:name="_Toc204933441"/>
    </w:p>
    <w:p w:rsidR="00FC41F4" w:rsidRPr="00577593" w:rsidRDefault="008925FA" w:rsidP="002000D4">
      <w:pPr>
        <w:pStyle w:val="3"/>
        <w:spacing w:before="0" w:line="240" w:lineRule="auto"/>
        <w:ind w:firstLine="709"/>
        <w:jc w:val="both"/>
        <w:rPr>
          <w:rFonts w:ascii="Times New Roman" w:eastAsia="Times New Roman" w:hAnsi="Times New Roman"/>
          <w:b/>
          <w:color w:val="auto"/>
          <w:sz w:val="28"/>
          <w:szCs w:val="28"/>
        </w:rPr>
      </w:pPr>
      <w:bookmarkStart w:id="607" w:name="_Toc208496767"/>
      <w:bookmarkStart w:id="608" w:name="_Toc208669050"/>
      <w:bookmarkStart w:id="609" w:name="_Toc212804403"/>
      <w:r w:rsidRPr="00577593">
        <w:rPr>
          <w:rFonts w:ascii="Times New Roman" w:eastAsia="Times New Roman" w:hAnsi="Times New Roman"/>
          <w:b/>
          <w:color w:val="auto"/>
          <w:sz w:val="28"/>
          <w:szCs w:val="28"/>
        </w:rPr>
        <w:t>9.5.1</w:t>
      </w:r>
      <w:r w:rsidR="00C004DC">
        <w:rPr>
          <w:rFonts w:ascii="Times New Roman" w:eastAsia="Times New Roman" w:hAnsi="Times New Roman"/>
          <w:b/>
          <w:color w:val="auto"/>
          <w:sz w:val="28"/>
          <w:szCs w:val="28"/>
        </w:rPr>
        <w:t>.</w:t>
      </w:r>
      <w:r w:rsidRPr="00577593">
        <w:rPr>
          <w:rFonts w:ascii="Times New Roman" w:eastAsia="Times New Roman" w:hAnsi="Times New Roman"/>
          <w:b/>
          <w:color w:val="auto"/>
          <w:sz w:val="28"/>
          <w:szCs w:val="28"/>
        </w:rPr>
        <w:t xml:space="preserve"> Повышение эффективности и открытости деятельности органов местного самоуправления</w:t>
      </w:r>
      <w:bookmarkEnd w:id="605"/>
      <w:bookmarkEnd w:id="606"/>
      <w:bookmarkEnd w:id="607"/>
      <w:bookmarkEnd w:id="608"/>
      <w:bookmarkEnd w:id="609"/>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Проведение политики открытости в информационной сфере будет осуществляться через публикацию материалов о деятельности органов местного самоуправления в СМИ и медиа. Необходимо обеспечение обратной связи органов местного самоуправления и граждан и проведение общественных обсуждений проектов нормативных правовых актов и решений.</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Планируется продолжить выстраивание обратной связи с гражданским обществом </w:t>
      </w:r>
      <w:r w:rsidR="00D87DAA">
        <w:rPr>
          <w:rFonts w:ascii="Times New Roman" w:eastAsia="Times New Roman" w:hAnsi="Times New Roman"/>
          <w:sz w:val="28"/>
          <w:szCs w:val="28"/>
        </w:rPr>
        <w:t xml:space="preserve">города </w:t>
      </w:r>
      <w:r w:rsidRPr="00577593">
        <w:rPr>
          <w:rFonts w:ascii="Times New Roman" w:eastAsia="Times New Roman" w:hAnsi="Times New Roman"/>
          <w:sz w:val="28"/>
          <w:szCs w:val="28"/>
        </w:rPr>
        <w:t xml:space="preserve">Барнаула, поддержание широкого </w:t>
      </w:r>
      <w:r w:rsidRPr="00577593">
        <w:rPr>
          <w:rFonts w:ascii="Times New Roman" w:eastAsia="Times New Roman" w:hAnsi="Times New Roman"/>
          <w:sz w:val="28"/>
          <w:szCs w:val="28"/>
        </w:rPr>
        <w:lastRenderedPageBreak/>
        <w:t>многоканального доступа граждан к ресурсам о деятельности муниципальных органов власти. Отражение общественно значимых результатов, на достижение которых направлена работа муниципалитета (обнародование, размещение результатов социологических опросов, показателей качества оказания муниципальных услуг) останется важным элементом политики открытости муниципалитета. Доведение информации о работе органов местного самоуправления необходимо осуществлять в понятных для граждан форматах (например, «Бюджет для граждан», годовые отчеты главы города).</w:t>
      </w:r>
    </w:p>
    <w:p w:rsidR="00FC41F4" w:rsidRPr="00577593" w:rsidRDefault="008925FA" w:rsidP="002000D4">
      <w:pPr>
        <w:pStyle w:val="3"/>
        <w:spacing w:before="0" w:line="240" w:lineRule="auto"/>
        <w:ind w:firstLine="709"/>
        <w:jc w:val="both"/>
        <w:rPr>
          <w:rFonts w:ascii="Times New Roman" w:eastAsia="Times New Roman" w:hAnsi="Times New Roman"/>
          <w:b/>
          <w:color w:val="auto"/>
          <w:sz w:val="28"/>
          <w:szCs w:val="28"/>
        </w:rPr>
      </w:pPr>
      <w:bookmarkStart w:id="610" w:name="_Toc204923108"/>
      <w:bookmarkStart w:id="611" w:name="_Toc204933442"/>
      <w:bookmarkStart w:id="612" w:name="_Toc208496768"/>
      <w:bookmarkStart w:id="613" w:name="_Toc208669051"/>
      <w:bookmarkStart w:id="614" w:name="_Toc212804404"/>
      <w:r w:rsidRPr="00577593">
        <w:rPr>
          <w:rFonts w:ascii="Times New Roman" w:eastAsia="Times New Roman" w:hAnsi="Times New Roman"/>
          <w:b/>
          <w:color w:val="auto"/>
          <w:sz w:val="28"/>
          <w:szCs w:val="28"/>
        </w:rPr>
        <w:t>9.5.2</w:t>
      </w:r>
      <w:r w:rsidR="00C004DC">
        <w:rPr>
          <w:rFonts w:ascii="Times New Roman" w:eastAsia="Times New Roman" w:hAnsi="Times New Roman"/>
          <w:b/>
          <w:color w:val="auto"/>
          <w:sz w:val="28"/>
          <w:szCs w:val="28"/>
        </w:rPr>
        <w:t>.</w:t>
      </w:r>
      <w:r w:rsidRPr="00577593">
        <w:rPr>
          <w:rFonts w:ascii="Times New Roman" w:eastAsia="Times New Roman" w:hAnsi="Times New Roman"/>
          <w:b/>
          <w:color w:val="auto"/>
          <w:sz w:val="28"/>
          <w:szCs w:val="28"/>
        </w:rPr>
        <w:t xml:space="preserve"> Совершенствование системы управления муниципальными финансами и муниципальным имуществом</w:t>
      </w:r>
      <w:bookmarkEnd w:id="610"/>
      <w:bookmarkEnd w:id="611"/>
      <w:bookmarkEnd w:id="612"/>
      <w:bookmarkEnd w:id="613"/>
      <w:bookmarkEnd w:id="614"/>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 xml:space="preserve">Муниципальная бюджетная политика должна быть направлена на сбалансированное развитие всех сфер городской жизни. Предполагается повышение доли собственных доходов бюджета за счет устойчивого роста городской экономики. В период реализации Стратегии в городском округе необходимо проводить взвешенную долговую политику, соответствующую лимитам, установленным федеральным законодательством. Планируется проведение мероприятий по увеличению доходов </w:t>
      </w:r>
      <w:r w:rsidR="008008F5" w:rsidRPr="00577593">
        <w:rPr>
          <w:rFonts w:ascii="Times New Roman" w:eastAsia="Times New Roman" w:hAnsi="Times New Roman"/>
          <w:sz w:val="28"/>
          <w:szCs w:val="28"/>
        </w:rPr>
        <w:t xml:space="preserve">и повышению эффективности расходов </w:t>
      </w:r>
      <w:r w:rsidRPr="00577593">
        <w:rPr>
          <w:rFonts w:ascii="Times New Roman" w:eastAsia="Times New Roman" w:hAnsi="Times New Roman"/>
          <w:sz w:val="28"/>
          <w:szCs w:val="28"/>
        </w:rPr>
        <w:t xml:space="preserve">местного бюджета. Ожидается сохранение социального характера бюджета </w:t>
      </w:r>
      <w:r w:rsidR="00EB7E3B">
        <w:rPr>
          <w:rFonts w:ascii="Times New Roman" w:eastAsia="Times New Roman" w:hAnsi="Times New Roman"/>
          <w:sz w:val="28"/>
          <w:szCs w:val="28"/>
        </w:rPr>
        <w:t>города</w:t>
      </w:r>
      <w:r w:rsidRPr="00577593">
        <w:rPr>
          <w:rFonts w:ascii="Times New Roman" w:eastAsia="Times New Roman" w:hAnsi="Times New Roman"/>
          <w:sz w:val="28"/>
          <w:szCs w:val="28"/>
        </w:rPr>
        <w:t>.</w:t>
      </w:r>
    </w:p>
    <w:p w:rsidR="00FC41F4" w:rsidRPr="00577593" w:rsidRDefault="008925FA" w:rsidP="002000D4">
      <w:pPr>
        <w:spacing w:after="0" w:line="240" w:lineRule="auto"/>
        <w:ind w:firstLine="709"/>
        <w:jc w:val="both"/>
        <w:rPr>
          <w:rFonts w:ascii="Times New Roman" w:hAnsi="Times New Roman"/>
          <w:sz w:val="28"/>
          <w:szCs w:val="28"/>
        </w:rPr>
      </w:pPr>
      <w:r w:rsidRPr="00577593">
        <w:rPr>
          <w:rFonts w:ascii="Times New Roman" w:eastAsia="Times New Roman" w:hAnsi="Times New Roman"/>
          <w:sz w:val="28"/>
          <w:szCs w:val="28"/>
        </w:rPr>
        <w:t>В сфере управления муниципальным имуществом планируется совершенствование муниципальной нормативной правовой базы, регулирующей управление муниципальным имуществом; совершенствование системы учета объектов муниципального имущества города; оптимизация структуры муниципальной собственности; проведение технической инвентаризации и государственного кадастрового учета объектов недвижимого имущества; выявление бесхозного имущества, его инвентаризация и постановка на учет. Планируется проводить сбалансированную политику приватизации муниципального имущества, политику аренды муниципального имущества, направленной на повышение доходов местного бюджета и на поддержку местного предпринимательства.</w:t>
      </w:r>
    </w:p>
    <w:p w:rsidR="00FC41F4" w:rsidRPr="00577593" w:rsidRDefault="008925FA" w:rsidP="002000D4">
      <w:pPr>
        <w:pStyle w:val="3"/>
        <w:spacing w:before="0" w:line="240" w:lineRule="auto"/>
        <w:ind w:firstLine="709"/>
        <w:jc w:val="both"/>
        <w:rPr>
          <w:rFonts w:ascii="Times New Roman" w:eastAsia="Times New Roman" w:hAnsi="Times New Roman"/>
          <w:b/>
          <w:color w:val="auto"/>
          <w:sz w:val="28"/>
          <w:szCs w:val="28"/>
        </w:rPr>
      </w:pPr>
      <w:bookmarkStart w:id="615" w:name="_Toc204923109"/>
      <w:bookmarkStart w:id="616" w:name="_Toc204933443"/>
      <w:bookmarkStart w:id="617" w:name="_Toc208496769"/>
      <w:bookmarkStart w:id="618" w:name="_Toc208669052"/>
      <w:bookmarkStart w:id="619" w:name="_Toc212804405"/>
      <w:r w:rsidRPr="00577593">
        <w:rPr>
          <w:rFonts w:ascii="Times New Roman" w:eastAsia="Times New Roman" w:hAnsi="Times New Roman"/>
          <w:b/>
          <w:color w:val="auto"/>
          <w:sz w:val="28"/>
          <w:szCs w:val="28"/>
        </w:rPr>
        <w:t>9.5.3</w:t>
      </w:r>
      <w:r w:rsidR="00EB7E3B">
        <w:rPr>
          <w:rFonts w:ascii="Times New Roman" w:eastAsia="Times New Roman" w:hAnsi="Times New Roman"/>
          <w:b/>
          <w:color w:val="auto"/>
          <w:sz w:val="28"/>
          <w:szCs w:val="28"/>
        </w:rPr>
        <w:t>.</w:t>
      </w:r>
      <w:r w:rsidRPr="00577593">
        <w:rPr>
          <w:rFonts w:ascii="Times New Roman" w:eastAsia="Times New Roman" w:hAnsi="Times New Roman"/>
          <w:b/>
          <w:color w:val="auto"/>
          <w:sz w:val="28"/>
          <w:szCs w:val="28"/>
        </w:rPr>
        <w:t xml:space="preserve"> Совершенствование системы оказания муниципальных услуг, в том числе в электронном виде</w:t>
      </w:r>
      <w:bookmarkEnd w:id="615"/>
      <w:bookmarkEnd w:id="616"/>
      <w:bookmarkEnd w:id="617"/>
      <w:bookmarkEnd w:id="618"/>
      <w:bookmarkEnd w:id="619"/>
    </w:p>
    <w:p w:rsidR="00FC41F4" w:rsidRDefault="008925FA" w:rsidP="002000D4">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Совершенствование системы оказания муниципальных услуг, включая их электронный формат, является приоритетным направлением развития муниципального управления в России. На текущий момент система оказания муниципальных услуг в электронном виде сложилась. Направление подразумевает мероприятия по поддержанию высокого качества оказания муниципальных услуг. Для дальнейшего совершенствования системы оказания муниципальных услуг в электронном виде при необходимости будет происходить оптимизация процессов, расширение перечня услуг, повышение доступности для граждан, модернизация технической базы для обеспечения стабильной работы системы.</w:t>
      </w:r>
    </w:p>
    <w:p w:rsidR="00E729FD" w:rsidRPr="00577593" w:rsidRDefault="00E729FD" w:rsidP="002000D4">
      <w:pPr>
        <w:spacing w:after="0" w:line="240" w:lineRule="auto"/>
        <w:ind w:firstLine="709"/>
        <w:jc w:val="both"/>
        <w:rPr>
          <w:rFonts w:ascii="Times New Roman" w:eastAsia="Times New Roman" w:hAnsi="Times New Roman"/>
          <w:sz w:val="28"/>
          <w:szCs w:val="28"/>
        </w:rPr>
      </w:pPr>
      <w:r>
        <w:rPr>
          <w:rFonts w:ascii="Times New Roman" w:eastAsia="Times New Roman" w:hAnsi="Times New Roman"/>
          <w:sz w:val="28"/>
          <w:szCs w:val="28"/>
        </w:rPr>
        <w:lastRenderedPageBreak/>
        <w:t>Будут реализованы задачи по цифровой трансформации массовых социально значимых услуг, в том числе обеспечение предоставления муниципальных услуг города преимущественного в электронной форме без необходимости визита в орган местного самоуправления или МФЦ для предоставления документов или получения результата, преимущественного получения необходимых документов в порядке межведомственного электронного взаимодействия либо из специализированных баз данных.</w:t>
      </w:r>
    </w:p>
    <w:p w:rsidR="00FC41F4" w:rsidRPr="00577593" w:rsidRDefault="008925FA" w:rsidP="002000D4">
      <w:pPr>
        <w:pStyle w:val="3"/>
        <w:pBdr>
          <w:top w:val="none" w:sz="4" w:space="0" w:color="000000"/>
          <w:left w:val="none" w:sz="4" w:space="0" w:color="000000"/>
          <w:bottom w:val="none" w:sz="4" w:space="0" w:color="000000"/>
          <w:right w:val="none" w:sz="4" w:space="0" w:color="000000"/>
        </w:pBdr>
        <w:spacing w:before="0" w:line="240" w:lineRule="auto"/>
        <w:ind w:firstLine="709"/>
        <w:jc w:val="both"/>
        <w:rPr>
          <w:rFonts w:ascii="Times New Roman" w:hAnsi="Times New Roman"/>
          <w:b/>
          <w:color w:val="auto"/>
          <w:sz w:val="28"/>
          <w:szCs w:val="28"/>
        </w:rPr>
      </w:pPr>
      <w:bookmarkStart w:id="620" w:name="_Toc208669053"/>
      <w:bookmarkStart w:id="621" w:name="_Toc212804406"/>
      <w:r w:rsidRPr="00577593">
        <w:rPr>
          <w:rFonts w:ascii="Times New Roman" w:eastAsia="Times New Roman" w:hAnsi="Times New Roman"/>
          <w:b/>
          <w:color w:val="auto"/>
          <w:sz w:val="28"/>
          <w:szCs w:val="28"/>
        </w:rPr>
        <w:t xml:space="preserve">9.5.4. Защита населения и территории города Барнаула </w:t>
      </w:r>
      <w:r w:rsidR="004110DD" w:rsidRPr="00577593">
        <w:rPr>
          <w:rFonts w:ascii="Times New Roman" w:eastAsia="Times New Roman" w:hAnsi="Times New Roman"/>
          <w:b/>
          <w:color w:val="auto"/>
          <w:sz w:val="28"/>
          <w:szCs w:val="28"/>
        </w:rPr>
        <w:br/>
      </w:r>
      <w:r w:rsidRPr="00577593">
        <w:rPr>
          <w:rFonts w:ascii="Times New Roman" w:eastAsia="Times New Roman" w:hAnsi="Times New Roman"/>
          <w:b/>
          <w:color w:val="auto"/>
          <w:sz w:val="28"/>
          <w:szCs w:val="28"/>
        </w:rPr>
        <w:t>от чрезвычайных ситуаций</w:t>
      </w:r>
      <w:bookmarkEnd w:id="620"/>
      <w:bookmarkEnd w:id="621"/>
    </w:p>
    <w:p w:rsidR="00FC41F4" w:rsidRDefault="008925FA" w:rsidP="00D87DAA">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Планируется повышать уровень компетенций органов местного самоуправления в реализации мероприятий по гражданской обороне, проведении защиты от чрезвычайных ситуаций, снижении риска возникновения чрезвычайных ситуаций на территории города. Следует повышать эффективность мер по профилактике пожаров, обеспечение первичных мер пожарной безопасности на территории города.</w:t>
      </w:r>
    </w:p>
    <w:p w:rsidR="00D87DAA" w:rsidRPr="00577593" w:rsidRDefault="00D87DAA" w:rsidP="00D87DAA">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sz w:val="28"/>
          <w:szCs w:val="28"/>
        </w:rPr>
      </w:pPr>
    </w:p>
    <w:p w:rsidR="00FC41F4" w:rsidRPr="00577593" w:rsidRDefault="008925FA" w:rsidP="00D87DAA">
      <w:pPr>
        <w:pStyle w:val="2"/>
        <w:spacing w:before="0" w:line="240" w:lineRule="auto"/>
        <w:ind w:firstLine="709"/>
        <w:jc w:val="both"/>
        <w:rPr>
          <w:rFonts w:ascii="Times New Roman" w:eastAsia="Times New Roman" w:hAnsi="Times New Roman"/>
          <w:color w:val="auto"/>
          <w:sz w:val="28"/>
          <w:szCs w:val="28"/>
        </w:rPr>
      </w:pPr>
      <w:bookmarkStart w:id="622" w:name="_Toc212804407"/>
      <w:r w:rsidRPr="00577593">
        <w:rPr>
          <w:rFonts w:ascii="Times New Roman" w:eastAsia="Times New Roman" w:hAnsi="Times New Roman"/>
          <w:color w:val="auto"/>
          <w:sz w:val="28"/>
          <w:szCs w:val="28"/>
        </w:rPr>
        <w:t>10</w:t>
      </w:r>
      <w:r w:rsidR="00C004DC">
        <w:rPr>
          <w:rFonts w:ascii="Times New Roman" w:eastAsia="Times New Roman" w:hAnsi="Times New Roman"/>
          <w:color w:val="auto"/>
          <w:sz w:val="28"/>
          <w:szCs w:val="28"/>
        </w:rPr>
        <w:t>.</w:t>
      </w:r>
      <w:r w:rsidRPr="00577593">
        <w:rPr>
          <w:rFonts w:ascii="Times New Roman" w:eastAsia="Times New Roman" w:hAnsi="Times New Roman"/>
          <w:color w:val="auto"/>
          <w:sz w:val="28"/>
          <w:szCs w:val="28"/>
        </w:rPr>
        <w:t xml:space="preserve"> Механизмы реализации Стратегии</w:t>
      </w:r>
      <w:bookmarkEnd w:id="622"/>
    </w:p>
    <w:p w:rsidR="00FC41F4" w:rsidRPr="00577593" w:rsidRDefault="008925FA" w:rsidP="002000D4">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Реализация стратегических направлений развития города Барнаула возможна при помощи организационных и финансовых механизмов. </w:t>
      </w:r>
    </w:p>
    <w:p w:rsidR="00FC41F4" w:rsidRPr="00577593" w:rsidRDefault="00FC41F4" w:rsidP="002000D4">
      <w:pPr>
        <w:spacing w:after="0" w:line="240" w:lineRule="auto"/>
        <w:ind w:firstLine="709"/>
        <w:jc w:val="both"/>
        <w:rPr>
          <w:rFonts w:ascii="Times New Roman" w:eastAsia="Times New Roman" w:hAnsi="Times New Roman"/>
          <w:sz w:val="28"/>
          <w:szCs w:val="28"/>
        </w:rPr>
      </w:pPr>
    </w:p>
    <w:p w:rsidR="00FC41F4" w:rsidRPr="00577593" w:rsidRDefault="008925FA" w:rsidP="002000D4">
      <w:pPr>
        <w:pStyle w:val="3"/>
        <w:spacing w:before="0" w:line="240" w:lineRule="auto"/>
        <w:ind w:firstLine="709"/>
        <w:jc w:val="both"/>
        <w:rPr>
          <w:rFonts w:ascii="Times New Roman" w:eastAsia="Times New Roman" w:hAnsi="Times New Roman"/>
          <w:b/>
          <w:bCs/>
          <w:color w:val="auto"/>
          <w:sz w:val="28"/>
          <w:szCs w:val="28"/>
        </w:rPr>
      </w:pPr>
      <w:bookmarkStart w:id="623" w:name="_Toc204923111"/>
      <w:bookmarkStart w:id="624" w:name="_Toc204933445"/>
      <w:bookmarkStart w:id="625" w:name="_Toc208496771"/>
      <w:bookmarkStart w:id="626" w:name="_Toc208669055"/>
      <w:bookmarkStart w:id="627" w:name="_Toc212804408"/>
      <w:r w:rsidRPr="00577593">
        <w:rPr>
          <w:rFonts w:ascii="Times New Roman" w:eastAsia="Times New Roman" w:hAnsi="Times New Roman"/>
          <w:b/>
          <w:bCs/>
          <w:color w:val="auto"/>
          <w:sz w:val="28"/>
          <w:szCs w:val="28"/>
        </w:rPr>
        <w:t>10.1</w:t>
      </w:r>
      <w:r w:rsidR="00C004DC">
        <w:rPr>
          <w:rFonts w:ascii="Times New Roman" w:eastAsia="Times New Roman" w:hAnsi="Times New Roman"/>
          <w:b/>
          <w:bCs/>
          <w:color w:val="auto"/>
          <w:sz w:val="28"/>
          <w:szCs w:val="28"/>
        </w:rPr>
        <w:t>.</w:t>
      </w:r>
      <w:r w:rsidRPr="00577593">
        <w:rPr>
          <w:rFonts w:ascii="Times New Roman" w:eastAsia="Times New Roman" w:hAnsi="Times New Roman"/>
          <w:b/>
          <w:bCs/>
          <w:color w:val="auto"/>
          <w:sz w:val="28"/>
          <w:szCs w:val="28"/>
        </w:rPr>
        <w:t xml:space="preserve"> Организационные механизмы</w:t>
      </w:r>
      <w:bookmarkEnd w:id="623"/>
      <w:bookmarkEnd w:id="624"/>
      <w:bookmarkEnd w:id="625"/>
      <w:bookmarkEnd w:id="626"/>
      <w:bookmarkEnd w:id="627"/>
    </w:p>
    <w:p w:rsidR="00FC41F4" w:rsidRPr="00577593" w:rsidRDefault="008925FA" w:rsidP="002000D4">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Основным механизмом реализации Стратегии является План мероприятий по реализации стратегии социально-экономического развития </w:t>
      </w:r>
      <w:r w:rsidR="00EB7E3B">
        <w:rPr>
          <w:rFonts w:ascii="Times New Roman" w:eastAsia="Times New Roman" w:hAnsi="Times New Roman"/>
          <w:sz w:val="28"/>
          <w:szCs w:val="28"/>
        </w:rPr>
        <w:t xml:space="preserve">города </w:t>
      </w:r>
      <w:r w:rsidRPr="00577593">
        <w:rPr>
          <w:rFonts w:ascii="Times New Roman" w:eastAsia="Times New Roman" w:hAnsi="Times New Roman"/>
          <w:sz w:val="28"/>
          <w:szCs w:val="28"/>
        </w:rPr>
        <w:t xml:space="preserve">Барнаула до 2036 года (далее </w:t>
      </w:r>
      <w:r w:rsidR="00D53DC9" w:rsidRPr="00577593">
        <w:rPr>
          <w:rFonts w:ascii="Times New Roman" w:eastAsia="Times New Roman" w:hAnsi="Times New Roman"/>
          <w:sz w:val="28"/>
          <w:szCs w:val="28"/>
        </w:rPr>
        <w:t>–</w:t>
      </w:r>
      <w:r w:rsidRPr="00577593">
        <w:rPr>
          <w:rFonts w:ascii="Times New Roman" w:eastAsia="Times New Roman" w:hAnsi="Times New Roman"/>
          <w:sz w:val="28"/>
          <w:szCs w:val="28"/>
        </w:rPr>
        <w:t xml:space="preserve"> План мероприятий), в котором цели и задачи Стратегии раскрываются в системе мероприятий, соотнесенных с этапами реализации Стр</w:t>
      </w:r>
      <w:r w:rsidR="00D87DAA">
        <w:rPr>
          <w:rFonts w:ascii="Times New Roman" w:eastAsia="Times New Roman" w:hAnsi="Times New Roman"/>
          <w:sz w:val="28"/>
          <w:szCs w:val="28"/>
        </w:rPr>
        <w:t xml:space="preserve">атегии. Для каждого мероприятия </w:t>
      </w:r>
      <w:r w:rsidRPr="00577593">
        <w:rPr>
          <w:rFonts w:ascii="Times New Roman" w:eastAsia="Times New Roman" w:hAnsi="Times New Roman"/>
          <w:sz w:val="28"/>
          <w:szCs w:val="28"/>
        </w:rPr>
        <w:t>в Плане мероприятий указываются муниципальная программа, в рамках которых мероприятие реализуется (в случае если мероприятие является внепрограммным, этот его статус также указывается в Плане мероприятий), и субъекты, ответственные за реализацию мероприятия.</w:t>
      </w:r>
    </w:p>
    <w:p w:rsidR="00FC41F4" w:rsidRPr="00577593" w:rsidRDefault="008925FA" w:rsidP="002000D4">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Таким образом, План мероприятий играет роль связующего звена между долгосрочными приоритетами социально-экономического развития города, обозначенными в Стратегии, и среднесрочным социально-экономическим планированием, реализуемым посредством муниципальных программ. </w:t>
      </w:r>
    </w:p>
    <w:p w:rsidR="00FC41F4" w:rsidRPr="00577593" w:rsidRDefault="008925FA" w:rsidP="002000D4">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План мероприятий принимается на период реализации Стратегии. </w:t>
      </w:r>
      <w:r w:rsidR="004110DD" w:rsidRPr="00577593">
        <w:rPr>
          <w:rFonts w:ascii="Times New Roman" w:eastAsia="Times New Roman" w:hAnsi="Times New Roman"/>
          <w:sz w:val="28"/>
          <w:szCs w:val="28"/>
        </w:rPr>
        <w:br/>
      </w:r>
      <w:r w:rsidRPr="00577593">
        <w:rPr>
          <w:rFonts w:ascii="Times New Roman" w:eastAsia="Times New Roman" w:hAnsi="Times New Roman"/>
          <w:sz w:val="28"/>
          <w:szCs w:val="28"/>
        </w:rPr>
        <w:t>По мере реализации Стратегии в План мероприятий могут вноситься изменения, обеспечивающие оперативное реагирование на изменения внешних условий.</w:t>
      </w:r>
    </w:p>
    <w:p w:rsidR="00FC41F4" w:rsidRPr="00577593" w:rsidRDefault="00FC41F4" w:rsidP="002000D4">
      <w:pPr>
        <w:spacing w:after="0" w:line="240" w:lineRule="auto"/>
        <w:ind w:firstLine="709"/>
        <w:jc w:val="both"/>
        <w:rPr>
          <w:rFonts w:ascii="Times New Roman" w:eastAsia="Times New Roman" w:hAnsi="Times New Roman"/>
          <w:sz w:val="28"/>
          <w:szCs w:val="28"/>
        </w:rPr>
      </w:pPr>
    </w:p>
    <w:p w:rsidR="00FC41F4" w:rsidRPr="00577593" w:rsidRDefault="008925FA" w:rsidP="002000D4">
      <w:pPr>
        <w:pStyle w:val="3"/>
        <w:spacing w:before="0" w:line="240" w:lineRule="auto"/>
        <w:ind w:firstLine="709"/>
        <w:jc w:val="both"/>
        <w:rPr>
          <w:rFonts w:ascii="Times New Roman" w:eastAsia="Times New Roman" w:hAnsi="Times New Roman"/>
          <w:b/>
          <w:bCs/>
          <w:color w:val="auto"/>
          <w:sz w:val="28"/>
          <w:szCs w:val="28"/>
        </w:rPr>
      </w:pPr>
      <w:bookmarkStart w:id="628" w:name="_Toc204923112"/>
      <w:bookmarkStart w:id="629" w:name="_Toc204933446"/>
      <w:bookmarkStart w:id="630" w:name="_Toc208496772"/>
      <w:bookmarkStart w:id="631" w:name="_Toc208669056"/>
      <w:bookmarkStart w:id="632" w:name="_Toc212804409"/>
      <w:r w:rsidRPr="00577593">
        <w:rPr>
          <w:rFonts w:ascii="Times New Roman" w:eastAsia="Times New Roman" w:hAnsi="Times New Roman"/>
          <w:b/>
          <w:bCs/>
          <w:color w:val="auto"/>
          <w:sz w:val="28"/>
          <w:szCs w:val="28"/>
        </w:rPr>
        <w:t>10.2</w:t>
      </w:r>
      <w:r w:rsidR="00C004DC">
        <w:rPr>
          <w:rFonts w:ascii="Times New Roman" w:eastAsia="Times New Roman" w:hAnsi="Times New Roman"/>
          <w:b/>
          <w:bCs/>
          <w:color w:val="auto"/>
          <w:sz w:val="28"/>
          <w:szCs w:val="28"/>
        </w:rPr>
        <w:t>.</w:t>
      </w:r>
      <w:r w:rsidRPr="00577593">
        <w:rPr>
          <w:rFonts w:ascii="Times New Roman" w:eastAsia="Times New Roman" w:hAnsi="Times New Roman"/>
          <w:b/>
          <w:bCs/>
          <w:color w:val="auto"/>
          <w:sz w:val="28"/>
          <w:szCs w:val="28"/>
        </w:rPr>
        <w:t xml:space="preserve"> Финансовые механизмы</w:t>
      </w:r>
      <w:bookmarkEnd w:id="628"/>
      <w:bookmarkEnd w:id="629"/>
      <w:bookmarkEnd w:id="630"/>
      <w:bookmarkEnd w:id="631"/>
      <w:bookmarkEnd w:id="632"/>
    </w:p>
    <w:p w:rsidR="00FC41F4" w:rsidRPr="00577593" w:rsidRDefault="008925FA" w:rsidP="002000D4">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В </w:t>
      </w:r>
      <w:r w:rsidR="00D558A5">
        <w:fldChar w:fldCharType="begin"/>
      </w:r>
      <w:r w:rsidR="00D558A5">
        <w:instrText xml:space="preserve"> REF _Ref204918296 \h  \* MERGEFORMAT </w:instrText>
      </w:r>
      <w:r w:rsidR="00D558A5">
        <w:fldChar w:fldCharType="separate"/>
      </w:r>
      <w:r w:rsidR="00071499" w:rsidRPr="00577593">
        <w:rPr>
          <w:rFonts w:ascii="Times New Roman" w:hAnsi="Times New Roman"/>
          <w:sz w:val="28"/>
          <w:szCs w:val="28"/>
        </w:rPr>
        <w:t xml:space="preserve">Таблица </w:t>
      </w:r>
      <w:r w:rsidR="00071499">
        <w:rPr>
          <w:rFonts w:ascii="Times New Roman" w:hAnsi="Times New Roman"/>
          <w:sz w:val="28"/>
          <w:szCs w:val="28"/>
        </w:rPr>
        <w:t>24</w:t>
      </w:r>
      <w:r w:rsidR="00D558A5">
        <w:fldChar w:fldCharType="end"/>
      </w:r>
      <w:r w:rsidRPr="00577593">
        <w:rPr>
          <w:rFonts w:ascii="Times New Roman" w:eastAsia="Times New Roman" w:hAnsi="Times New Roman"/>
          <w:sz w:val="28"/>
          <w:szCs w:val="28"/>
        </w:rPr>
        <w:t xml:space="preserve"> приведены источники и механизмы финансирования для реализации стратегических направлений.</w:t>
      </w:r>
    </w:p>
    <w:p w:rsidR="004110DD" w:rsidRDefault="004110DD" w:rsidP="002000D4">
      <w:pPr>
        <w:spacing w:after="0" w:line="240" w:lineRule="auto"/>
        <w:ind w:firstLine="709"/>
        <w:jc w:val="both"/>
        <w:rPr>
          <w:rFonts w:ascii="Times New Roman" w:eastAsia="Times New Roman" w:hAnsi="Times New Roman"/>
          <w:sz w:val="28"/>
          <w:szCs w:val="28"/>
        </w:rPr>
      </w:pPr>
    </w:p>
    <w:p w:rsidR="00D87DAA" w:rsidRPr="00577593" w:rsidRDefault="00D87DAA" w:rsidP="002000D4">
      <w:pPr>
        <w:spacing w:after="0" w:line="240" w:lineRule="auto"/>
        <w:ind w:firstLine="709"/>
        <w:jc w:val="both"/>
        <w:rPr>
          <w:rFonts w:ascii="Times New Roman" w:eastAsia="Times New Roman" w:hAnsi="Times New Roman"/>
          <w:sz w:val="28"/>
          <w:szCs w:val="28"/>
        </w:rPr>
      </w:pPr>
    </w:p>
    <w:p w:rsidR="00FC41F4" w:rsidRPr="00577593" w:rsidRDefault="008925FA" w:rsidP="002000D4">
      <w:pPr>
        <w:spacing w:after="0" w:line="240" w:lineRule="auto"/>
        <w:contextualSpacing/>
        <w:jc w:val="both"/>
        <w:rPr>
          <w:rFonts w:ascii="Times New Roman" w:hAnsi="Times New Roman"/>
          <w:sz w:val="28"/>
          <w:szCs w:val="28"/>
        </w:rPr>
      </w:pPr>
      <w:bookmarkStart w:id="633" w:name="_Ref204918296"/>
      <w:r w:rsidRPr="00577593">
        <w:rPr>
          <w:rFonts w:ascii="Times New Roman" w:hAnsi="Times New Roman"/>
          <w:sz w:val="28"/>
          <w:szCs w:val="28"/>
        </w:rPr>
        <w:lastRenderedPageBreak/>
        <w:t xml:space="preserve">Таблица </w:t>
      </w:r>
      <w:r w:rsidR="00074AE5" w:rsidRPr="00577593">
        <w:rPr>
          <w:rFonts w:ascii="Times New Roman" w:hAnsi="Times New Roman"/>
          <w:sz w:val="28"/>
          <w:szCs w:val="28"/>
        </w:rPr>
        <w:fldChar w:fldCharType="begin"/>
      </w:r>
      <w:r w:rsidRPr="00577593">
        <w:rPr>
          <w:rFonts w:ascii="Times New Roman" w:hAnsi="Times New Roman"/>
          <w:sz w:val="28"/>
          <w:szCs w:val="28"/>
        </w:rPr>
        <w:instrText xml:space="preserve"> SEQ Таблица \* ARABIC </w:instrText>
      </w:r>
      <w:r w:rsidR="00074AE5" w:rsidRPr="00577593">
        <w:rPr>
          <w:rFonts w:ascii="Times New Roman" w:hAnsi="Times New Roman"/>
          <w:sz w:val="28"/>
          <w:szCs w:val="28"/>
        </w:rPr>
        <w:fldChar w:fldCharType="separate"/>
      </w:r>
      <w:r w:rsidR="00071499">
        <w:rPr>
          <w:rFonts w:ascii="Times New Roman" w:hAnsi="Times New Roman"/>
          <w:noProof/>
          <w:sz w:val="28"/>
          <w:szCs w:val="28"/>
        </w:rPr>
        <w:t>24</w:t>
      </w:r>
      <w:r w:rsidR="00074AE5" w:rsidRPr="00577593">
        <w:rPr>
          <w:rFonts w:ascii="Times New Roman" w:hAnsi="Times New Roman"/>
          <w:sz w:val="28"/>
          <w:szCs w:val="28"/>
        </w:rPr>
        <w:fldChar w:fldCharType="end"/>
      </w:r>
      <w:bookmarkEnd w:id="633"/>
      <w:r w:rsidRPr="00577593">
        <w:rPr>
          <w:rFonts w:ascii="Times New Roman" w:hAnsi="Times New Roman"/>
          <w:sz w:val="28"/>
          <w:szCs w:val="28"/>
        </w:rPr>
        <w:t xml:space="preserve"> </w:t>
      </w:r>
      <w:r w:rsidR="00D53DC9" w:rsidRPr="00577593">
        <w:rPr>
          <w:rFonts w:ascii="Times New Roman" w:hAnsi="Times New Roman"/>
          <w:sz w:val="28"/>
          <w:szCs w:val="28"/>
        </w:rPr>
        <w:t>–</w:t>
      </w:r>
      <w:r w:rsidRPr="00577593">
        <w:rPr>
          <w:rFonts w:ascii="Times New Roman" w:hAnsi="Times New Roman"/>
          <w:sz w:val="28"/>
          <w:szCs w:val="28"/>
        </w:rPr>
        <w:t xml:space="preserve"> Финансовые механизмы реализации Стратегии</w:t>
      </w: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15"/>
        <w:gridCol w:w="6236"/>
      </w:tblGrid>
      <w:tr w:rsidR="00FC41F4" w:rsidRPr="00EB7E3B" w:rsidTr="00EE2F1D">
        <w:trPr>
          <w:tblHeader/>
        </w:trPr>
        <w:tc>
          <w:tcPr>
            <w:tcW w:w="3115" w:type="dxa"/>
            <w:shd w:val="clear" w:color="auto" w:fill="auto"/>
          </w:tcPr>
          <w:p w:rsidR="00FC41F4" w:rsidRPr="00EB7E3B" w:rsidRDefault="008925FA" w:rsidP="002000D4">
            <w:pPr>
              <w:spacing w:after="0" w:line="240" w:lineRule="auto"/>
              <w:jc w:val="center"/>
              <w:rPr>
                <w:rFonts w:ascii="Times New Roman" w:hAnsi="Times New Roman"/>
                <w:sz w:val="24"/>
                <w:szCs w:val="24"/>
              </w:rPr>
            </w:pPr>
            <w:r w:rsidRPr="00EB7E3B">
              <w:rPr>
                <w:rFonts w:ascii="Times New Roman" w:hAnsi="Times New Roman"/>
                <w:sz w:val="24"/>
                <w:szCs w:val="24"/>
              </w:rPr>
              <w:t>Задачи</w:t>
            </w:r>
          </w:p>
        </w:tc>
        <w:tc>
          <w:tcPr>
            <w:tcW w:w="6236" w:type="dxa"/>
            <w:shd w:val="clear" w:color="auto" w:fill="auto"/>
          </w:tcPr>
          <w:p w:rsidR="00FC41F4" w:rsidRPr="00EB7E3B" w:rsidRDefault="008925FA" w:rsidP="002000D4">
            <w:pPr>
              <w:spacing w:after="0" w:line="240" w:lineRule="auto"/>
              <w:jc w:val="center"/>
              <w:rPr>
                <w:rFonts w:ascii="Times New Roman" w:hAnsi="Times New Roman"/>
                <w:sz w:val="24"/>
                <w:szCs w:val="24"/>
              </w:rPr>
            </w:pPr>
            <w:r w:rsidRPr="00EB7E3B">
              <w:rPr>
                <w:rFonts w:ascii="Times New Roman" w:hAnsi="Times New Roman"/>
                <w:sz w:val="24"/>
                <w:szCs w:val="24"/>
              </w:rPr>
              <w:t>Источники и механизмы финансирования</w:t>
            </w:r>
          </w:p>
        </w:tc>
      </w:tr>
      <w:tr w:rsidR="00FC41F4" w:rsidRPr="00EB7E3B" w:rsidTr="00EE2F1D">
        <w:tc>
          <w:tcPr>
            <w:tcW w:w="9351" w:type="dxa"/>
            <w:gridSpan w:val="2"/>
            <w:shd w:val="clear" w:color="auto" w:fill="auto"/>
          </w:tcPr>
          <w:p w:rsidR="00FC41F4" w:rsidRPr="00EB7E3B" w:rsidRDefault="008925FA" w:rsidP="002000D4">
            <w:pPr>
              <w:spacing w:after="0" w:line="240" w:lineRule="auto"/>
              <w:jc w:val="center"/>
              <w:rPr>
                <w:rFonts w:ascii="Times New Roman" w:hAnsi="Times New Roman"/>
                <w:sz w:val="24"/>
                <w:szCs w:val="24"/>
              </w:rPr>
            </w:pPr>
            <w:r w:rsidRPr="00EB7E3B">
              <w:rPr>
                <w:rFonts w:ascii="Times New Roman" w:hAnsi="Times New Roman"/>
                <w:sz w:val="24"/>
                <w:szCs w:val="24"/>
              </w:rPr>
              <w:t>Стратегическое направление «Обеспечение динамичного развития экономики города»</w:t>
            </w:r>
          </w:p>
        </w:tc>
      </w:tr>
      <w:tr w:rsidR="00FC41F4" w:rsidRPr="00EB7E3B" w:rsidTr="00EE2F1D">
        <w:tc>
          <w:tcPr>
            <w:tcW w:w="3115" w:type="dxa"/>
            <w:shd w:val="clear" w:color="auto" w:fill="auto"/>
          </w:tcPr>
          <w:p w:rsidR="00FC41F4" w:rsidRPr="00EB7E3B" w:rsidRDefault="008925FA" w:rsidP="002000D4">
            <w:pPr>
              <w:spacing w:after="0" w:line="240" w:lineRule="auto"/>
              <w:rPr>
                <w:rFonts w:ascii="Times New Roman" w:hAnsi="Times New Roman"/>
                <w:sz w:val="24"/>
                <w:szCs w:val="24"/>
              </w:rPr>
            </w:pPr>
            <w:r w:rsidRPr="00EB7E3B">
              <w:rPr>
                <w:rFonts w:ascii="Times New Roman" w:hAnsi="Times New Roman"/>
                <w:sz w:val="24"/>
                <w:szCs w:val="24"/>
              </w:rPr>
              <w:t>Развитие промышленности</w:t>
            </w:r>
          </w:p>
        </w:tc>
        <w:tc>
          <w:tcPr>
            <w:tcW w:w="6236" w:type="dxa"/>
            <w:shd w:val="clear" w:color="auto" w:fill="auto"/>
          </w:tcPr>
          <w:p w:rsidR="00FC41F4" w:rsidRPr="00EB7E3B" w:rsidRDefault="008925FA" w:rsidP="002000D4">
            <w:pPr>
              <w:spacing w:after="0" w:line="240" w:lineRule="auto"/>
              <w:rPr>
                <w:rFonts w:ascii="Times New Roman" w:hAnsi="Times New Roman"/>
                <w:sz w:val="24"/>
                <w:szCs w:val="24"/>
              </w:rPr>
            </w:pPr>
            <w:r w:rsidRPr="00EB7E3B">
              <w:rPr>
                <w:rFonts w:ascii="Times New Roman" w:hAnsi="Times New Roman"/>
                <w:sz w:val="24"/>
                <w:szCs w:val="24"/>
              </w:rPr>
              <w:t>Частные инвестиции</w:t>
            </w:r>
          </w:p>
          <w:p w:rsidR="00760525" w:rsidRPr="00EB7E3B" w:rsidRDefault="008925FA" w:rsidP="002000D4">
            <w:pPr>
              <w:spacing w:after="0" w:line="240" w:lineRule="auto"/>
              <w:rPr>
                <w:rFonts w:ascii="Times New Roman" w:eastAsia="Times New Roman" w:hAnsi="Times New Roman"/>
                <w:sz w:val="24"/>
                <w:szCs w:val="24"/>
                <w:lang w:eastAsia="ru-RU" w:bidi="ru-RU"/>
              </w:rPr>
            </w:pPr>
            <w:r w:rsidRPr="00EB7E3B">
              <w:rPr>
                <w:rFonts w:ascii="Times New Roman" w:hAnsi="Times New Roman"/>
                <w:sz w:val="24"/>
                <w:szCs w:val="24"/>
              </w:rPr>
              <w:t>ГЧП/МЧП</w:t>
            </w:r>
            <w:r w:rsidR="00760525" w:rsidRPr="00EB7E3B">
              <w:rPr>
                <w:rFonts w:ascii="Times New Roman" w:eastAsia="Times New Roman" w:hAnsi="Times New Roman"/>
                <w:sz w:val="24"/>
                <w:szCs w:val="24"/>
                <w:lang w:eastAsia="ru-RU" w:bidi="ru-RU"/>
              </w:rPr>
              <w:t xml:space="preserve"> </w:t>
            </w:r>
          </w:p>
          <w:p w:rsidR="00760525" w:rsidRPr="00EB7E3B" w:rsidRDefault="00760525" w:rsidP="002000D4">
            <w:pPr>
              <w:spacing w:after="0" w:line="240" w:lineRule="auto"/>
              <w:rPr>
                <w:rFonts w:ascii="Times New Roman" w:eastAsia="Times New Roman" w:hAnsi="Times New Roman"/>
                <w:sz w:val="24"/>
                <w:szCs w:val="24"/>
                <w:lang w:eastAsia="ru-RU" w:bidi="ru-RU"/>
              </w:rPr>
            </w:pPr>
            <w:r w:rsidRPr="00EB7E3B">
              <w:rPr>
                <w:rFonts w:ascii="Times New Roman" w:eastAsia="Times New Roman" w:hAnsi="Times New Roman"/>
                <w:sz w:val="24"/>
                <w:szCs w:val="24"/>
                <w:lang w:eastAsia="ru-RU" w:bidi="ru-RU"/>
              </w:rPr>
              <w:t xml:space="preserve">Программы федеральных институтов развития </w:t>
            </w:r>
          </w:p>
          <w:p w:rsidR="00FC41F4" w:rsidRPr="00EB7E3B" w:rsidRDefault="00760525" w:rsidP="002000D4">
            <w:pPr>
              <w:spacing w:after="0" w:line="240" w:lineRule="auto"/>
              <w:rPr>
                <w:rFonts w:ascii="Times New Roman" w:eastAsia="Calibri" w:hAnsi="Times New Roman"/>
                <w:sz w:val="24"/>
                <w:szCs w:val="24"/>
              </w:rPr>
            </w:pPr>
            <w:r w:rsidRPr="00EB7E3B">
              <w:rPr>
                <w:rFonts w:ascii="Times New Roman" w:eastAsia="Times New Roman" w:hAnsi="Times New Roman"/>
                <w:sz w:val="24"/>
                <w:szCs w:val="24"/>
                <w:lang w:eastAsia="ru-RU" w:bidi="ru-RU"/>
              </w:rPr>
              <w:t>Национальные проекты технологического лидерства</w:t>
            </w:r>
          </w:p>
          <w:p w:rsidR="00FC41F4" w:rsidRPr="00EB7E3B" w:rsidRDefault="008925FA" w:rsidP="00C366E5">
            <w:pPr>
              <w:spacing w:after="0" w:line="240" w:lineRule="auto"/>
              <w:jc w:val="both"/>
              <w:rPr>
                <w:rFonts w:ascii="Times New Roman" w:hAnsi="Times New Roman"/>
                <w:sz w:val="24"/>
                <w:szCs w:val="24"/>
              </w:rPr>
            </w:pPr>
            <w:r w:rsidRPr="00EB7E3B">
              <w:rPr>
                <w:rFonts w:ascii="Times New Roman" w:hAnsi="Times New Roman"/>
                <w:sz w:val="24"/>
                <w:szCs w:val="24"/>
              </w:rPr>
              <w:t>Программы региональных институтов развития</w:t>
            </w:r>
            <w:r w:rsidR="00760525" w:rsidRPr="00EB7E3B">
              <w:rPr>
                <w:rFonts w:ascii="Times New Roman" w:eastAsia="Times New Roman" w:hAnsi="Times New Roman"/>
                <w:sz w:val="24"/>
                <w:szCs w:val="24"/>
                <w:lang w:eastAsia="ru-RU" w:bidi="ru-RU"/>
              </w:rPr>
              <w:t xml:space="preserve"> </w:t>
            </w:r>
          </w:p>
        </w:tc>
      </w:tr>
      <w:tr w:rsidR="00FC41F4" w:rsidRPr="00EB7E3B" w:rsidTr="00EE2F1D">
        <w:tc>
          <w:tcPr>
            <w:tcW w:w="3115" w:type="dxa"/>
            <w:shd w:val="clear" w:color="auto" w:fill="auto"/>
          </w:tcPr>
          <w:p w:rsidR="00FC41F4" w:rsidRPr="00EB7E3B" w:rsidRDefault="008925FA" w:rsidP="002000D4">
            <w:pPr>
              <w:spacing w:after="0" w:line="240" w:lineRule="auto"/>
              <w:rPr>
                <w:rFonts w:ascii="Times New Roman" w:hAnsi="Times New Roman"/>
                <w:sz w:val="24"/>
                <w:szCs w:val="24"/>
              </w:rPr>
            </w:pPr>
            <w:r w:rsidRPr="00EB7E3B">
              <w:rPr>
                <w:rFonts w:ascii="Times New Roman" w:hAnsi="Times New Roman"/>
                <w:sz w:val="24"/>
                <w:szCs w:val="24"/>
              </w:rPr>
              <w:t>Развитие предпринимательства</w:t>
            </w:r>
          </w:p>
        </w:tc>
        <w:tc>
          <w:tcPr>
            <w:tcW w:w="6236" w:type="dxa"/>
            <w:shd w:val="clear" w:color="auto" w:fill="auto"/>
          </w:tcPr>
          <w:p w:rsidR="00FC41F4" w:rsidRPr="00EB7E3B" w:rsidRDefault="00096326" w:rsidP="00C366E5">
            <w:pPr>
              <w:spacing w:after="0" w:line="240" w:lineRule="auto"/>
              <w:jc w:val="both"/>
              <w:rPr>
                <w:rFonts w:ascii="Times New Roman" w:hAnsi="Times New Roman"/>
                <w:sz w:val="24"/>
                <w:szCs w:val="24"/>
              </w:rPr>
            </w:pPr>
            <w:r>
              <w:rPr>
                <w:rFonts w:ascii="Times New Roman" w:hAnsi="Times New Roman"/>
                <w:sz w:val="24"/>
                <w:szCs w:val="24"/>
              </w:rPr>
              <w:t>Б</w:t>
            </w:r>
            <w:r w:rsidR="008925FA" w:rsidRPr="00EB7E3B">
              <w:rPr>
                <w:rFonts w:ascii="Times New Roman" w:hAnsi="Times New Roman"/>
                <w:sz w:val="24"/>
                <w:szCs w:val="24"/>
              </w:rPr>
              <w:t>юджет</w:t>
            </w:r>
            <w:r>
              <w:rPr>
                <w:rFonts w:ascii="Times New Roman" w:hAnsi="Times New Roman"/>
                <w:sz w:val="24"/>
                <w:szCs w:val="24"/>
              </w:rPr>
              <w:t xml:space="preserve"> города</w:t>
            </w:r>
            <w:r w:rsidR="008925FA" w:rsidRPr="00EB7E3B">
              <w:rPr>
                <w:rFonts w:ascii="Times New Roman" w:hAnsi="Times New Roman"/>
                <w:sz w:val="24"/>
                <w:szCs w:val="24"/>
              </w:rPr>
              <w:t xml:space="preserve"> (МП «Развитие предпринимательства и туризма в городе Барнауле»)</w:t>
            </w:r>
          </w:p>
          <w:p w:rsidR="00FC41F4" w:rsidRPr="00EB7E3B" w:rsidRDefault="008925FA" w:rsidP="00C366E5">
            <w:pPr>
              <w:spacing w:after="0" w:line="240" w:lineRule="auto"/>
              <w:jc w:val="both"/>
              <w:rPr>
                <w:rFonts w:ascii="Times New Roman" w:hAnsi="Times New Roman"/>
                <w:sz w:val="24"/>
                <w:szCs w:val="24"/>
              </w:rPr>
            </w:pPr>
            <w:r w:rsidRPr="00EB7E3B">
              <w:rPr>
                <w:rFonts w:ascii="Times New Roman" w:hAnsi="Times New Roman"/>
                <w:sz w:val="24"/>
                <w:szCs w:val="24"/>
              </w:rPr>
              <w:t>Региональный бюджет (ГП «Развитие малого и среднего предпринимательства в Алтайском крае»)</w:t>
            </w:r>
          </w:p>
          <w:p w:rsidR="00FC41F4" w:rsidRPr="00EB7E3B" w:rsidRDefault="008925FA" w:rsidP="00C366E5">
            <w:pPr>
              <w:spacing w:after="0" w:line="240" w:lineRule="auto"/>
              <w:jc w:val="both"/>
              <w:rPr>
                <w:rFonts w:ascii="Times New Roman" w:hAnsi="Times New Roman"/>
                <w:sz w:val="24"/>
                <w:szCs w:val="24"/>
              </w:rPr>
            </w:pPr>
            <w:r w:rsidRPr="00EB7E3B">
              <w:rPr>
                <w:rFonts w:ascii="Times New Roman" w:hAnsi="Times New Roman"/>
                <w:sz w:val="24"/>
                <w:szCs w:val="24"/>
              </w:rPr>
              <w:t>Частные инвестиции</w:t>
            </w:r>
          </w:p>
          <w:p w:rsidR="00FC41F4" w:rsidRPr="00EB7E3B" w:rsidRDefault="008925FA" w:rsidP="00C366E5">
            <w:pPr>
              <w:spacing w:after="0" w:line="240" w:lineRule="auto"/>
              <w:jc w:val="both"/>
              <w:rPr>
                <w:rFonts w:ascii="Times New Roman" w:eastAsia="Calibri" w:hAnsi="Times New Roman"/>
                <w:sz w:val="24"/>
                <w:szCs w:val="24"/>
              </w:rPr>
            </w:pPr>
            <w:r w:rsidRPr="00EB7E3B">
              <w:rPr>
                <w:rFonts w:ascii="Times New Roman" w:hAnsi="Times New Roman"/>
                <w:sz w:val="24"/>
                <w:szCs w:val="24"/>
              </w:rPr>
              <w:t>ГЧП/МЧП</w:t>
            </w:r>
          </w:p>
          <w:p w:rsidR="00FC41F4" w:rsidRPr="00EB7E3B" w:rsidRDefault="008925FA" w:rsidP="00C366E5">
            <w:pPr>
              <w:spacing w:after="0" w:line="240" w:lineRule="auto"/>
              <w:jc w:val="both"/>
              <w:rPr>
                <w:rFonts w:ascii="Times New Roman" w:hAnsi="Times New Roman"/>
                <w:sz w:val="24"/>
                <w:szCs w:val="24"/>
              </w:rPr>
            </w:pPr>
            <w:r w:rsidRPr="00EB7E3B">
              <w:rPr>
                <w:rFonts w:ascii="Times New Roman" w:hAnsi="Times New Roman"/>
                <w:sz w:val="24"/>
                <w:szCs w:val="24"/>
              </w:rPr>
              <w:t>Национальный проект «Эффективная и конкурентная экономика», Федеральный проект «Малое и среднее предпринимательство и поддержка индивидуальной предпринимательской инициативы», в т.ч.:</w:t>
            </w:r>
          </w:p>
          <w:p w:rsidR="00FC41F4" w:rsidRPr="00EB7E3B" w:rsidRDefault="008925FA" w:rsidP="00C366E5">
            <w:pPr>
              <w:spacing w:after="0" w:line="240" w:lineRule="auto"/>
              <w:jc w:val="both"/>
              <w:rPr>
                <w:rFonts w:ascii="Times New Roman" w:hAnsi="Times New Roman"/>
                <w:sz w:val="24"/>
                <w:szCs w:val="24"/>
              </w:rPr>
            </w:pPr>
            <w:r w:rsidRPr="00EB7E3B">
              <w:rPr>
                <w:rFonts w:ascii="Times New Roman" w:hAnsi="Times New Roman"/>
                <w:sz w:val="24"/>
                <w:szCs w:val="24"/>
              </w:rPr>
              <w:t>- Льготное кредитование субъектов МСП в приоритетных отраслях (Минэкономразвития)</w:t>
            </w:r>
          </w:p>
          <w:p w:rsidR="00FC41F4" w:rsidRPr="00EB7E3B" w:rsidRDefault="008925FA" w:rsidP="00C366E5">
            <w:pPr>
              <w:spacing w:after="0" w:line="240" w:lineRule="auto"/>
              <w:jc w:val="both"/>
              <w:rPr>
                <w:rFonts w:ascii="Times New Roman" w:hAnsi="Times New Roman"/>
                <w:sz w:val="24"/>
                <w:szCs w:val="24"/>
              </w:rPr>
            </w:pPr>
            <w:r w:rsidRPr="00EB7E3B">
              <w:rPr>
                <w:rFonts w:ascii="Times New Roman" w:hAnsi="Times New Roman"/>
                <w:sz w:val="24"/>
                <w:szCs w:val="24"/>
              </w:rPr>
              <w:t xml:space="preserve">- «Зонтичные» поручительства и независимые гарантии </w:t>
            </w:r>
            <w:r w:rsidR="00C366E5" w:rsidRPr="00EB7E3B">
              <w:rPr>
                <w:rFonts w:ascii="Times New Roman" w:hAnsi="Times New Roman"/>
                <w:sz w:val="24"/>
                <w:szCs w:val="24"/>
              </w:rPr>
              <w:br/>
            </w:r>
            <w:r w:rsidRPr="00EB7E3B">
              <w:rPr>
                <w:rFonts w:ascii="Times New Roman" w:hAnsi="Times New Roman"/>
                <w:sz w:val="24"/>
                <w:szCs w:val="24"/>
              </w:rPr>
              <w:t>(АО «Корпорация «МСП»)</w:t>
            </w:r>
          </w:p>
          <w:p w:rsidR="00FC41F4" w:rsidRPr="00EB7E3B" w:rsidRDefault="008925FA" w:rsidP="00C366E5">
            <w:pPr>
              <w:spacing w:after="0" w:line="240" w:lineRule="auto"/>
              <w:jc w:val="both"/>
              <w:rPr>
                <w:rFonts w:ascii="Times New Roman" w:eastAsia="Calibri" w:hAnsi="Times New Roman"/>
                <w:sz w:val="24"/>
                <w:szCs w:val="24"/>
              </w:rPr>
            </w:pPr>
            <w:r w:rsidRPr="00EB7E3B">
              <w:rPr>
                <w:rFonts w:ascii="Times New Roman" w:hAnsi="Times New Roman"/>
                <w:sz w:val="24"/>
                <w:szCs w:val="24"/>
              </w:rPr>
              <w:t xml:space="preserve">- </w:t>
            </w:r>
            <w:r w:rsidRPr="00EB7E3B">
              <w:rPr>
                <w:rFonts w:ascii="Times New Roman" w:eastAsia="Calibri" w:hAnsi="Times New Roman"/>
                <w:sz w:val="24"/>
                <w:szCs w:val="24"/>
              </w:rPr>
              <w:t>Поручительства (гарантии) фондов содействия кредитованию</w:t>
            </w:r>
          </w:p>
          <w:p w:rsidR="00FC41F4" w:rsidRPr="00EB7E3B" w:rsidRDefault="008925FA" w:rsidP="00C366E5">
            <w:pPr>
              <w:spacing w:after="0" w:line="240" w:lineRule="auto"/>
              <w:jc w:val="both"/>
              <w:rPr>
                <w:rFonts w:ascii="Times New Roman" w:eastAsia="Calibri" w:hAnsi="Times New Roman"/>
                <w:sz w:val="24"/>
                <w:szCs w:val="24"/>
              </w:rPr>
            </w:pPr>
            <w:r w:rsidRPr="00EB7E3B">
              <w:rPr>
                <w:rFonts w:ascii="Times New Roman" w:eastAsia="Calibri" w:hAnsi="Times New Roman"/>
                <w:sz w:val="24"/>
                <w:szCs w:val="24"/>
              </w:rPr>
              <w:t>- Льготная финансовая поддержка (займов) государственных микрофинансовых организаций</w:t>
            </w:r>
          </w:p>
          <w:p w:rsidR="00FC41F4" w:rsidRPr="00EB7E3B" w:rsidRDefault="008925FA" w:rsidP="00C366E5">
            <w:pPr>
              <w:spacing w:after="0" w:line="240" w:lineRule="auto"/>
              <w:jc w:val="both"/>
              <w:rPr>
                <w:rFonts w:ascii="Times New Roman" w:hAnsi="Times New Roman"/>
                <w:sz w:val="24"/>
                <w:szCs w:val="24"/>
              </w:rPr>
            </w:pPr>
            <w:r w:rsidRPr="00EB7E3B">
              <w:rPr>
                <w:rFonts w:ascii="Times New Roman" w:hAnsi="Times New Roman"/>
                <w:sz w:val="24"/>
                <w:szCs w:val="24"/>
              </w:rPr>
              <w:t>Национальный проект «Эффективная и конкурентная экономика», Федеральный проект «Развитие технологического предпринимательства»</w:t>
            </w:r>
          </w:p>
        </w:tc>
      </w:tr>
      <w:tr w:rsidR="00FC41F4" w:rsidRPr="00EB7E3B" w:rsidTr="00EE2F1D">
        <w:tc>
          <w:tcPr>
            <w:tcW w:w="3115" w:type="dxa"/>
            <w:shd w:val="clear" w:color="auto" w:fill="auto"/>
          </w:tcPr>
          <w:p w:rsidR="00FC41F4" w:rsidRPr="00EB7E3B" w:rsidRDefault="008925FA" w:rsidP="002000D4">
            <w:pPr>
              <w:spacing w:after="0" w:line="240" w:lineRule="auto"/>
              <w:rPr>
                <w:rFonts w:ascii="Times New Roman" w:hAnsi="Times New Roman"/>
                <w:sz w:val="24"/>
                <w:szCs w:val="24"/>
              </w:rPr>
            </w:pPr>
            <w:r w:rsidRPr="00EB7E3B">
              <w:rPr>
                <w:rFonts w:ascii="Times New Roman" w:hAnsi="Times New Roman"/>
                <w:sz w:val="24"/>
                <w:szCs w:val="24"/>
              </w:rPr>
              <w:t>Повышение инвестиционной привлекательности города</w:t>
            </w:r>
          </w:p>
        </w:tc>
        <w:tc>
          <w:tcPr>
            <w:tcW w:w="6236" w:type="dxa"/>
            <w:shd w:val="clear" w:color="auto" w:fill="auto"/>
          </w:tcPr>
          <w:p w:rsidR="00FC41F4" w:rsidRPr="00EB7E3B" w:rsidRDefault="00096326" w:rsidP="00C366E5">
            <w:pPr>
              <w:spacing w:after="0" w:line="240" w:lineRule="auto"/>
              <w:jc w:val="both"/>
              <w:rPr>
                <w:rFonts w:ascii="Times New Roman" w:hAnsi="Times New Roman"/>
                <w:sz w:val="24"/>
                <w:szCs w:val="24"/>
              </w:rPr>
            </w:pPr>
            <w:r w:rsidRPr="00096326">
              <w:rPr>
                <w:rFonts w:ascii="Times New Roman" w:hAnsi="Times New Roman"/>
                <w:sz w:val="24"/>
                <w:szCs w:val="24"/>
              </w:rPr>
              <w:t xml:space="preserve">Бюджет города </w:t>
            </w:r>
            <w:r w:rsidR="008925FA" w:rsidRPr="00EB7E3B">
              <w:rPr>
                <w:rFonts w:ascii="Times New Roman" w:hAnsi="Times New Roman"/>
                <w:sz w:val="24"/>
                <w:szCs w:val="24"/>
              </w:rPr>
              <w:t>(МП «Развитие предпринимательства и туризма в городе Барнауле»)</w:t>
            </w:r>
          </w:p>
          <w:p w:rsidR="00FC41F4" w:rsidRPr="00EB7E3B" w:rsidRDefault="008925FA" w:rsidP="00C366E5">
            <w:pPr>
              <w:spacing w:after="0" w:line="240" w:lineRule="auto"/>
              <w:jc w:val="both"/>
              <w:rPr>
                <w:rFonts w:ascii="Times New Roman" w:hAnsi="Times New Roman"/>
                <w:sz w:val="24"/>
                <w:szCs w:val="24"/>
              </w:rPr>
            </w:pPr>
            <w:r w:rsidRPr="00EB7E3B">
              <w:rPr>
                <w:rFonts w:ascii="Times New Roman" w:hAnsi="Times New Roman"/>
                <w:sz w:val="24"/>
                <w:szCs w:val="24"/>
              </w:rPr>
              <w:t xml:space="preserve">Региональный бюджет (ГП «Экономическое развитие </w:t>
            </w:r>
            <w:r w:rsidR="00C366E5" w:rsidRPr="00EB7E3B">
              <w:rPr>
                <w:rFonts w:ascii="Times New Roman" w:hAnsi="Times New Roman"/>
                <w:sz w:val="24"/>
                <w:szCs w:val="24"/>
              </w:rPr>
              <w:br/>
            </w:r>
            <w:r w:rsidRPr="00EB7E3B">
              <w:rPr>
                <w:rFonts w:ascii="Times New Roman" w:hAnsi="Times New Roman"/>
                <w:sz w:val="24"/>
                <w:szCs w:val="24"/>
              </w:rPr>
              <w:t>и инновационная экономика»)</w:t>
            </w:r>
          </w:p>
          <w:p w:rsidR="00FC41F4" w:rsidRPr="00EB7E3B" w:rsidRDefault="008925FA" w:rsidP="00C366E5">
            <w:pPr>
              <w:spacing w:after="0" w:line="240" w:lineRule="auto"/>
              <w:jc w:val="both"/>
              <w:rPr>
                <w:rFonts w:ascii="Times New Roman" w:hAnsi="Times New Roman"/>
                <w:sz w:val="24"/>
                <w:szCs w:val="24"/>
              </w:rPr>
            </w:pPr>
            <w:r w:rsidRPr="00EB7E3B">
              <w:rPr>
                <w:rFonts w:ascii="Times New Roman" w:hAnsi="Times New Roman"/>
                <w:sz w:val="24"/>
                <w:szCs w:val="24"/>
              </w:rPr>
              <w:t>Частные инвестиции</w:t>
            </w:r>
          </w:p>
          <w:p w:rsidR="00FC41F4" w:rsidRPr="00EB7E3B" w:rsidRDefault="008925FA" w:rsidP="00C366E5">
            <w:pPr>
              <w:spacing w:after="0" w:line="240" w:lineRule="auto"/>
              <w:jc w:val="both"/>
              <w:rPr>
                <w:rFonts w:ascii="Times New Roman" w:eastAsia="Calibri" w:hAnsi="Times New Roman"/>
                <w:sz w:val="24"/>
                <w:szCs w:val="24"/>
              </w:rPr>
            </w:pPr>
            <w:r w:rsidRPr="00EB7E3B">
              <w:rPr>
                <w:rFonts w:ascii="Times New Roman" w:hAnsi="Times New Roman"/>
                <w:sz w:val="24"/>
                <w:szCs w:val="24"/>
              </w:rPr>
              <w:t>ГЧП/МЧП</w:t>
            </w:r>
          </w:p>
          <w:p w:rsidR="00FC41F4" w:rsidRPr="00EB7E3B" w:rsidRDefault="008925FA" w:rsidP="00C366E5">
            <w:pPr>
              <w:spacing w:after="0" w:line="240" w:lineRule="auto"/>
              <w:jc w:val="both"/>
              <w:rPr>
                <w:rFonts w:ascii="Times New Roman" w:hAnsi="Times New Roman"/>
                <w:sz w:val="24"/>
                <w:szCs w:val="24"/>
              </w:rPr>
            </w:pPr>
            <w:r w:rsidRPr="00EB7E3B">
              <w:rPr>
                <w:rFonts w:ascii="Times New Roman" w:hAnsi="Times New Roman"/>
                <w:sz w:val="24"/>
                <w:szCs w:val="24"/>
              </w:rPr>
              <w:t>Национальный проект «Эффективная и конкурентная экономика», Федеральный проект «Повышение инвестиционной активности», в т.ч.:</w:t>
            </w:r>
          </w:p>
          <w:p w:rsidR="00FC41F4" w:rsidRPr="00EB7E3B" w:rsidRDefault="008925FA" w:rsidP="00C366E5">
            <w:pPr>
              <w:spacing w:after="0" w:line="240" w:lineRule="auto"/>
              <w:jc w:val="both"/>
              <w:rPr>
                <w:rFonts w:ascii="Times New Roman" w:hAnsi="Times New Roman"/>
                <w:sz w:val="24"/>
                <w:szCs w:val="24"/>
              </w:rPr>
            </w:pPr>
            <w:r w:rsidRPr="00EB7E3B">
              <w:rPr>
                <w:rFonts w:ascii="Times New Roman" w:hAnsi="Times New Roman"/>
                <w:sz w:val="24"/>
                <w:szCs w:val="24"/>
              </w:rPr>
              <w:t>- Фабрика проектного финансирования (ВЭБ.РФ)</w:t>
            </w:r>
          </w:p>
          <w:p w:rsidR="00FC41F4" w:rsidRPr="00EB7E3B" w:rsidRDefault="008925FA" w:rsidP="00C366E5">
            <w:pPr>
              <w:spacing w:after="0" w:line="240" w:lineRule="auto"/>
              <w:jc w:val="both"/>
              <w:rPr>
                <w:rFonts w:ascii="Times New Roman" w:hAnsi="Times New Roman"/>
                <w:sz w:val="24"/>
                <w:szCs w:val="24"/>
              </w:rPr>
            </w:pPr>
            <w:r w:rsidRPr="00EB7E3B">
              <w:rPr>
                <w:rFonts w:ascii="Times New Roman" w:hAnsi="Times New Roman"/>
                <w:sz w:val="24"/>
                <w:szCs w:val="24"/>
              </w:rPr>
              <w:t>- Реализация механизма соглашений о защите и поощрении капиталовложений</w:t>
            </w:r>
          </w:p>
          <w:p w:rsidR="00FC41F4" w:rsidRPr="00EB7E3B" w:rsidRDefault="008925FA" w:rsidP="00C366E5">
            <w:pPr>
              <w:spacing w:after="0" w:line="240" w:lineRule="auto"/>
              <w:jc w:val="both"/>
              <w:rPr>
                <w:rFonts w:ascii="Times New Roman" w:hAnsi="Times New Roman"/>
                <w:sz w:val="24"/>
                <w:szCs w:val="24"/>
              </w:rPr>
            </w:pPr>
            <w:r w:rsidRPr="00EB7E3B">
              <w:rPr>
                <w:rFonts w:ascii="Times New Roman" w:hAnsi="Times New Roman"/>
                <w:sz w:val="24"/>
                <w:szCs w:val="24"/>
              </w:rPr>
              <w:t>- Реализация механизма федерального инвестиционного налогового вычета</w:t>
            </w:r>
          </w:p>
          <w:p w:rsidR="00FC41F4" w:rsidRPr="00EB7E3B" w:rsidRDefault="008925FA" w:rsidP="00EB7E3B">
            <w:pPr>
              <w:spacing w:after="0" w:line="240" w:lineRule="auto"/>
              <w:jc w:val="both"/>
              <w:rPr>
                <w:rFonts w:ascii="Times New Roman" w:hAnsi="Times New Roman"/>
                <w:sz w:val="24"/>
                <w:szCs w:val="24"/>
              </w:rPr>
            </w:pPr>
            <w:r w:rsidRPr="00EB7E3B">
              <w:rPr>
                <w:rFonts w:ascii="Times New Roman" w:hAnsi="Times New Roman"/>
                <w:sz w:val="24"/>
                <w:szCs w:val="24"/>
              </w:rPr>
              <w:t>- Финансирование проектов технологического суверенитета и структурной адаптации экономики Российской Федерации</w:t>
            </w:r>
          </w:p>
        </w:tc>
      </w:tr>
      <w:tr w:rsidR="00FC41F4" w:rsidRPr="00EB7E3B" w:rsidTr="00EE2F1D">
        <w:tc>
          <w:tcPr>
            <w:tcW w:w="3115" w:type="dxa"/>
            <w:shd w:val="clear" w:color="auto" w:fill="auto"/>
          </w:tcPr>
          <w:p w:rsidR="00FC41F4" w:rsidRPr="00EB7E3B" w:rsidRDefault="008925FA" w:rsidP="002000D4">
            <w:pPr>
              <w:spacing w:after="0" w:line="240" w:lineRule="auto"/>
              <w:rPr>
                <w:rFonts w:ascii="Times New Roman" w:hAnsi="Times New Roman"/>
                <w:sz w:val="24"/>
                <w:szCs w:val="24"/>
              </w:rPr>
            </w:pPr>
            <w:r w:rsidRPr="00EB7E3B">
              <w:rPr>
                <w:rFonts w:ascii="Times New Roman" w:hAnsi="Times New Roman"/>
                <w:sz w:val="24"/>
                <w:szCs w:val="24"/>
              </w:rPr>
              <w:t>Развитие туризма</w:t>
            </w:r>
          </w:p>
        </w:tc>
        <w:tc>
          <w:tcPr>
            <w:tcW w:w="6236" w:type="dxa"/>
            <w:shd w:val="clear" w:color="auto" w:fill="auto"/>
          </w:tcPr>
          <w:p w:rsidR="00FC41F4" w:rsidRPr="00EB7E3B" w:rsidRDefault="00C25F3D" w:rsidP="00C366E5">
            <w:pPr>
              <w:spacing w:after="0" w:line="240" w:lineRule="auto"/>
              <w:jc w:val="both"/>
              <w:rPr>
                <w:rFonts w:ascii="Times New Roman" w:hAnsi="Times New Roman"/>
                <w:sz w:val="24"/>
                <w:szCs w:val="24"/>
              </w:rPr>
            </w:pPr>
            <w:r w:rsidRPr="00C25F3D">
              <w:rPr>
                <w:rFonts w:ascii="Times New Roman" w:hAnsi="Times New Roman"/>
                <w:sz w:val="24"/>
                <w:szCs w:val="24"/>
              </w:rPr>
              <w:t xml:space="preserve">Бюджет города </w:t>
            </w:r>
            <w:r w:rsidR="008925FA" w:rsidRPr="00EB7E3B">
              <w:rPr>
                <w:rFonts w:ascii="Times New Roman" w:hAnsi="Times New Roman"/>
                <w:sz w:val="24"/>
                <w:szCs w:val="24"/>
              </w:rPr>
              <w:t>(МП «Развитие предпринимательства и туризма в городе Барнауле»)</w:t>
            </w:r>
          </w:p>
          <w:p w:rsidR="00FC41F4" w:rsidRPr="00EB7E3B" w:rsidRDefault="008925FA" w:rsidP="00C366E5">
            <w:pPr>
              <w:spacing w:after="0" w:line="240" w:lineRule="auto"/>
              <w:jc w:val="both"/>
              <w:rPr>
                <w:rFonts w:ascii="Times New Roman" w:hAnsi="Times New Roman"/>
                <w:sz w:val="24"/>
                <w:szCs w:val="24"/>
              </w:rPr>
            </w:pPr>
            <w:r w:rsidRPr="00EB7E3B">
              <w:rPr>
                <w:rFonts w:ascii="Times New Roman" w:hAnsi="Times New Roman"/>
                <w:sz w:val="24"/>
                <w:szCs w:val="24"/>
              </w:rPr>
              <w:t>Региональный бюджет (ГП «Развитие туризма в Алтайском крае»)</w:t>
            </w:r>
          </w:p>
          <w:p w:rsidR="00FC41F4" w:rsidRPr="00EB7E3B" w:rsidRDefault="008925FA" w:rsidP="00C366E5">
            <w:pPr>
              <w:spacing w:after="0" w:line="240" w:lineRule="auto"/>
              <w:jc w:val="both"/>
              <w:rPr>
                <w:rFonts w:ascii="Times New Roman" w:hAnsi="Times New Roman"/>
                <w:sz w:val="24"/>
                <w:szCs w:val="24"/>
              </w:rPr>
            </w:pPr>
            <w:r w:rsidRPr="00EB7E3B">
              <w:rPr>
                <w:rFonts w:ascii="Times New Roman" w:hAnsi="Times New Roman"/>
                <w:sz w:val="24"/>
                <w:szCs w:val="24"/>
              </w:rPr>
              <w:t>Частные инвестиции</w:t>
            </w:r>
          </w:p>
          <w:p w:rsidR="00FC41F4" w:rsidRPr="00EB7E3B" w:rsidRDefault="008925FA" w:rsidP="00C366E5">
            <w:pPr>
              <w:spacing w:after="0" w:line="240" w:lineRule="auto"/>
              <w:jc w:val="both"/>
              <w:rPr>
                <w:rFonts w:ascii="Times New Roman" w:hAnsi="Times New Roman"/>
                <w:sz w:val="24"/>
                <w:szCs w:val="24"/>
              </w:rPr>
            </w:pPr>
            <w:r w:rsidRPr="00EB7E3B">
              <w:rPr>
                <w:rFonts w:ascii="Times New Roman" w:hAnsi="Times New Roman"/>
                <w:sz w:val="24"/>
                <w:szCs w:val="24"/>
              </w:rPr>
              <w:t>ГЧП/МЧП</w:t>
            </w:r>
            <w:r w:rsidRPr="00EB7E3B">
              <w:rPr>
                <w:rFonts w:ascii="Times New Roman" w:eastAsia="Calibri" w:hAnsi="Times New Roman"/>
                <w:sz w:val="24"/>
                <w:szCs w:val="24"/>
              </w:rPr>
              <w:t xml:space="preserve"> </w:t>
            </w:r>
          </w:p>
          <w:p w:rsidR="00FC41F4" w:rsidRPr="00EB7E3B" w:rsidRDefault="008925FA" w:rsidP="00C366E5">
            <w:pPr>
              <w:spacing w:after="0" w:line="240" w:lineRule="auto"/>
              <w:jc w:val="both"/>
              <w:rPr>
                <w:rFonts w:ascii="Times New Roman" w:hAnsi="Times New Roman"/>
                <w:sz w:val="24"/>
                <w:szCs w:val="24"/>
              </w:rPr>
            </w:pPr>
            <w:r w:rsidRPr="00EB7E3B">
              <w:rPr>
                <w:rFonts w:ascii="Times New Roman" w:hAnsi="Times New Roman"/>
                <w:sz w:val="24"/>
                <w:szCs w:val="24"/>
              </w:rPr>
              <w:lastRenderedPageBreak/>
              <w:t>Национальный проект «Туризм и гостеприимство», Федеральный проект «Создание номерного фонда, инфраструктуры и новых точек притяжения»</w:t>
            </w:r>
          </w:p>
        </w:tc>
      </w:tr>
      <w:tr w:rsidR="00FC41F4" w:rsidRPr="00EB7E3B" w:rsidTr="00EE2F1D">
        <w:tc>
          <w:tcPr>
            <w:tcW w:w="3115" w:type="dxa"/>
            <w:shd w:val="clear" w:color="auto" w:fill="auto"/>
          </w:tcPr>
          <w:p w:rsidR="00FC41F4" w:rsidRPr="00EB7E3B" w:rsidRDefault="008925FA" w:rsidP="002000D4">
            <w:pPr>
              <w:spacing w:after="0" w:line="240" w:lineRule="auto"/>
              <w:rPr>
                <w:rFonts w:ascii="Times New Roman" w:hAnsi="Times New Roman"/>
                <w:sz w:val="24"/>
                <w:szCs w:val="24"/>
              </w:rPr>
            </w:pPr>
            <w:r w:rsidRPr="00EB7E3B">
              <w:rPr>
                <w:rFonts w:ascii="Times New Roman" w:hAnsi="Times New Roman"/>
                <w:sz w:val="24"/>
                <w:szCs w:val="24"/>
              </w:rPr>
              <w:lastRenderedPageBreak/>
              <w:t>Развитие торговли</w:t>
            </w:r>
          </w:p>
        </w:tc>
        <w:tc>
          <w:tcPr>
            <w:tcW w:w="6236" w:type="dxa"/>
            <w:shd w:val="clear" w:color="auto" w:fill="auto"/>
          </w:tcPr>
          <w:p w:rsidR="00FC41F4" w:rsidRPr="00EB7E3B" w:rsidRDefault="00C25F3D" w:rsidP="00C366E5">
            <w:pPr>
              <w:spacing w:after="0" w:line="240" w:lineRule="auto"/>
              <w:jc w:val="both"/>
              <w:rPr>
                <w:rFonts w:ascii="Times New Roman" w:hAnsi="Times New Roman"/>
                <w:sz w:val="24"/>
                <w:szCs w:val="24"/>
              </w:rPr>
            </w:pPr>
            <w:r w:rsidRPr="00C25F3D">
              <w:rPr>
                <w:rFonts w:ascii="Times New Roman" w:hAnsi="Times New Roman"/>
                <w:sz w:val="24"/>
                <w:szCs w:val="24"/>
              </w:rPr>
              <w:t>Бюджет города</w:t>
            </w:r>
            <w:r w:rsidR="008925FA" w:rsidRPr="00EB7E3B">
              <w:rPr>
                <w:rFonts w:ascii="Times New Roman" w:hAnsi="Times New Roman"/>
                <w:sz w:val="24"/>
                <w:szCs w:val="24"/>
              </w:rPr>
              <w:t xml:space="preserve"> (МП «Развитие предпринимательства и туризма в городе Барнауле»)</w:t>
            </w:r>
          </w:p>
          <w:p w:rsidR="00FC41F4" w:rsidRPr="00EB7E3B" w:rsidRDefault="008925FA" w:rsidP="00C366E5">
            <w:pPr>
              <w:spacing w:after="0" w:line="240" w:lineRule="auto"/>
              <w:jc w:val="both"/>
              <w:rPr>
                <w:rFonts w:ascii="Times New Roman" w:hAnsi="Times New Roman"/>
                <w:sz w:val="24"/>
                <w:szCs w:val="24"/>
              </w:rPr>
            </w:pPr>
            <w:r w:rsidRPr="00EB7E3B">
              <w:rPr>
                <w:rFonts w:ascii="Times New Roman" w:hAnsi="Times New Roman"/>
                <w:sz w:val="24"/>
                <w:szCs w:val="24"/>
              </w:rPr>
              <w:t>Частные инвестиции</w:t>
            </w:r>
          </w:p>
          <w:p w:rsidR="00FC41F4" w:rsidRPr="00EB7E3B" w:rsidRDefault="008925FA" w:rsidP="00C366E5">
            <w:pPr>
              <w:spacing w:after="0" w:line="240" w:lineRule="auto"/>
              <w:jc w:val="both"/>
              <w:rPr>
                <w:rFonts w:ascii="Times New Roman" w:hAnsi="Times New Roman"/>
                <w:sz w:val="24"/>
                <w:szCs w:val="24"/>
              </w:rPr>
            </w:pPr>
            <w:r w:rsidRPr="00EB7E3B">
              <w:rPr>
                <w:rFonts w:ascii="Times New Roman" w:hAnsi="Times New Roman"/>
                <w:sz w:val="24"/>
                <w:szCs w:val="24"/>
              </w:rPr>
              <w:t>ГЧП/МЧП</w:t>
            </w:r>
          </w:p>
        </w:tc>
      </w:tr>
      <w:tr w:rsidR="00FC41F4" w:rsidRPr="00EB7E3B" w:rsidTr="00EE2F1D">
        <w:tc>
          <w:tcPr>
            <w:tcW w:w="9351" w:type="dxa"/>
            <w:gridSpan w:val="2"/>
            <w:shd w:val="clear" w:color="auto" w:fill="auto"/>
          </w:tcPr>
          <w:p w:rsidR="00FC41F4" w:rsidRPr="00EB7E3B" w:rsidRDefault="008925FA" w:rsidP="002000D4">
            <w:pPr>
              <w:spacing w:after="0" w:line="240" w:lineRule="auto"/>
              <w:jc w:val="center"/>
              <w:rPr>
                <w:rFonts w:ascii="Times New Roman" w:hAnsi="Times New Roman"/>
                <w:sz w:val="24"/>
                <w:szCs w:val="24"/>
              </w:rPr>
            </w:pPr>
            <w:r w:rsidRPr="00EB7E3B">
              <w:rPr>
                <w:rFonts w:ascii="Times New Roman" w:hAnsi="Times New Roman"/>
                <w:sz w:val="24"/>
                <w:szCs w:val="24"/>
              </w:rPr>
              <w:t>Стратегическое направление «Развитие человеческого капитала»</w:t>
            </w:r>
          </w:p>
        </w:tc>
      </w:tr>
      <w:tr w:rsidR="00FC41F4" w:rsidRPr="00EB7E3B" w:rsidTr="00EE2F1D">
        <w:tc>
          <w:tcPr>
            <w:tcW w:w="3115" w:type="dxa"/>
            <w:shd w:val="clear" w:color="auto" w:fill="auto"/>
          </w:tcPr>
          <w:p w:rsidR="00FC41F4" w:rsidRPr="00EB7E3B" w:rsidRDefault="008925FA" w:rsidP="002000D4">
            <w:pPr>
              <w:spacing w:after="0" w:line="240" w:lineRule="auto"/>
              <w:rPr>
                <w:rFonts w:ascii="Times New Roman" w:hAnsi="Times New Roman"/>
                <w:sz w:val="24"/>
                <w:szCs w:val="24"/>
              </w:rPr>
            </w:pPr>
            <w:r w:rsidRPr="00EB7E3B">
              <w:rPr>
                <w:rFonts w:ascii="Times New Roman" w:hAnsi="Times New Roman"/>
                <w:sz w:val="24"/>
                <w:szCs w:val="24"/>
              </w:rPr>
              <w:t>Стабилизация демографических и миграционных процессов</w:t>
            </w:r>
          </w:p>
        </w:tc>
        <w:tc>
          <w:tcPr>
            <w:tcW w:w="6236" w:type="dxa"/>
            <w:shd w:val="clear" w:color="auto" w:fill="auto"/>
          </w:tcPr>
          <w:p w:rsidR="00FC41F4" w:rsidRPr="00EB7E3B" w:rsidRDefault="00C25F3D" w:rsidP="00C366E5">
            <w:pPr>
              <w:spacing w:after="0" w:line="240" w:lineRule="auto"/>
              <w:jc w:val="both"/>
              <w:rPr>
                <w:rFonts w:ascii="Times New Roman" w:hAnsi="Times New Roman"/>
                <w:sz w:val="24"/>
                <w:szCs w:val="24"/>
              </w:rPr>
            </w:pPr>
            <w:r w:rsidRPr="00C25F3D">
              <w:rPr>
                <w:rFonts w:ascii="Times New Roman" w:hAnsi="Times New Roman"/>
                <w:sz w:val="24"/>
                <w:szCs w:val="24"/>
              </w:rPr>
              <w:t xml:space="preserve">Бюджет города </w:t>
            </w:r>
            <w:r w:rsidR="008925FA" w:rsidRPr="00EB7E3B">
              <w:rPr>
                <w:rFonts w:ascii="Times New Roman" w:hAnsi="Times New Roman"/>
                <w:sz w:val="24"/>
                <w:szCs w:val="24"/>
              </w:rPr>
              <w:t>(МП «Социальная поддержка на</w:t>
            </w:r>
            <w:r w:rsidR="00D53DC9" w:rsidRPr="00EB7E3B">
              <w:rPr>
                <w:rFonts w:ascii="Times New Roman" w:hAnsi="Times New Roman"/>
                <w:sz w:val="24"/>
                <w:szCs w:val="24"/>
              </w:rPr>
              <w:t>селения города Барнаула</w:t>
            </w:r>
            <w:r w:rsidR="008925FA" w:rsidRPr="00EB7E3B">
              <w:rPr>
                <w:rFonts w:ascii="Times New Roman" w:hAnsi="Times New Roman"/>
                <w:sz w:val="24"/>
                <w:szCs w:val="24"/>
              </w:rPr>
              <w:t xml:space="preserve">», МП «Развитие физической культуры и спорта в городе Барнауле») </w:t>
            </w:r>
          </w:p>
          <w:p w:rsidR="00FC41F4" w:rsidRPr="00EB7E3B" w:rsidRDefault="008925FA" w:rsidP="00C366E5">
            <w:pPr>
              <w:spacing w:after="0" w:line="240" w:lineRule="auto"/>
              <w:jc w:val="both"/>
              <w:rPr>
                <w:rFonts w:ascii="Times New Roman" w:hAnsi="Times New Roman"/>
                <w:sz w:val="24"/>
                <w:szCs w:val="24"/>
              </w:rPr>
            </w:pPr>
            <w:r w:rsidRPr="00EB7E3B">
              <w:rPr>
                <w:rFonts w:ascii="Times New Roman" w:hAnsi="Times New Roman"/>
                <w:sz w:val="24"/>
                <w:szCs w:val="24"/>
              </w:rPr>
              <w:t>Региональный бюджет (ГП «Социальная поддержка граждан», ГП «Развитие физической культуры и спорта в Алтайском крае»)</w:t>
            </w:r>
          </w:p>
          <w:p w:rsidR="00FC41F4" w:rsidRPr="00EB7E3B" w:rsidRDefault="008925FA" w:rsidP="00C366E5">
            <w:pPr>
              <w:spacing w:after="0" w:line="240" w:lineRule="auto"/>
              <w:jc w:val="both"/>
              <w:rPr>
                <w:rFonts w:ascii="Times New Roman" w:hAnsi="Times New Roman"/>
                <w:sz w:val="24"/>
                <w:szCs w:val="24"/>
              </w:rPr>
            </w:pPr>
            <w:r w:rsidRPr="00EB7E3B">
              <w:rPr>
                <w:rFonts w:ascii="Times New Roman" w:hAnsi="Times New Roman"/>
                <w:sz w:val="24"/>
                <w:szCs w:val="24"/>
              </w:rPr>
              <w:t>Национальный проект «Семья»</w:t>
            </w:r>
          </w:p>
          <w:p w:rsidR="00FC41F4" w:rsidRPr="00EB7E3B" w:rsidRDefault="008925FA" w:rsidP="00C366E5">
            <w:pPr>
              <w:spacing w:after="0" w:line="240" w:lineRule="auto"/>
              <w:jc w:val="both"/>
              <w:rPr>
                <w:rFonts w:ascii="Times New Roman" w:hAnsi="Times New Roman"/>
                <w:sz w:val="24"/>
                <w:szCs w:val="24"/>
              </w:rPr>
            </w:pPr>
            <w:r w:rsidRPr="00EB7E3B">
              <w:rPr>
                <w:rFonts w:ascii="Times New Roman" w:hAnsi="Times New Roman"/>
                <w:sz w:val="24"/>
                <w:szCs w:val="24"/>
              </w:rPr>
              <w:t>Частные инвестиции</w:t>
            </w:r>
          </w:p>
        </w:tc>
      </w:tr>
      <w:tr w:rsidR="00FC41F4" w:rsidRPr="00EB7E3B" w:rsidTr="00EE2F1D">
        <w:tc>
          <w:tcPr>
            <w:tcW w:w="3115" w:type="dxa"/>
            <w:shd w:val="clear" w:color="auto" w:fill="auto"/>
          </w:tcPr>
          <w:p w:rsidR="00FC41F4" w:rsidRPr="00EB7E3B" w:rsidRDefault="008925FA" w:rsidP="002000D4">
            <w:pPr>
              <w:spacing w:after="0" w:line="240" w:lineRule="auto"/>
              <w:rPr>
                <w:rFonts w:ascii="Times New Roman" w:hAnsi="Times New Roman"/>
                <w:sz w:val="24"/>
                <w:szCs w:val="24"/>
              </w:rPr>
            </w:pPr>
            <w:r w:rsidRPr="00EB7E3B">
              <w:rPr>
                <w:rFonts w:ascii="Times New Roman" w:hAnsi="Times New Roman"/>
                <w:sz w:val="24"/>
                <w:szCs w:val="24"/>
              </w:rPr>
              <w:t>Повышение уровня и качества жизни населения</w:t>
            </w:r>
          </w:p>
        </w:tc>
        <w:tc>
          <w:tcPr>
            <w:tcW w:w="6236" w:type="dxa"/>
            <w:shd w:val="clear" w:color="auto" w:fill="auto"/>
          </w:tcPr>
          <w:p w:rsidR="00FC41F4" w:rsidRPr="00EB7E3B" w:rsidRDefault="00C25F3D" w:rsidP="00C366E5">
            <w:pPr>
              <w:spacing w:after="0" w:line="240" w:lineRule="auto"/>
              <w:jc w:val="both"/>
              <w:rPr>
                <w:rFonts w:ascii="Times New Roman" w:hAnsi="Times New Roman"/>
                <w:sz w:val="24"/>
                <w:szCs w:val="24"/>
              </w:rPr>
            </w:pPr>
            <w:r w:rsidRPr="00C25F3D">
              <w:rPr>
                <w:rFonts w:ascii="Times New Roman" w:hAnsi="Times New Roman"/>
                <w:sz w:val="24"/>
                <w:szCs w:val="24"/>
              </w:rPr>
              <w:t xml:space="preserve">Бюджет города </w:t>
            </w:r>
            <w:r w:rsidR="008925FA" w:rsidRPr="00EB7E3B">
              <w:rPr>
                <w:rFonts w:ascii="Times New Roman" w:hAnsi="Times New Roman"/>
                <w:sz w:val="24"/>
                <w:szCs w:val="24"/>
              </w:rPr>
              <w:t xml:space="preserve">(МП «Социальная поддержка населения города Барнаула», МП «Развитие физической культуры и спорта в городе Барнауле») </w:t>
            </w:r>
          </w:p>
          <w:p w:rsidR="00FC41F4" w:rsidRPr="00EB7E3B" w:rsidRDefault="008925FA" w:rsidP="00C366E5">
            <w:pPr>
              <w:spacing w:after="0" w:line="240" w:lineRule="auto"/>
              <w:jc w:val="both"/>
              <w:rPr>
                <w:rFonts w:ascii="Times New Roman" w:hAnsi="Times New Roman"/>
                <w:sz w:val="24"/>
                <w:szCs w:val="24"/>
              </w:rPr>
            </w:pPr>
            <w:r w:rsidRPr="00EB7E3B">
              <w:rPr>
                <w:rFonts w:ascii="Times New Roman" w:hAnsi="Times New Roman"/>
                <w:sz w:val="24"/>
                <w:szCs w:val="24"/>
              </w:rPr>
              <w:t>Региональный бюджет (ГП «Социальная поддержка граждан», ГП «Доступная среда в Алтайском крае», ГП «Развитие физической культуры и спорта в Алтайском крае»)</w:t>
            </w:r>
          </w:p>
          <w:p w:rsidR="00FC41F4" w:rsidRPr="00EB7E3B" w:rsidRDefault="008925FA" w:rsidP="00C366E5">
            <w:pPr>
              <w:spacing w:after="0" w:line="240" w:lineRule="auto"/>
              <w:jc w:val="both"/>
              <w:rPr>
                <w:rFonts w:ascii="Times New Roman" w:hAnsi="Times New Roman"/>
                <w:sz w:val="24"/>
                <w:szCs w:val="24"/>
              </w:rPr>
            </w:pPr>
            <w:r w:rsidRPr="00EB7E3B">
              <w:rPr>
                <w:rFonts w:ascii="Times New Roman" w:hAnsi="Times New Roman"/>
                <w:sz w:val="24"/>
                <w:szCs w:val="24"/>
              </w:rPr>
              <w:t>Национальный проект «Семья»</w:t>
            </w:r>
          </w:p>
        </w:tc>
      </w:tr>
      <w:tr w:rsidR="00FC41F4" w:rsidRPr="00EB7E3B" w:rsidTr="00EE2F1D">
        <w:tc>
          <w:tcPr>
            <w:tcW w:w="3115" w:type="dxa"/>
            <w:shd w:val="clear" w:color="auto" w:fill="auto"/>
          </w:tcPr>
          <w:p w:rsidR="00FC41F4" w:rsidRPr="00EB7E3B" w:rsidRDefault="008925FA" w:rsidP="002000D4">
            <w:pPr>
              <w:spacing w:after="0" w:line="240" w:lineRule="auto"/>
              <w:rPr>
                <w:rFonts w:ascii="Times New Roman" w:hAnsi="Times New Roman"/>
                <w:sz w:val="24"/>
                <w:szCs w:val="24"/>
              </w:rPr>
            </w:pPr>
            <w:r w:rsidRPr="00EB7E3B">
              <w:rPr>
                <w:rFonts w:ascii="Times New Roman" w:hAnsi="Times New Roman"/>
                <w:sz w:val="24"/>
                <w:szCs w:val="24"/>
              </w:rPr>
              <w:t>Развитие образования и науки</w:t>
            </w:r>
          </w:p>
        </w:tc>
        <w:tc>
          <w:tcPr>
            <w:tcW w:w="6236" w:type="dxa"/>
            <w:shd w:val="clear" w:color="auto" w:fill="auto"/>
          </w:tcPr>
          <w:p w:rsidR="00FC41F4" w:rsidRPr="00EB7E3B" w:rsidRDefault="00C25F3D" w:rsidP="00C366E5">
            <w:pPr>
              <w:spacing w:after="0" w:line="240" w:lineRule="auto"/>
              <w:jc w:val="both"/>
              <w:rPr>
                <w:rFonts w:ascii="Times New Roman" w:hAnsi="Times New Roman"/>
                <w:sz w:val="24"/>
                <w:szCs w:val="24"/>
              </w:rPr>
            </w:pPr>
            <w:r w:rsidRPr="00C25F3D">
              <w:rPr>
                <w:rFonts w:ascii="Times New Roman" w:hAnsi="Times New Roman"/>
                <w:sz w:val="24"/>
                <w:szCs w:val="24"/>
              </w:rPr>
              <w:t xml:space="preserve">Бюджет города </w:t>
            </w:r>
            <w:r w:rsidR="008925FA" w:rsidRPr="00EB7E3B">
              <w:rPr>
                <w:rFonts w:ascii="Times New Roman" w:hAnsi="Times New Roman"/>
                <w:sz w:val="24"/>
                <w:szCs w:val="24"/>
              </w:rPr>
              <w:t xml:space="preserve">(МП «Развитие образования </w:t>
            </w:r>
            <w:r w:rsidR="00C366E5" w:rsidRPr="00EB7E3B">
              <w:rPr>
                <w:rFonts w:ascii="Times New Roman" w:hAnsi="Times New Roman"/>
                <w:sz w:val="24"/>
                <w:szCs w:val="24"/>
              </w:rPr>
              <w:br/>
            </w:r>
            <w:r w:rsidR="008925FA" w:rsidRPr="00EB7E3B">
              <w:rPr>
                <w:rFonts w:ascii="Times New Roman" w:hAnsi="Times New Roman"/>
                <w:sz w:val="24"/>
                <w:szCs w:val="24"/>
              </w:rPr>
              <w:t>и молодежной политики города Барнаула»)</w:t>
            </w:r>
          </w:p>
          <w:p w:rsidR="00FC41F4" w:rsidRPr="00EB7E3B" w:rsidRDefault="008925FA" w:rsidP="00C366E5">
            <w:pPr>
              <w:spacing w:after="0" w:line="240" w:lineRule="auto"/>
              <w:jc w:val="both"/>
              <w:rPr>
                <w:rFonts w:ascii="Times New Roman" w:hAnsi="Times New Roman"/>
                <w:sz w:val="24"/>
                <w:szCs w:val="24"/>
              </w:rPr>
            </w:pPr>
            <w:r w:rsidRPr="00EB7E3B">
              <w:rPr>
                <w:rFonts w:ascii="Times New Roman" w:hAnsi="Times New Roman"/>
                <w:sz w:val="24"/>
                <w:szCs w:val="24"/>
              </w:rPr>
              <w:t>Региональный бюджет (ГП «Развити</w:t>
            </w:r>
            <w:r w:rsidR="00E22EC4" w:rsidRPr="00EB7E3B">
              <w:rPr>
                <w:rFonts w:ascii="Times New Roman" w:hAnsi="Times New Roman"/>
                <w:sz w:val="24"/>
                <w:szCs w:val="24"/>
              </w:rPr>
              <w:t xml:space="preserve">е образования </w:t>
            </w:r>
            <w:r w:rsidR="00C366E5" w:rsidRPr="00EB7E3B">
              <w:rPr>
                <w:rFonts w:ascii="Times New Roman" w:hAnsi="Times New Roman"/>
                <w:sz w:val="24"/>
                <w:szCs w:val="24"/>
              </w:rPr>
              <w:br/>
            </w:r>
            <w:r w:rsidR="00E22EC4" w:rsidRPr="00EB7E3B">
              <w:rPr>
                <w:rFonts w:ascii="Times New Roman" w:hAnsi="Times New Roman"/>
                <w:sz w:val="24"/>
                <w:szCs w:val="24"/>
              </w:rPr>
              <w:t>в Алтайском крае»</w:t>
            </w:r>
            <w:r w:rsidRPr="00EB7E3B">
              <w:rPr>
                <w:rFonts w:ascii="Times New Roman" w:hAnsi="Times New Roman"/>
                <w:sz w:val="24"/>
                <w:szCs w:val="24"/>
              </w:rPr>
              <w:t>)</w:t>
            </w:r>
          </w:p>
          <w:p w:rsidR="00FC41F4" w:rsidRPr="00EB7E3B" w:rsidRDefault="008925FA" w:rsidP="00C366E5">
            <w:pPr>
              <w:spacing w:after="0" w:line="240" w:lineRule="auto"/>
              <w:jc w:val="both"/>
              <w:rPr>
                <w:rFonts w:ascii="Times New Roman" w:hAnsi="Times New Roman"/>
                <w:sz w:val="24"/>
                <w:szCs w:val="24"/>
              </w:rPr>
            </w:pPr>
            <w:r w:rsidRPr="00EB7E3B">
              <w:rPr>
                <w:rFonts w:ascii="Times New Roman" w:hAnsi="Times New Roman"/>
                <w:sz w:val="24"/>
                <w:szCs w:val="24"/>
              </w:rPr>
              <w:t>Национальный проект «Молодежь и дети»</w:t>
            </w:r>
          </w:p>
          <w:p w:rsidR="00FC41F4" w:rsidRPr="00EB7E3B" w:rsidRDefault="008925FA" w:rsidP="00C366E5">
            <w:pPr>
              <w:spacing w:after="0" w:line="240" w:lineRule="auto"/>
              <w:jc w:val="both"/>
              <w:rPr>
                <w:rFonts w:ascii="Times New Roman" w:hAnsi="Times New Roman"/>
                <w:sz w:val="24"/>
                <w:szCs w:val="24"/>
              </w:rPr>
            </w:pPr>
            <w:r w:rsidRPr="00EB7E3B">
              <w:rPr>
                <w:rFonts w:ascii="Times New Roman" w:hAnsi="Times New Roman"/>
                <w:sz w:val="24"/>
                <w:szCs w:val="24"/>
              </w:rPr>
              <w:t>Фонд Президентских грантов, гранты Министерства просвещения Российской Федерации</w:t>
            </w:r>
          </w:p>
          <w:p w:rsidR="00FC41F4" w:rsidRPr="00EB7E3B" w:rsidRDefault="008925FA" w:rsidP="00C366E5">
            <w:pPr>
              <w:spacing w:after="0" w:line="240" w:lineRule="auto"/>
              <w:jc w:val="both"/>
              <w:rPr>
                <w:rFonts w:ascii="Times New Roman" w:hAnsi="Times New Roman"/>
                <w:sz w:val="24"/>
                <w:szCs w:val="24"/>
              </w:rPr>
            </w:pPr>
            <w:r w:rsidRPr="00EB7E3B">
              <w:rPr>
                <w:rFonts w:ascii="Times New Roman" w:hAnsi="Times New Roman"/>
                <w:sz w:val="24"/>
                <w:szCs w:val="24"/>
              </w:rPr>
              <w:t>Фонд содействия инновациям, Фонд НТИ</w:t>
            </w:r>
          </w:p>
        </w:tc>
      </w:tr>
      <w:tr w:rsidR="00FC41F4" w:rsidRPr="00EB7E3B" w:rsidTr="00EE2F1D">
        <w:tc>
          <w:tcPr>
            <w:tcW w:w="3115" w:type="dxa"/>
            <w:shd w:val="clear" w:color="auto" w:fill="auto"/>
          </w:tcPr>
          <w:p w:rsidR="00FC41F4" w:rsidRPr="00EB7E3B" w:rsidRDefault="008925FA" w:rsidP="002000D4">
            <w:pPr>
              <w:spacing w:after="0" w:line="240" w:lineRule="auto"/>
              <w:rPr>
                <w:rFonts w:ascii="Times New Roman" w:hAnsi="Times New Roman"/>
                <w:sz w:val="24"/>
                <w:szCs w:val="24"/>
              </w:rPr>
            </w:pPr>
            <w:r w:rsidRPr="00EB7E3B">
              <w:rPr>
                <w:rFonts w:ascii="Times New Roman" w:hAnsi="Times New Roman"/>
                <w:sz w:val="24"/>
                <w:szCs w:val="24"/>
              </w:rPr>
              <w:t>Развитие культуры</w:t>
            </w:r>
          </w:p>
        </w:tc>
        <w:tc>
          <w:tcPr>
            <w:tcW w:w="6236" w:type="dxa"/>
            <w:shd w:val="clear" w:color="auto" w:fill="auto"/>
          </w:tcPr>
          <w:p w:rsidR="00FC41F4" w:rsidRPr="00EB7E3B" w:rsidRDefault="00C25F3D" w:rsidP="00C366E5">
            <w:pPr>
              <w:spacing w:after="0" w:line="240" w:lineRule="auto"/>
              <w:jc w:val="both"/>
              <w:rPr>
                <w:rFonts w:ascii="Times New Roman" w:hAnsi="Times New Roman"/>
                <w:sz w:val="24"/>
                <w:szCs w:val="24"/>
              </w:rPr>
            </w:pPr>
            <w:r w:rsidRPr="00C25F3D">
              <w:rPr>
                <w:rFonts w:ascii="Times New Roman" w:hAnsi="Times New Roman"/>
                <w:sz w:val="24"/>
                <w:szCs w:val="24"/>
              </w:rPr>
              <w:t xml:space="preserve">Бюджет города </w:t>
            </w:r>
            <w:r w:rsidR="008925FA" w:rsidRPr="00EB7E3B">
              <w:rPr>
                <w:rFonts w:ascii="Times New Roman" w:hAnsi="Times New Roman"/>
                <w:sz w:val="24"/>
                <w:szCs w:val="24"/>
              </w:rPr>
              <w:t>(МП «Развитие культуры города Барнаула»)</w:t>
            </w:r>
          </w:p>
          <w:p w:rsidR="00FC41F4" w:rsidRPr="00EB7E3B" w:rsidRDefault="008925FA" w:rsidP="00C366E5">
            <w:pPr>
              <w:spacing w:after="0" w:line="240" w:lineRule="auto"/>
              <w:jc w:val="both"/>
              <w:rPr>
                <w:rFonts w:ascii="Times New Roman" w:hAnsi="Times New Roman"/>
                <w:sz w:val="24"/>
                <w:szCs w:val="24"/>
              </w:rPr>
            </w:pPr>
            <w:r w:rsidRPr="00EB7E3B">
              <w:rPr>
                <w:rFonts w:ascii="Times New Roman" w:hAnsi="Times New Roman"/>
                <w:sz w:val="24"/>
                <w:szCs w:val="24"/>
              </w:rPr>
              <w:t>Региональный бюджет (ГП «Развитие культуры Алтайского края»)</w:t>
            </w:r>
          </w:p>
          <w:p w:rsidR="00FC41F4" w:rsidRPr="00EB7E3B" w:rsidRDefault="008925FA" w:rsidP="00C366E5">
            <w:pPr>
              <w:spacing w:after="0" w:line="240" w:lineRule="auto"/>
              <w:jc w:val="both"/>
              <w:rPr>
                <w:rFonts w:ascii="Times New Roman" w:hAnsi="Times New Roman"/>
                <w:sz w:val="24"/>
                <w:szCs w:val="24"/>
              </w:rPr>
            </w:pPr>
            <w:r w:rsidRPr="00EB7E3B">
              <w:rPr>
                <w:rFonts w:ascii="Times New Roman" w:hAnsi="Times New Roman"/>
                <w:sz w:val="24"/>
                <w:szCs w:val="24"/>
              </w:rPr>
              <w:t>Национальный проект «Семья»</w:t>
            </w:r>
          </w:p>
          <w:p w:rsidR="00FC41F4" w:rsidRPr="00EB7E3B" w:rsidRDefault="008925FA" w:rsidP="00C366E5">
            <w:pPr>
              <w:spacing w:after="0" w:line="240" w:lineRule="auto"/>
              <w:jc w:val="both"/>
              <w:rPr>
                <w:rFonts w:ascii="Times New Roman" w:hAnsi="Times New Roman"/>
                <w:sz w:val="24"/>
                <w:szCs w:val="24"/>
              </w:rPr>
            </w:pPr>
            <w:r w:rsidRPr="00EB7E3B">
              <w:rPr>
                <w:rFonts w:ascii="Times New Roman" w:hAnsi="Times New Roman"/>
                <w:sz w:val="24"/>
                <w:szCs w:val="24"/>
              </w:rPr>
              <w:t>Частные инвестиции</w:t>
            </w:r>
          </w:p>
        </w:tc>
      </w:tr>
      <w:tr w:rsidR="00FC41F4" w:rsidRPr="00EB7E3B" w:rsidTr="00EE2F1D">
        <w:tc>
          <w:tcPr>
            <w:tcW w:w="3115" w:type="dxa"/>
            <w:shd w:val="clear" w:color="auto" w:fill="auto"/>
          </w:tcPr>
          <w:p w:rsidR="00FC41F4" w:rsidRPr="00EB7E3B" w:rsidRDefault="008925FA" w:rsidP="002000D4">
            <w:pPr>
              <w:spacing w:after="0" w:line="240" w:lineRule="auto"/>
              <w:rPr>
                <w:rFonts w:ascii="Times New Roman" w:hAnsi="Times New Roman"/>
                <w:sz w:val="24"/>
                <w:szCs w:val="24"/>
              </w:rPr>
            </w:pPr>
            <w:r w:rsidRPr="00EB7E3B">
              <w:rPr>
                <w:rFonts w:ascii="Times New Roman" w:hAnsi="Times New Roman"/>
                <w:sz w:val="24"/>
                <w:szCs w:val="24"/>
              </w:rPr>
              <w:t>Развитие физической культуры и спорта</w:t>
            </w:r>
          </w:p>
        </w:tc>
        <w:tc>
          <w:tcPr>
            <w:tcW w:w="6236" w:type="dxa"/>
            <w:shd w:val="clear" w:color="auto" w:fill="auto"/>
          </w:tcPr>
          <w:p w:rsidR="00FC41F4" w:rsidRPr="00EB7E3B" w:rsidRDefault="00C25F3D" w:rsidP="00C366E5">
            <w:pPr>
              <w:spacing w:after="0" w:line="240" w:lineRule="auto"/>
              <w:jc w:val="both"/>
              <w:rPr>
                <w:rFonts w:ascii="Times New Roman" w:hAnsi="Times New Roman"/>
                <w:sz w:val="24"/>
                <w:szCs w:val="24"/>
              </w:rPr>
            </w:pPr>
            <w:r w:rsidRPr="00C25F3D">
              <w:rPr>
                <w:rFonts w:ascii="Times New Roman" w:hAnsi="Times New Roman"/>
                <w:sz w:val="24"/>
                <w:szCs w:val="24"/>
              </w:rPr>
              <w:t xml:space="preserve">Бюджет города </w:t>
            </w:r>
            <w:r w:rsidR="008925FA" w:rsidRPr="00EB7E3B">
              <w:rPr>
                <w:rFonts w:ascii="Times New Roman" w:hAnsi="Times New Roman"/>
                <w:sz w:val="24"/>
                <w:szCs w:val="24"/>
              </w:rPr>
              <w:t>(МП «Развитие физической культуры и спорта в городе Барнауле»)</w:t>
            </w:r>
          </w:p>
          <w:p w:rsidR="00FC41F4" w:rsidRPr="00EB7E3B" w:rsidRDefault="008925FA" w:rsidP="00C366E5">
            <w:pPr>
              <w:spacing w:after="0" w:line="240" w:lineRule="auto"/>
              <w:jc w:val="both"/>
              <w:rPr>
                <w:rFonts w:ascii="Times New Roman" w:hAnsi="Times New Roman"/>
                <w:sz w:val="24"/>
                <w:szCs w:val="24"/>
              </w:rPr>
            </w:pPr>
            <w:r w:rsidRPr="00EB7E3B">
              <w:rPr>
                <w:rFonts w:ascii="Times New Roman" w:hAnsi="Times New Roman"/>
                <w:sz w:val="24"/>
                <w:szCs w:val="24"/>
              </w:rPr>
              <w:t xml:space="preserve">Региональный бюджет (ГП «Развитие физической культуры </w:t>
            </w:r>
            <w:r w:rsidR="00C366E5" w:rsidRPr="00EB7E3B">
              <w:rPr>
                <w:rFonts w:ascii="Times New Roman" w:hAnsi="Times New Roman"/>
                <w:sz w:val="24"/>
                <w:szCs w:val="24"/>
              </w:rPr>
              <w:br/>
            </w:r>
            <w:r w:rsidRPr="00EB7E3B">
              <w:rPr>
                <w:rFonts w:ascii="Times New Roman" w:hAnsi="Times New Roman"/>
                <w:sz w:val="24"/>
                <w:szCs w:val="24"/>
              </w:rPr>
              <w:t>и спорта в Алтайском крае»)</w:t>
            </w:r>
          </w:p>
          <w:p w:rsidR="00FC41F4" w:rsidRPr="00EB7E3B" w:rsidRDefault="008925FA" w:rsidP="00C366E5">
            <w:pPr>
              <w:spacing w:after="0" w:line="240" w:lineRule="auto"/>
              <w:jc w:val="both"/>
              <w:rPr>
                <w:rFonts w:ascii="Times New Roman" w:hAnsi="Times New Roman"/>
                <w:sz w:val="24"/>
                <w:szCs w:val="24"/>
              </w:rPr>
            </w:pPr>
            <w:r w:rsidRPr="00EB7E3B">
              <w:rPr>
                <w:rFonts w:ascii="Times New Roman" w:hAnsi="Times New Roman"/>
                <w:sz w:val="24"/>
                <w:szCs w:val="24"/>
              </w:rPr>
              <w:t>Федеральный проект «Бизнес-спринт (Я выбираю спорт)»</w:t>
            </w:r>
          </w:p>
          <w:p w:rsidR="00FC41F4" w:rsidRPr="00EB7E3B" w:rsidRDefault="008925FA" w:rsidP="00C366E5">
            <w:pPr>
              <w:spacing w:after="0" w:line="240" w:lineRule="auto"/>
              <w:jc w:val="both"/>
              <w:rPr>
                <w:rFonts w:ascii="Times New Roman" w:hAnsi="Times New Roman"/>
                <w:sz w:val="24"/>
                <w:szCs w:val="24"/>
              </w:rPr>
            </w:pPr>
            <w:r w:rsidRPr="00EB7E3B">
              <w:rPr>
                <w:rFonts w:ascii="Times New Roman" w:hAnsi="Times New Roman"/>
                <w:sz w:val="24"/>
                <w:szCs w:val="24"/>
              </w:rPr>
              <w:t>Частные инвестиции</w:t>
            </w:r>
          </w:p>
          <w:p w:rsidR="00FC41F4" w:rsidRPr="00EB7E3B" w:rsidRDefault="008925FA" w:rsidP="00C366E5">
            <w:pPr>
              <w:spacing w:after="0" w:line="240" w:lineRule="auto"/>
              <w:jc w:val="both"/>
              <w:rPr>
                <w:rFonts w:ascii="Times New Roman" w:hAnsi="Times New Roman"/>
                <w:sz w:val="24"/>
                <w:szCs w:val="24"/>
              </w:rPr>
            </w:pPr>
            <w:r w:rsidRPr="00EB7E3B">
              <w:rPr>
                <w:rFonts w:ascii="Times New Roman" w:hAnsi="Times New Roman"/>
                <w:sz w:val="24"/>
                <w:szCs w:val="24"/>
              </w:rPr>
              <w:t>ГЧП/МЧП</w:t>
            </w:r>
          </w:p>
        </w:tc>
      </w:tr>
      <w:tr w:rsidR="00FC41F4" w:rsidRPr="00EB7E3B" w:rsidTr="00EE2F1D">
        <w:tc>
          <w:tcPr>
            <w:tcW w:w="3115" w:type="dxa"/>
            <w:shd w:val="clear" w:color="auto" w:fill="auto"/>
          </w:tcPr>
          <w:p w:rsidR="00FC41F4" w:rsidRPr="00EB7E3B" w:rsidRDefault="008925FA" w:rsidP="002000D4">
            <w:pPr>
              <w:spacing w:after="0" w:line="240" w:lineRule="auto"/>
              <w:rPr>
                <w:rFonts w:ascii="Times New Roman" w:hAnsi="Times New Roman"/>
                <w:sz w:val="24"/>
                <w:szCs w:val="24"/>
              </w:rPr>
            </w:pPr>
            <w:r w:rsidRPr="00EB7E3B">
              <w:rPr>
                <w:rFonts w:ascii="Times New Roman" w:hAnsi="Times New Roman"/>
                <w:sz w:val="24"/>
                <w:szCs w:val="24"/>
              </w:rPr>
              <w:t>Реализация молодежной политики</w:t>
            </w:r>
          </w:p>
        </w:tc>
        <w:tc>
          <w:tcPr>
            <w:tcW w:w="6236" w:type="dxa"/>
            <w:shd w:val="clear" w:color="auto" w:fill="auto"/>
          </w:tcPr>
          <w:p w:rsidR="00FC41F4" w:rsidRPr="00EB7E3B" w:rsidRDefault="008925FA" w:rsidP="00C366E5">
            <w:pPr>
              <w:spacing w:after="0" w:line="240" w:lineRule="auto"/>
              <w:jc w:val="both"/>
              <w:rPr>
                <w:rFonts w:ascii="Times New Roman" w:hAnsi="Times New Roman"/>
                <w:sz w:val="24"/>
                <w:szCs w:val="24"/>
              </w:rPr>
            </w:pPr>
            <w:r w:rsidRPr="00EB7E3B">
              <w:rPr>
                <w:rFonts w:ascii="Times New Roman" w:hAnsi="Times New Roman"/>
                <w:sz w:val="24"/>
                <w:szCs w:val="24"/>
              </w:rPr>
              <w:t xml:space="preserve">Муниципальный бюджет (МП «Развитие образования </w:t>
            </w:r>
            <w:r w:rsidR="00C366E5" w:rsidRPr="00EB7E3B">
              <w:rPr>
                <w:rFonts w:ascii="Times New Roman" w:hAnsi="Times New Roman"/>
                <w:sz w:val="24"/>
                <w:szCs w:val="24"/>
              </w:rPr>
              <w:br/>
            </w:r>
            <w:r w:rsidRPr="00EB7E3B">
              <w:rPr>
                <w:rFonts w:ascii="Times New Roman" w:hAnsi="Times New Roman"/>
                <w:sz w:val="24"/>
                <w:szCs w:val="24"/>
              </w:rPr>
              <w:t>и молодежной политики города Барнаула»)</w:t>
            </w:r>
          </w:p>
          <w:p w:rsidR="00FC41F4" w:rsidRPr="00EB7E3B" w:rsidRDefault="008925FA" w:rsidP="00C366E5">
            <w:pPr>
              <w:spacing w:after="0" w:line="240" w:lineRule="auto"/>
              <w:jc w:val="both"/>
              <w:rPr>
                <w:rFonts w:ascii="Times New Roman" w:hAnsi="Times New Roman"/>
                <w:sz w:val="24"/>
                <w:szCs w:val="24"/>
              </w:rPr>
            </w:pPr>
            <w:r w:rsidRPr="00EB7E3B">
              <w:rPr>
                <w:rFonts w:ascii="Times New Roman" w:hAnsi="Times New Roman"/>
                <w:sz w:val="24"/>
                <w:szCs w:val="24"/>
              </w:rPr>
              <w:t>Региональный бюджет (ГП «Развитие молодежной политики в Алтайском крае»)</w:t>
            </w:r>
          </w:p>
          <w:p w:rsidR="00FC41F4" w:rsidRPr="00EB7E3B" w:rsidRDefault="008925FA" w:rsidP="00C366E5">
            <w:pPr>
              <w:spacing w:after="0" w:line="240" w:lineRule="auto"/>
              <w:jc w:val="both"/>
              <w:rPr>
                <w:rFonts w:ascii="Times New Roman" w:hAnsi="Times New Roman"/>
                <w:sz w:val="24"/>
                <w:szCs w:val="24"/>
              </w:rPr>
            </w:pPr>
            <w:r w:rsidRPr="00EB7E3B">
              <w:rPr>
                <w:rFonts w:ascii="Times New Roman" w:hAnsi="Times New Roman"/>
                <w:sz w:val="24"/>
                <w:szCs w:val="24"/>
              </w:rPr>
              <w:t>Национальный проект «Молодежь и дети»</w:t>
            </w:r>
          </w:p>
        </w:tc>
      </w:tr>
      <w:tr w:rsidR="00FC41F4" w:rsidRPr="00EB7E3B" w:rsidTr="00EE2F1D">
        <w:tc>
          <w:tcPr>
            <w:tcW w:w="9351" w:type="dxa"/>
            <w:gridSpan w:val="2"/>
            <w:shd w:val="clear" w:color="auto" w:fill="auto"/>
          </w:tcPr>
          <w:p w:rsidR="00FC41F4" w:rsidRPr="00EB7E3B" w:rsidRDefault="008925FA" w:rsidP="002000D4">
            <w:pPr>
              <w:spacing w:after="0" w:line="240" w:lineRule="auto"/>
              <w:jc w:val="center"/>
              <w:rPr>
                <w:rFonts w:ascii="Times New Roman" w:hAnsi="Times New Roman"/>
                <w:sz w:val="24"/>
                <w:szCs w:val="24"/>
              </w:rPr>
            </w:pPr>
            <w:r w:rsidRPr="00EB7E3B">
              <w:rPr>
                <w:rFonts w:ascii="Times New Roman" w:hAnsi="Times New Roman"/>
                <w:sz w:val="24"/>
                <w:szCs w:val="24"/>
              </w:rPr>
              <w:lastRenderedPageBreak/>
              <w:t>Стратегическое направление «Создание комфортной городской среды»</w:t>
            </w:r>
          </w:p>
        </w:tc>
      </w:tr>
      <w:tr w:rsidR="00FC41F4" w:rsidRPr="00EB7E3B" w:rsidTr="00EE2F1D">
        <w:trPr>
          <w:trHeight w:val="1980"/>
        </w:trPr>
        <w:tc>
          <w:tcPr>
            <w:tcW w:w="3115" w:type="dxa"/>
            <w:shd w:val="clear" w:color="auto" w:fill="auto"/>
          </w:tcPr>
          <w:p w:rsidR="00FC41F4" w:rsidRPr="00EB7E3B" w:rsidRDefault="008925FA" w:rsidP="002000D4">
            <w:pPr>
              <w:spacing w:after="0" w:line="240" w:lineRule="auto"/>
              <w:rPr>
                <w:rFonts w:ascii="Times New Roman" w:hAnsi="Times New Roman"/>
                <w:sz w:val="24"/>
                <w:szCs w:val="24"/>
              </w:rPr>
            </w:pPr>
            <w:r w:rsidRPr="00EB7E3B">
              <w:rPr>
                <w:rFonts w:ascii="Times New Roman" w:hAnsi="Times New Roman"/>
                <w:sz w:val="24"/>
                <w:szCs w:val="24"/>
              </w:rPr>
              <w:t>Градостроительная политика и пространственное развитие</w:t>
            </w:r>
          </w:p>
        </w:tc>
        <w:tc>
          <w:tcPr>
            <w:tcW w:w="6236" w:type="dxa"/>
            <w:shd w:val="clear" w:color="auto" w:fill="auto"/>
          </w:tcPr>
          <w:p w:rsidR="00FC41F4" w:rsidRPr="00EB7E3B" w:rsidRDefault="00C25F3D" w:rsidP="00C366E5">
            <w:pPr>
              <w:spacing w:after="0" w:line="240" w:lineRule="auto"/>
              <w:jc w:val="both"/>
              <w:rPr>
                <w:rFonts w:ascii="Times New Roman" w:eastAsia="Times New Roman" w:hAnsi="Times New Roman"/>
                <w:sz w:val="24"/>
                <w:szCs w:val="24"/>
              </w:rPr>
            </w:pPr>
            <w:r w:rsidRPr="00C25F3D">
              <w:rPr>
                <w:rFonts w:ascii="Times New Roman" w:eastAsia="Times New Roman" w:hAnsi="Times New Roman"/>
                <w:sz w:val="24"/>
                <w:szCs w:val="24"/>
              </w:rPr>
              <w:t xml:space="preserve">Бюджет города </w:t>
            </w:r>
            <w:r w:rsidR="008925FA" w:rsidRPr="00EB7E3B">
              <w:rPr>
                <w:rFonts w:ascii="Times New Roman" w:eastAsia="Times New Roman" w:hAnsi="Times New Roman"/>
                <w:sz w:val="24"/>
                <w:szCs w:val="24"/>
              </w:rPr>
              <w:t>(МП «Градостроительная политик</w:t>
            </w:r>
            <w:r w:rsidR="00776405" w:rsidRPr="00EB7E3B">
              <w:rPr>
                <w:rFonts w:ascii="Times New Roman" w:eastAsia="Times New Roman" w:hAnsi="Times New Roman"/>
                <w:sz w:val="24"/>
                <w:szCs w:val="24"/>
              </w:rPr>
              <w:t>а города Барнаула</w:t>
            </w:r>
            <w:r w:rsidR="008925FA" w:rsidRPr="00EB7E3B">
              <w:rPr>
                <w:rFonts w:ascii="Times New Roman" w:eastAsia="Times New Roman" w:hAnsi="Times New Roman"/>
                <w:sz w:val="24"/>
                <w:szCs w:val="24"/>
              </w:rPr>
              <w:t>», «Барнаул - комфортный город»)</w:t>
            </w:r>
          </w:p>
          <w:p w:rsidR="00FC41F4" w:rsidRPr="00EB7E3B" w:rsidRDefault="008925FA" w:rsidP="00C366E5">
            <w:pPr>
              <w:spacing w:after="0" w:line="240" w:lineRule="auto"/>
              <w:jc w:val="both"/>
              <w:rPr>
                <w:rFonts w:ascii="Times New Roman" w:eastAsia="Times New Roman" w:hAnsi="Times New Roman"/>
                <w:sz w:val="24"/>
                <w:szCs w:val="24"/>
              </w:rPr>
            </w:pPr>
            <w:r w:rsidRPr="00EB7E3B">
              <w:rPr>
                <w:rFonts w:ascii="Times New Roman" w:eastAsia="Times New Roman" w:hAnsi="Times New Roman"/>
                <w:sz w:val="24"/>
                <w:szCs w:val="24"/>
              </w:rPr>
              <w:t xml:space="preserve">Региональный бюджет (ГП «Обеспечение доступным </w:t>
            </w:r>
            <w:r w:rsidR="00C366E5" w:rsidRPr="00EB7E3B">
              <w:rPr>
                <w:rFonts w:ascii="Times New Roman" w:eastAsia="Times New Roman" w:hAnsi="Times New Roman"/>
                <w:sz w:val="24"/>
                <w:szCs w:val="24"/>
              </w:rPr>
              <w:br/>
            </w:r>
            <w:r w:rsidRPr="00EB7E3B">
              <w:rPr>
                <w:rFonts w:ascii="Times New Roman" w:eastAsia="Times New Roman" w:hAnsi="Times New Roman"/>
                <w:sz w:val="24"/>
                <w:szCs w:val="24"/>
              </w:rPr>
              <w:t>и комфортным жильем населения Алтайского края»)</w:t>
            </w:r>
          </w:p>
          <w:p w:rsidR="00FC41F4" w:rsidRPr="00EB7E3B" w:rsidRDefault="00C004DC" w:rsidP="00C366E5">
            <w:pPr>
              <w:spacing w:after="0" w:line="240" w:lineRule="auto"/>
              <w:jc w:val="both"/>
              <w:rPr>
                <w:rFonts w:ascii="Times New Roman" w:hAnsi="Times New Roman"/>
                <w:sz w:val="24"/>
                <w:szCs w:val="24"/>
              </w:rPr>
            </w:pPr>
            <w:r w:rsidRPr="00EB7E3B">
              <w:rPr>
                <w:rFonts w:ascii="Times New Roman" w:eastAsia="Times New Roman" w:hAnsi="Times New Roman"/>
                <w:sz w:val="24"/>
                <w:szCs w:val="24"/>
              </w:rPr>
              <w:t>Национальный проект «Инфраструктура для жизни»</w:t>
            </w:r>
          </w:p>
          <w:p w:rsidR="00FC41F4" w:rsidRPr="00EB7E3B" w:rsidRDefault="008925FA" w:rsidP="00C366E5">
            <w:pPr>
              <w:spacing w:after="0" w:line="240" w:lineRule="auto"/>
              <w:jc w:val="both"/>
              <w:rPr>
                <w:rFonts w:ascii="Times New Roman" w:eastAsia="Times New Roman" w:hAnsi="Times New Roman"/>
                <w:sz w:val="24"/>
                <w:szCs w:val="24"/>
              </w:rPr>
            </w:pPr>
            <w:r w:rsidRPr="00EB7E3B">
              <w:rPr>
                <w:rFonts w:ascii="Times New Roman" w:eastAsia="Times New Roman" w:hAnsi="Times New Roman"/>
                <w:sz w:val="24"/>
                <w:szCs w:val="24"/>
              </w:rPr>
              <w:t xml:space="preserve">Частные инвестиции </w:t>
            </w:r>
          </w:p>
          <w:p w:rsidR="00FC41F4" w:rsidRPr="00EB7E3B" w:rsidRDefault="008925FA" w:rsidP="00C366E5">
            <w:pPr>
              <w:spacing w:after="0" w:line="240" w:lineRule="auto"/>
              <w:jc w:val="both"/>
              <w:rPr>
                <w:rFonts w:ascii="Times New Roman" w:hAnsi="Times New Roman"/>
                <w:sz w:val="24"/>
                <w:szCs w:val="24"/>
              </w:rPr>
            </w:pPr>
            <w:r w:rsidRPr="00EB7E3B">
              <w:rPr>
                <w:rFonts w:ascii="Times New Roman" w:eastAsia="Times New Roman" w:hAnsi="Times New Roman"/>
                <w:sz w:val="24"/>
                <w:szCs w:val="24"/>
              </w:rPr>
              <w:t>ГЧП/МЧП</w:t>
            </w:r>
          </w:p>
        </w:tc>
      </w:tr>
      <w:tr w:rsidR="00FC41F4" w:rsidRPr="00EB7E3B" w:rsidTr="00EE2F1D">
        <w:tc>
          <w:tcPr>
            <w:tcW w:w="3115" w:type="dxa"/>
            <w:shd w:val="clear" w:color="auto" w:fill="auto"/>
          </w:tcPr>
          <w:p w:rsidR="00FC41F4" w:rsidRPr="00EB7E3B" w:rsidRDefault="008925FA" w:rsidP="002000D4">
            <w:pPr>
              <w:spacing w:after="0" w:line="240" w:lineRule="auto"/>
              <w:rPr>
                <w:rFonts w:ascii="Times New Roman" w:hAnsi="Times New Roman"/>
                <w:sz w:val="24"/>
                <w:szCs w:val="24"/>
              </w:rPr>
            </w:pPr>
            <w:r w:rsidRPr="00EB7E3B">
              <w:rPr>
                <w:rFonts w:ascii="Times New Roman" w:hAnsi="Times New Roman"/>
                <w:sz w:val="24"/>
                <w:szCs w:val="24"/>
              </w:rPr>
              <w:t>Развитие жилищно-коммунального хозяйства</w:t>
            </w:r>
          </w:p>
        </w:tc>
        <w:tc>
          <w:tcPr>
            <w:tcW w:w="6236" w:type="dxa"/>
            <w:shd w:val="clear" w:color="auto" w:fill="auto"/>
          </w:tcPr>
          <w:p w:rsidR="00FC41F4" w:rsidRPr="00EB7E3B" w:rsidRDefault="00C25F3D" w:rsidP="00C366E5">
            <w:pPr>
              <w:spacing w:after="0" w:line="240" w:lineRule="auto"/>
              <w:jc w:val="both"/>
              <w:rPr>
                <w:rFonts w:ascii="Times New Roman" w:eastAsia="Times New Roman" w:hAnsi="Times New Roman"/>
                <w:sz w:val="24"/>
                <w:szCs w:val="24"/>
              </w:rPr>
            </w:pPr>
            <w:r w:rsidRPr="00C25F3D">
              <w:rPr>
                <w:rFonts w:ascii="Times New Roman" w:eastAsia="Times New Roman" w:hAnsi="Times New Roman"/>
                <w:sz w:val="24"/>
                <w:szCs w:val="24"/>
              </w:rPr>
              <w:t>Бюджет города</w:t>
            </w:r>
            <w:r w:rsidR="008925FA" w:rsidRPr="00EB7E3B">
              <w:rPr>
                <w:rFonts w:ascii="Times New Roman" w:eastAsia="Times New Roman" w:hAnsi="Times New Roman"/>
                <w:sz w:val="24"/>
                <w:szCs w:val="24"/>
              </w:rPr>
              <w:t xml:space="preserve"> (МП «Развитие инженерной инфраструктуры городского округа - города Барнаула», «Улучшение жилищных условий молодых семей в городе Барнауле»)</w:t>
            </w:r>
          </w:p>
          <w:p w:rsidR="00FC41F4" w:rsidRPr="00EB7E3B" w:rsidRDefault="008925FA" w:rsidP="00C366E5">
            <w:pPr>
              <w:spacing w:after="0" w:line="240" w:lineRule="auto"/>
              <w:jc w:val="both"/>
              <w:rPr>
                <w:rFonts w:ascii="Times New Roman" w:eastAsia="Times New Roman" w:hAnsi="Times New Roman"/>
                <w:sz w:val="24"/>
                <w:szCs w:val="24"/>
              </w:rPr>
            </w:pPr>
            <w:r w:rsidRPr="00EB7E3B">
              <w:rPr>
                <w:rFonts w:ascii="Times New Roman" w:eastAsia="Times New Roman" w:hAnsi="Times New Roman"/>
                <w:sz w:val="24"/>
                <w:szCs w:val="24"/>
              </w:rPr>
              <w:t>Региональный бюджет (ГП «Обеспечение населения Алтайского края жилищно-коммунальными услугами», ГП «Энергосбережение и повышение энергетической эффективности»)</w:t>
            </w:r>
          </w:p>
          <w:p w:rsidR="00EB7E3B" w:rsidRDefault="00C004DC" w:rsidP="00C366E5">
            <w:pPr>
              <w:spacing w:after="0" w:line="240" w:lineRule="auto"/>
              <w:jc w:val="both"/>
              <w:rPr>
                <w:rFonts w:ascii="Times New Roman" w:eastAsia="Times New Roman" w:hAnsi="Times New Roman"/>
                <w:sz w:val="24"/>
                <w:szCs w:val="24"/>
              </w:rPr>
            </w:pPr>
            <w:r w:rsidRPr="00EB7E3B">
              <w:rPr>
                <w:rFonts w:ascii="Times New Roman" w:eastAsia="Times New Roman" w:hAnsi="Times New Roman"/>
                <w:sz w:val="24"/>
                <w:szCs w:val="24"/>
              </w:rPr>
              <w:t>Национальный проект «Инфраструктура для жизни»</w:t>
            </w:r>
          </w:p>
          <w:p w:rsidR="00FC41F4" w:rsidRPr="00EB7E3B" w:rsidRDefault="008925FA" w:rsidP="00C366E5">
            <w:pPr>
              <w:spacing w:after="0" w:line="240" w:lineRule="auto"/>
              <w:jc w:val="both"/>
              <w:rPr>
                <w:rFonts w:ascii="Times New Roman" w:eastAsia="Times New Roman" w:hAnsi="Times New Roman"/>
                <w:sz w:val="24"/>
                <w:szCs w:val="24"/>
              </w:rPr>
            </w:pPr>
            <w:r w:rsidRPr="00EB7E3B">
              <w:rPr>
                <w:rFonts w:ascii="Times New Roman" w:eastAsia="Times New Roman" w:hAnsi="Times New Roman"/>
                <w:sz w:val="24"/>
                <w:szCs w:val="24"/>
              </w:rPr>
              <w:t>Инфраструктурные займы ДОМ.РФ</w:t>
            </w:r>
          </w:p>
          <w:p w:rsidR="00FC41F4" w:rsidRPr="00EB7E3B" w:rsidRDefault="008925FA" w:rsidP="00C366E5">
            <w:pPr>
              <w:spacing w:after="0" w:line="240" w:lineRule="auto"/>
              <w:jc w:val="both"/>
              <w:rPr>
                <w:rFonts w:ascii="Times New Roman" w:eastAsia="Times New Roman" w:hAnsi="Times New Roman"/>
                <w:sz w:val="24"/>
                <w:szCs w:val="24"/>
              </w:rPr>
            </w:pPr>
            <w:r w:rsidRPr="00EB7E3B">
              <w:rPr>
                <w:rFonts w:ascii="Times New Roman" w:eastAsia="Times New Roman" w:hAnsi="Times New Roman"/>
                <w:sz w:val="24"/>
                <w:szCs w:val="24"/>
              </w:rPr>
              <w:t xml:space="preserve">Частные инвестиции  </w:t>
            </w:r>
          </w:p>
          <w:p w:rsidR="00FC41F4" w:rsidRPr="00EB7E3B" w:rsidRDefault="008925FA" w:rsidP="00C366E5">
            <w:pPr>
              <w:spacing w:after="0" w:line="240" w:lineRule="auto"/>
              <w:jc w:val="both"/>
              <w:rPr>
                <w:rFonts w:ascii="Times New Roman" w:hAnsi="Times New Roman"/>
                <w:sz w:val="24"/>
                <w:szCs w:val="24"/>
              </w:rPr>
            </w:pPr>
            <w:r w:rsidRPr="00EB7E3B">
              <w:rPr>
                <w:rFonts w:ascii="Times New Roman" w:eastAsia="Times New Roman" w:hAnsi="Times New Roman"/>
                <w:sz w:val="24"/>
                <w:szCs w:val="24"/>
              </w:rPr>
              <w:t>ГЧП/МЧП</w:t>
            </w:r>
          </w:p>
        </w:tc>
      </w:tr>
      <w:tr w:rsidR="00FC41F4" w:rsidRPr="00EB7E3B" w:rsidTr="00EE2F1D">
        <w:tc>
          <w:tcPr>
            <w:tcW w:w="3115" w:type="dxa"/>
            <w:shd w:val="clear" w:color="auto" w:fill="auto"/>
          </w:tcPr>
          <w:p w:rsidR="00FC41F4" w:rsidRPr="00EB7E3B" w:rsidRDefault="008925FA" w:rsidP="002000D4">
            <w:pPr>
              <w:spacing w:after="0" w:line="240" w:lineRule="auto"/>
              <w:rPr>
                <w:rFonts w:ascii="Times New Roman" w:hAnsi="Times New Roman"/>
                <w:sz w:val="24"/>
                <w:szCs w:val="24"/>
              </w:rPr>
            </w:pPr>
            <w:r w:rsidRPr="00EB7E3B">
              <w:rPr>
                <w:rFonts w:ascii="Times New Roman" w:hAnsi="Times New Roman"/>
                <w:sz w:val="24"/>
                <w:szCs w:val="24"/>
              </w:rPr>
              <w:t>Развитие транспортной системы</w:t>
            </w:r>
          </w:p>
        </w:tc>
        <w:tc>
          <w:tcPr>
            <w:tcW w:w="6236" w:type="dxa"/>
            <w:shd w:val="clear" w:color="auto" w:fill="auto"/>
          </w:tcPr>
          <w:p w:rsidR="00FC41F4" w:rsidRPr="00EB7E3B" w:rsidRDefault="00C25F3D" w:rsidP="00C366E5">
            <w:pPr>
              <w:spacing w:after="0" w:line="240" w:lineRule="auto"/>
              <w:jc w:val="both"/>
              <w:rPr>
                <w:rFonts w:ascii="Times New Roman" w:eastAsia="Times New Roman" w:hAnsi="Times New Roman"/>
                <w:sz w:val="24"/>
                <w:szCs w:val="24"/>
              </w:rPr>
            </w:pPr>
            <w:r w:rsidRPr="00C25F3D">
              <w:rPr>
                <w:rFonts w:ascii="Times New Roman" w:eastAsia="Times New Roman" w:hAnsi="Times New Roman"/>
                <w:sz w:val="24"/>
                <w:szCs w:val="24"/>
              </w:rPr>
              <w:t xml:space="preserve">Бюджет города </w:t>
            </w:r>
            <w:r w:rsidR="008925FA" w:rsidRPr="00EB7E3B">
              <w:rPr>
                <w:rFonts w:ascii="Times New Roman" w:eastAsia="Times New Roman" w:hAnsi="Times New Roman"/>
                <w:sz w:val="24"/>
                <w:szCs w:val="24"/>
              </w:rPr>
              <w:t>(МП «Развитие дорожно-транспортной системы города Барнаула»)</w:t>
            </w:r>
          </w:p>
          <w:p w:rsidR="00FC41F4" w:rsidRPr="00EB7E3B" w:rsidRDefault="008925FA" w:rsidP="00C366E5">
            <w:pPr>
              <w:spacing w:after="0" w:line="240" w:lineRule="auto"/>
              <w:jc w:val="both"/>
              <w:rPr>
                <w:rFonts w:ascii="Times New Roman" w:eastAsia="Times New Roman" w:hAnsi="Times New Roman"/>
                <w:sz w:val="24"/>
                <w:szCs w:val="24"/>
              </w:rPr>
            </w:pPr>
            <w:r w:rsidRPr="00EB7E3B">
              <w:rPr>
                <w:rFonts w:ascii="Times New Roman" w:eastAsia="Times New Roman" w:hAnsi="Times New Roman"/>
                <w:sz w:val="24"/>
                <w:szCs w:val="24"/>
              </w:rPr>
              <w:t>Региональный бюджет (ГП «Развитие транспортной системы Алтайского края»)</w:t>
            </w:r>
          </w:p>
          <w:p w:rsidR="00FC41F4" w:rsidRPr="00EB7E3B" w:rsidRDefault="00C004DC" w:rsidP="00C366E5">
            <w:pPr>
              <w:spacing w:after="0" w:line="240" w:lineRule="auto"/>
              <w:jc w:val="both"/>
              <w:rPr>
                <w:rFonts w:ascii="Times New Roman" w:hAnsi="Times New Roman"/>
                <w:sz w:val="24"/>
                <w:szCs w:val="24"/>
              </w:rPr>
            </w:pPr>
            <w:r w:rsidRPr="00EB7E3B">
              <w:rPr>
                <w:rFonts w:ascii="Times New Roman" w:eastAsia="Times New Roman" w:hAnsi="Times New Roman"/>
                <w:sz w:val="24"/>
                <w:szCs w:val="24"/>
              </w:rPr>
              <w:t xml:space="preserve">Национальный проект «Инфраструктура для жизни» </w:t>
            </w:r>
            <w:r w:rsidR="008925FA" w:rsidRPr="00EB7E3B">
              <w:rPr>
                <w:rFonts w:ascii="Times New Roman" w:eastAsia="Times New Roman" w:hAnsi="Times New Roman"/>
                <w:sz w:val="24"/>
                <w:szCs w:val="24"/>
              </w:rPr>
              <w:t>Национальный проект «Эффективная транспортная инфраструктура»</w:t>
            </w:r>
          </w:p>
          <w:p w:rsidR="00FC41F4" w:rsidRPr="00EB7E3B" w:rsidRDefault="008925FA" w:rsidP="00C366E5">
            <w:pPr>
              <w:spacing w:after="0" w:line="240" w:lineRule="auto"/>
              <w:jc w:val="both"/>
              <w:rPr>
                <w:rFonts w:ascii="Times New Roman" w:eastAsia="Times New Roman" w:hAnsi="Times New Roman"/>
                <w:sz w:val="24"/>
                <w:szCs w:val="24"/>
              </w:rPr>
            </w:pPr>
            <w:r w:rsidRPr="00EB7E3B">
              <w:rPr>
                <w:rFonts w:ascii="Times New Roman" w:eastAsia="Times New Roman" w:hAnsi="Times New Roman"/>
                <w:sz w:val="24"/>
                <w:szCs w:val="24"/>
              </w:rPr>
              <w:t>Проектное финансирование ВЭБ.РФ</w:t>
            </w:r>
          </w:p>
          <w:p w:rsidR="00FC41F4" w:rsidRPr="00EB7E3B" w:rsidRDefault="008925FA" w:rsidP="00C366E5">
            <w:pPr>
              <w:spacing w:after="0" w:line="240" w:lineRule="auto"/>
              <w:jc w:val="both"/>
              <w:rPr>
                <w:rFonts w:ascii="Times New Roman" w:eastAsia="Times New Roman" w:hAnsi="Times New Roman"/>
                <w:sz w:val="24"/>
                <w:szCs w:val="24"/>
              </w:rPr>
            </w:pPr>
            <w:r w:rsidRPr="00EB7E3B">
              <w:rPr>
                <w:rFonts w:ascii="Times New Roman" w:eastAsia="Times New Roman" w:hAnsi="Times New Roman"/>
                <w:sz w:val="24"/>
                <w:szCs w:val="24"/>
              </w:rPr>
              <w:t>Лизинг подвижного состава ОТ от Государственной транспортной лизинговой компании</w:t>
            </w:r>
          </w:p>
          <w:p w:rsidR="00FC41F4" w:rsidRPr="00EB7E3B" w:rsidRDefault="008925FA" w:rsidP="00C366E5">
            <w:pPr>
              <w:spacing w:after="0" w:line="240" w:lineRule="auto"/>
              <w:jc w:val="both"/>
              <w:rPr>
                <w:rFonts w:ascii="Times New Roman" w:eastAsia="Times New Roman" w:hAnsi="Times New Roman"/>
                <w:sz w:val="24"/>
                <w:szCs w:val="24"/>
              </w:rPr>
            </w:pPr>
            <w:r w:rsidRPr="00EB7E3B">
              <w:rPr>
                <w:rFonts w:ascii="Times New Roman" w:eastAsia="Times New Roman" w:hAnsi="Times New Roman"/>
                <w:sz w:val="24"/>
                <w:szCs w:val="24"/>
              </w:rPr>
              <w:t>Частные инвестиции</w:t>
            </w:r>
          </w:p>
          <w:p w:rsidR="00FC41F4" w:rsidRPr="00EB7E3B" w:rsidRDefault="008925FA" w:rsidP="00C366E5">
            <w:pPr>
              <w:spacing w:after="0" w:line="240" w:lineRule="auto"/>
              <w:jc w:val="both"/>
              <w:rPr>
                <w:rFonts w:ascii="Times New Roman" w:hAnsi="Times New Roman"/>
                <w:sz w:val="24"/>
                <w:szCs w:val="24"/>
              </w:rPr>
            </w:pPr>
            <w:r w:rsidRPr="00EB7E3B">
              <w:rPr>
                <w:rFonts w:ascii="Times New Roman" w:eastAsia="Times New Roman" w:hAnsi="Times New Roman"/>
                <w:sz w:val="24"/>
                <w:szCs w:val="24"/>
              </w:rPr>
              <w:t>ГЧП/МЧП</w:t>
            </w:r>
          </w:p>
        </w:tc>
      </w:tr>
      <w:tr w:rsidR="00FC41F4" w:rsidRPr="00EB7E3B" w:rsidTr="00EE2F1D">
        <w:tc>
          <w:tcPr>
            <w:tcW w:w="3115" w:type="dxa"/>
            <w:shd w:val="clear" w:color="auto" w:fill="auto"/>
          </w:tcPr>
          <w:p w:rsidR="00FC41F4" w:rsidRPr="00EB7E3B" w:rsidRDefault="008925FA" w:rsidP="002000D4">
            <w:pPr>
              <w:spacing w:after="0" w:line="240" w:lineRule="auto"/>
              <w:rPr>
                <w:rFonts w:ascii="Times New Roman" w:hAnsi="Times New Roman"/>
                <w:sz w:val="24"/>
                <w:szCs w:val="24"/>
              </w:rPr>
            </w:pPr>
            <w:r w:rsidRPr="00EB7E3B">
              <w:rPr>
                <w:rFonts w:ascii="Times New Roman" w:hAnsi="Times New Roman"/>
                <w:sz w:val="24"/>
                <w:szCs w:val="24"/>
              </w:rPr>
              <w:t>Благоустройство</w:t>
            </w:r>
          </w:p>
        </w:tc>
        <w:tc>
          <w:tcPr>
            <w:tcW w:w="6236" w:type="dxa"/>
            <w:shd w:val="clear" w:color="auto" w:fill="auto"/>
          </w:tcPr>
          <w:p w:rsidR="00FC41F4" w:rsidRPr="00EB7E3B" w:rsidRDefault="00C25F3D" w:rsidP="00C366E5">
            <w:pPr>
              <w:spacing w:after="0" w:line="240" w:lineRule="auto"/>
              <w:jc w:val="both"/>
              <w:rPr>
                <w:rFonts w:ascii="Times New Roman" w:eastAsia="Times New Roman" w:hAnsi="Times New Roman"/>
                <w:sz w:val="24"/>
                <w:szCs w:val="24"/>
              </w:rPr>
            </w:pPr>
            <w:r w:rsidRPr="00C25F3D">
              <w:rPr>
                <w:rFonts w:ascii="Times New Roman" w:eastAsia="Times New Roman" w:hAnsi="Times New Roman"/>
                <w:sz w:val="24"/>
                <w:szCs w:val="24"/>
              </w:rPr>
              <w:t xml:space="preserve">Бюджет города </w:t>
            </w:r>
            <w:r w:rsidR="008925FA" w:rsidRPr="00EB7E3B">
              <w:rPr>
                <w:rFonts w:ascii="Times New Roman" w:eastAsia="Times New Roman" w:hAnsi="Times New Roman"/>
                <w:sz w:val="24"/>
                <w:szCs w:val="24"/>
              </w:rPr>
              <w:t>(МП «Благоустройство, экологическая безопасность и природопользование города Барнаула», «Барнаул - комфортный город», «Формирование современной г</w:t>
            </w:r>
            <w:r w:rsidR="00135A49" w:rsidRPr="00EB7E3B">
              <w:rPr>
                <w:rFonts w:ascii="Times New Roman" w:eastAsia="Times New Roman" w:hAnsi="Times New Roman"/>
                <w:sz w:val="24"/>
                <w:szCs w:val="24"/>
              </w:rPr>
              <w:t>ородской среды города Барнаула»</w:t>
            </w:r>
            <w:r w:rsidR="008925FA" w:rsidRPr="00EB7E3B">
              <w:rPr>
                <w:rFonts w:ascii="Times New Roman" w:eastAsia="Times New Roman" w:hAnsi="Times New Roman"/>
                <w:sz w:val="24"/>
                <w:szCs w:val="24"/>
              </w:rPr>
              <w:t>)</w:t>
            </w:r>
          </w:p>
          <w:p w:rsidR="00FC41F4" w:rsidRPr="00EB7E3B" w:rsidRDefault="008925FA" w:rsidP="00C366E5">
            <w:pPr>
              <w:spacing w:after="0" w:line="240" w:lineRule="auto"/>
              <w:jc w:val="both"/>
              <w:rPr>
                <w:rFonts w:ascii="Times New Roman" w:eastAsia="Times New Roman" w:hAnsi="Times New Roman"/>
                <w:sz w:val="24"/>
                <w:szCs w:val="24"/>
              </w:rPr>
            </w:pPr>
            <w:r w:rsidRPr="00EB7E3B">
              <w:rPr>
                <w:rFonts w:ascii="Times New Roman" w:eastAsia="Times New Roman" w:hAnsi="Times New Roman"/>
                <w:sz w:val="24"/>
                <w:szCs w:val="24"/>
              </w:rPr>
              <w:t xml:space="preserve">Региональный бюджет (ГП </w:t>
            </w:r>
            <w:r w:rsidRPr="00EB7E3B">
              <w:rPr>
                <w:rFonts w:ascii="Times New Roman" w:eastAsia="Arial" w:hAnsi="Times New Roman"/>
                <w:sz w:val="24"/>
                <w:szCs w:val="24"/>
              </w:rPr>
              <w:t>«Формирование современной городской среды»)</w:t>
            </w:r>
          </w:p>
          <w:p w:rsidR="00FC41F4" w:rsidRPr="00EB7E3B" w:rsidRDefault="008925FA" w:rsidP="00C366E5">
            <w:pPr>
              <w:spacing w:after="0" w:line="240" w:lineRule="auto"/>
              <w:jc w:val="both"/>
              <w:rPr>
                <w:rFonts w:ascii="Times New Roman" w:hAnsi="Times New Roman"/>
                <w:sz w:val="24"/>
                <w:szCs w:val="24"/>
              </w:rPr>
            </w:pPr>
            <w:r w:rsidRPr="00EB7E3B">
              <w:rPr>
                <w:rFonts w:ascii="Times New Roman" w:eastAsia="Times New Roman" w:hAnsi="Times New Roman"/>
                <w:sz w:val="24"/>
                <w:szCs w:val="24"/>
              </w:rPr>
              <w:t>Национальный проект «Инфраструктура для жизни»</w:t>
            </w:r>
          </w:p>
          <w:p w:rsidR="00FC41F4" w:rsidRPr="00EB7E3B" w:rsidRDefault="008925FA" w:rsidP="00C366E5">
            <w:pPr>
              <w:spacing w:after="0" w:line="240" w:lineRule="auto"/>
              <w:jc w:val="both"/>
              <w:rPr>
                <w:rFonts w:ascii="Times New Roman" w:eastAsia="Times New Roman" w:hAnsi="Times New Roman"/>
                <w:sz w:val="24"/>
                <w:szCs w:val="24"/>
              </w:rPr>
            </w:pPr>
            <w:r w:rsidRPr="00EB7E3B">
              <w:rPr>
                <w:rFonts w:ascii="Times New Roman" w:eastAsia="Times New Roman" w:hAnsi="Times New Roman"/>
                <w:sz w:val="24"/>
                <w:szCs w:val="24"/>
              </w:rPr>
              <w:t xml:space="preserve">Частные инвестиции  </w:t>
            </w:r>
          </w:p>
          <w:p w:rsidR="00FC41F4" w:rsidRPr="00EB7E3B" w:rsidRDefault="008925FA" w:rsidP="00C366E5">
            <w:pPr>
              <w:spacing w:after="0" w:line="240" w:lineRule="auto"/>
              <w:jc w:val="both"/>
              <w:rPr>
                <w:rFonts w:ascii="Times New Roman" w:hAnsi="Times New Roman"/>
                <w:sz w:val="24"/>
                <w:szCs w:val="24"/>
              </w:rPr>
            </w:pPr>
            <w:r w:rsidRPr="00EB7E3B">
              <w:rPr>
                <w:rFonts w:ascii="Times New Roman" w:eastAsia="Times New Roman" w:hAnsi="Times New Roman"/>
                <w:sz w:val="24"/>
                <w:szCs w:val="24"/>
              </w:rPr>
              <w:t>ГЧП/МЧП</w:t>
            </w:r>
          </w:p>
        </w:tc>
      </w:tr>
      <w:tr w:rsidR="00FC41F4" w:rsidRPr="00EB7E3B" w:rsidTr="00EE2F1D">
        <w:tc>
          <w:tcPr>
            <w:tcW w:w="3115" w:type="dxa"/>
            <w:shd w:val="clear" w:color="auto" w:fill="auto"/>
          </w:tcPr>
          <w:p w:rsidR="00FC41F4" w:rsidRPr="00EB7E3B" w:rsidRDefault="008925FA" w:rsidP="002000D4">
            <w:pPr>
              <w:spacing w:after="0" w:line="240" w:lineRule="auto"/>
              <w:rPr>
                <w:rFonts w:ascii="Times New Roman" w:hAnsi="Times New Roman"/>
                <w:sz w:val="24"/>
                <w:szCs w:val="24"/>
              </w:rPr>
            </w:pPr>
            <w:r w:rsidRPr="00EB7E3B">
              <w:rPr>
                <w:rFonts w:ascii="Times New Roman" w:hAnsi="Times New Roman"/>
                <w:sz w:val="24"/>
                <w:szCs w:val="24"/>
              </w:rPr>
              <w:t>Защита окружающей среды</w:t>
            </w:r>
          </w:p>
        </w:tc>
        <w:tc>
          <w:tcPr>
            <w:tcW w:w="6236" w:type="dxa"/>
            <w:shd w:val="clear" w:color="auto" w:fill="auto"/>
          </w:tcPr>
          <w:p w:rsidR="00FC41F4" w:rsidRPr="00EB7E3B" w:rsidRDefault="00C25F3D" w:rsidP="00C366E5">
            <w:pPr>
              <w:spacing w:after="0" w:line="240" w:lineRule="auto"/>
              <w:jc w:val="both"/>
              <w:rPr>
                <w:rFonts w:ascii="Times New Roman" w:eastAsia="Times New Roman" w:hAnsi="Times New Roman"/>
                <w:sz w:val="24"/>
                <w:szCs w:val="24"/>
              </w:rPr>
            </w:pPr>
            <w:r w:rsidRPr="00C25F3D">
              <w:rPr>
                <w:rFonts w:ascii="Times New Roman" w:eastAsia="Times New Roman" w:hAnsi="Times New Roman"/>
                <w:sz w:val="24"/>
                <w:szCs w:val="24"/>
              </w:rPr>
              <w:t xml:space="preserve">Бюджет города </w:t>
            </w:r>
            <w:r w:rsidR="008925FA" w:rsidRPr="00EB7E3B">
              <w:rPr>
                <w:rFonts w:ascii="Times New Roman" w:eastAsia="Times New Roman" w:hAnsi="Times New Roman"/>
                <w:sz w:val="24"/>
                <w:szCs w:val="24"/>
              </w:rPr>
              <w:t>(МП «Благоустройство, экологическая безопасность и природопользование города Барнаула»)</w:t>
            </w:r>
          </w:p>
          <w:p w:rsidR="00FC41F4" w:rsidRPr="00EB7E3B" w:rsidRDefault="008925FA" w:rsidP="00C366E5">
            <w:pPr>
              <w:spacing w:after="0" w:line="240" w:lineRule="auto"/>
              <w:jc w:val="both"/>
              <w:rPr>
                <w:rFonts w:ascii="Times New Roman" w:eastAsia="Times New Roman" w:hAnsi="Times New Roman"/>
                <w:sz w:val="24"/>
                <w:szCs w:val="24"/>
              </w:rPr>
            </w:pPr>
            <w:r w:rsidRPr="00EB7E3B">
              <w:rPr>
                <w:rFonts w:ascii="Times New Roman" w:eastAsia="Times New Roman" w:hAnsi="Times New Roman"/>
                <w:sz w:val="24"/>
                <w:szCs w:val="24"/>
              </w:rPr>
              <w:t xml:space="preserve">Региональный бюджет (ГП </w:t>
            </w:r>
            <w:r w:rsidRPr="00EB7E3B">
              <w:rPr>
                <w:rFonts w:ascii="Times New Roman" w:eastAsia="Arial" w:hAnsi="Times New Roman"/>
                <w:sz w:val="24"/>
                <w:szCs w:val="24"/>
              </w:rPr>
              <w:t>«</w:t>
            </w:r>
            <w:r w:rsidRPr="00EB7E3B">
              <w:rPr>
                <w:rFonts w:ascii="Times New Roman" w:eastAsia="Times New Roman" w:hAnsi="Times New Roman"/>
                <w:sz w:val="24"/>
                <w:szCs w:val="24"/>
              </w:rPr>
              <w:t>Охрана окружающей среды, воспроизводство и рациональное использование природных ресурсов, развитие лесного хозяйства Алтайского края»)</w:t>
            </w:r>
          </w:p>
          <w:p w:rsidR="00FC41F4" w:rsidRPr="00EB7E3B" w:rsidRDefault="008925FA" w:rsidP="00C366E5">
            <w:pPr>
              <w:spacing w:after="0" w:line="240" w:lineRule="auto"/>
              <w:jc w:val="both"/>
              <w:rPr>
                <w:rFonts w:ascii="Times New Roman" w:eastAsia="Times New Roman" w:hAnsi="Times New Roman"/>
                <w:sz w:val="24"/>
                <w:szCs w:val="24"/>
              </w:rPr>
            </w:pPr>
            <w:r w:rsidRPr="00EB7E3B">
              <w:rPr>
                <w:rFonts w:ascii="Times New Roman" w:eastAsia="Times New Roman" w:hAnsi="Times New Roman"/>
                <w:sz w:val="24"/>
                <w:szCs w:val="24"/>
              </w:rPr>
              <w:t>Национальный проект «Экологическое благополучие»</w:t>
            </w:r>
          </w:p>
          <w:p w:rsidR="00FC41F4" w:rsidRPr="00EB7E3B" w:rsidRDefault="008925FA" w:rsidP="00C366E5">
            <w:pPr>
              <w:spacing w:after="0" w:line="240" w:lineRule="auto"/>
              <w:jc w:val="both"/>
              <w:rPr>
                <w:rFonts w:ascii="Times New Roman" w:eastAsia="Times New Roman" w:hAnsi="Times New Roman"/>
                <w:sz w:val="24"/>
                <w:szCs w:val="24"/>
              </w:rPr>
            </w:pPr>
            <w:r w:rsidRPr="00EB7E3B">
              <w:rPr>
                <w:rFonts w:ascii="Times New Roman" w:eastAsia="Times New Roman" w:hAnsi="Times New Roman"/>
                <w:sz w:val="24"/>
                <w:szCs w:val="24"/>
              </w:rPr>
              <w:t xml:space="preserve">Частные инвестиции  </w:t>
            </w:r>
          </w:p>
          <w:p w:rsidR="00FC41F4" w:rsidRPr="00EB7E3B" w:rsidRDefault="008925FA" w:rsidP="00C366E5">
            <w:pPr>
              <w:spacing w:after="0" w:line="240" w:lineRule="auto"/>
              <w:jc w:val="both"/>
              <w:rPr>
                <w:rFonts w:ascii="Times New Roman" w:hAnsi="Times New Roman"/>
                <w:sz w:val="24"/>
                <w:szCs w:val="24"/>
              </w:rPr>
            </w:pPr>
            <w:r w:rsidRPr="00EB7E3B">
              <w:rPr>
                <w:rFonts w:ascii="Times New Roman" w:eastAsia="Times New Roman" w:hAnsi="Times New Roman"/>
                <w:sz w:val="24"/>
                <w:szCs w:val="24"/>
              </w:rPr>
              <w:t>ГЧП/МЧП</w:t>
            </w:r>
          </w:p>
        </w:tc>
      </w:tr>
      <w:tr w:rsidR="00FC41F4" w:rsidRPr="00EB7E3B" w:rsidTr="00EE2F1D">
        <w:tc>
          <w:tcPr>
            <w:tcW w:w="9351" w:type="dxa"/>
            <w:gridSpan w:val="2"/>
            <w:shd w:val="clear" w:color="auto" w:fill="auto"/>
          </w:tcPr>
          <w:p w:rsidR="00FC41F4" w:rsidRPr="00EB7E3B" w:rsidRDefault="008925FA" w:rsidP="002000D4">
            <w:pPr>
              <w:spacing w:after="0" w:line="240" w:lineRule="auto"/>
              <w:jc w:val="center"/>
              <w:rPr>
                <w:rFonts w:ascii="Times New Roman" w:hAnsi="Times New Roman"/>
                <w:sz w:val="24"/>
                <w:szCs w:val="24"/>
              </w:rPr>
            </w:pPr>
            <w:r w:rsidRPr="00EB7E3B">
              <w:rPr>
                <w:rFonts w:ascii="Times New Roman" w:hAnsi="Times New Roman"/>
                <w:sz w:val="24"/>
                <w:szCs w:val="24"/>
              </w:rPr>
              <w:t>Стратегическое направление «Развитие межмуниципальных и международных связей»</w:t>
            </w:r>
          </w:p>
        </w:tc>
      </w:tr>
      <w:tr w:rsidR="00FC41F4" w:rsidRPr="00EB7E3B" w:rsidTr="00EE2F1D">
        <w:tc>
          <w:tcPr>
            <w:tcW w:w="3115" w:type="dxa"/>
            <w:shd w:val="clear" w:color="auto" w:fill="auto"/>
          </w:tcPr>
          <w:p w:rsidR="00FC41F4" w:rsidRPr="00EB7E3B" w:rsidRDefault="008925FA" w:rsidP="002000D4">
            <w:pPr>
              <w:spacing w:after="0" w:line="240" w:lineRule="auto"/>
              <w:rPr>
                <w:rFonts w:ascii="Times New Roman" w:hAnsi="Times New Roman"/>
                <w:sz w:val="24"/>
                <w:szCs w:val="24"/>
              </w:rPr>
            </w:pPr>
            <w:r w:rsidRPr="00EB7E3B">
              <w:rPr>
                <w:rFonts w:ascii="Times New Roman" w:hAnsi="Times New Roman"/>
                <w:sz w:val="24"/>
                <w:szCs w:val="24"/>
              </w:rPr>
              <w:lastRenderedPageBreak/>
              <w:t>Развитие в рамках Ассоциации «Барнаульская агломерация интеграционного развития территорий»</w:t>
            </w:r>
          </w:p>
        </w:tc>
        <w:tc>
          <w:tcPr>
            <w:tcW w:w="6236" w:type="dxa"/>
            <w:shd w:val="clear" w:color="auto" w:fill="auto"/>
          </w:tcPr>
          <w:p w:rsidR="00FC41F4" w:rsidRPr="00EB7E3B" w:rsidRDefault="00C25F3D" w:rsidP="00C366E5">
            <w:pPr>
              <w:spacing w:after="0" w:line="240" w:lineRule="auto"/>
              <w:jc w:val="both"/>
              <w:rPr>
                <w:rFonts w:ascii="Times New Roman" w:eastAsia="Times New Roman" w:hAnsi="Times New Roman"/>
                <w:sz w:val="24"/>
                <w:szCs w:val="24"/>
              </w:rPr>
            </w:pPr>
            <w:r w:rsidRPr="00C25F3D">
              <w:rPr>
                <w:rFonts w:ascii="Times New Roman" w:eastAsia="Times New Roman" w:hAnsi="Times New Roman"/>
                <w:sz w:val="24"/>
                <w:szCs w:val="24"/>
              </w:rPr>
              <w:t xml:space="preserve">Бюджет города </w:t>
            </w:r>
            <w:r w:rsidR="008925FA" w:rsidRPr="00EB7E3B">
              <w:rPr>
                <w:rFonts w:ascii="Times New Roman" w:eastAsia="Times New Roman" w:hAnsi="Times New Roman"/>
                <w:sz w:val="24"/>
                <w:szCs w:val="24"/>
              </w:rPr>
              <w:t>(МП «Развитие дорожно-транспортной системы города Барнаула»)</w:t>
            </w:r>
          </w:p>
          <w:p w:rsidR="00FC41F4" w:rsidRPr="00EB7E3B" w:rsidRDefault="008925FA" w:rsidP="00C366E5">
            <w:pPr>
              <w:spacing w:after="0" w:line="240" w:lineRule="auto"/>
              <w:jc w:val="both"/>
              <w:rPr>
                <w:rFonts w:ascii="Times New Roman" w:eastAsia="Times New Roman" w:hAnsi="Times New Roman"/>
                <w:sz w:val="24"/>
                <w:szCs w:val="24"/>
              </w:rPr>
            </w:pPr>
            <w:r w:rsidRPr="00EB7E3B">
              <w:rPr>
                <w:rFonts w:ascii="Times New Roman" w:eastAsia="Times New Roman" w:hAnsi="Times New Roman"/>
                <w:sz w:val="24"/>
                <w:szCs w:val="24"/>
              </w:rPr>
              <w:t xml:space="preserve">Региональный бюджет (ГП «Развитие транспортной системы Алтайского края», ГП </w:t>
            </w:r>
            <w:r w:rsidRPr="00EB7E3B">
              <w:rPr>
                <w:rFonts w:ascii="Times New Roman" w:hAnsi="Times New Roman"/>
                <w:sz w:val="24"/>
                <w:szCs w:val="24"/>
              </w:rPr>
              <w:t>«Развитие туризма в Алтайском крае»</w:t>
            </w:r>
            <w:r w:rsidRPr="00EB7E3B">
              <w:rPr>
                <w:rFonts w:ascii="Times New Roman" w:eastAsia="Times New Roman" w:hAnsi="Times New Roman"/>
                <w:sz w:val="24"/>
                <w:szCs w:val="24"/>
              </w:rPr>
              <w:t>)</w:t>
            </w:r>
          </w:p>
          <w:p w:rsidR="00FC41F4" w:rsidRPr="00EB7E3B" w:rsidRDefault="008925FA" w:rsidP="00C366E5">
            <w:pPr>
              <w:spacing w:after="0" w:line="240" w:lineRule="auto"/>
              <w:jc w:val="both"/>
              <w:rPr>
                <w:rFonts w:ascii="Times New Roman" w:hAnsi="Times New Roman"/>
                <w:sz w:val="24"/>
                <w:szCs w:val="24"/>
              </w:rPr>
            </w:pPr>
            <w:r w:rsidRPr="00EB7E3B">
              <w:rPr>
                <w:rFonts w:ascii="Times New Roman" w:hAnsi="Times New Roman"/>
                <w:sz w:val="24"/>
                <w:szCs w:val="24"/>
              </w:rPr>
              <w:t>Национальный проект «Туризм и гостеприимство»</w:t>
            </w:r>
          </w:p>
          <w:p w:rsidR="00FC41F4" w:rsidRPr="00EB7E3B" w:rsidRDefault="008925FA" w:rsidP="00C366E5">
            <w:pPr>
              <w:spacing w:after="0" w:line="240" w:lineRule="auto"/>
              <w:jc w:val="both"/>
              <w:rPr>
                <w:rFonts w:ascii="Times New Roman" w:eastAsia="Times New Roman" w:hAnsi="Times New Roman"/>
                <w:sz w:val="24"/>
                <w:szCs w:val="24"/>
              </w:rPr>
            </w:pPr>
            <w:r w:rsidRPr="00EB7E3B">
              <w:rPr>
                <w:rFonts w:ascii="Times New Roman" w:eastAsia="Times New Roman" w:hAnsi="Times New Roman"/>
                <w:sz w:val="24"/>
                <w:szCs w:val="24"/>
              </w:rPr>
              <w:t>Частные инвестиции</w:t>
            </w:r>
          </w:p>
        </w:tc>
      </w:tr>
      <w:tr w:rsidR="00FC41F4" w:rsidRPr="00EB7E3B" w:rsidTr="00EE2F1D">
        <w:tc>
          <w:tcPr>
            <w:tcW w:w="3115" w:type="dxa"/>
            <w:shd w:val="clear" w:color="auto" w:fill="auto"/>
          </w:tcPr>
          <w:p w:rsidR="00FC41F4" w:rsidRPr="00EB7E3B" w:rsidRDefault="008925FA" w:rsidP="002000D4">
            <w:pPr>
              <w:spacing w:after="0" w:line="240" w:lineRule="auto"/>
              <w:rPr>
                <w:rFonts w:ascii="Times New Roman" w:hAnsi="Times New Roman"/>
                <w:sz w:val="24"/>
                <w:szCs w:val="24"/>
              </w:rPr>
            </w:pPr>
            <w:r w:rsidRPr="00EB7E3B">
              <w:rPr>
                <w:rFonts w:ascii="Times New Roman" w:hAnsi="Times New Roman"/>
                <w:sz w:val="24"/>
                <w:szCs w:val="24"/>
              </w:rPr>
              <w:t xml:space="preserve">Развитие международных связей </w:t>
            </w:r>
          </w:p>
        </w:tc>
        <w:tc>
          <w:tcPr>
            <w:tcW w:w="6236" w:type="dxa"/>
            <w:shd w:val="clear" w:color="auto" w:fill="auto"/>
          </w:tcPr>
          <w:p w:rsidR="00FC41F4" w:rsidRPr="00EB7E3B" w:rsidRDefault="00C25F3D" w:rsidP="00C366E5">
            <w:pPr>
              <w:spacing w:after="0" w:line="240" w:lineRule="auto"/>
              <w:jc w:val="both"/>
              <w:rPr>
                <w:rFonts w:ascii="Times New Roman" w:hAnsi="Times New Roman"/>
                <w:sz w:val="24"/>
                <w:szCs w:val="24"/>
              </w:rPr>
            </w:pPr>
            <w:r w:rsidRPr="00C25F3D">
              <w:rPr>
                <w:rFonts w:ascii="Times New Roman" w:hAnsi="Times New Roman"/>
                <w:sz w:val="24"/>
                <w:szCs w:val="24"/>
              </w:rPr>
              <w:t xml:space="preserve">Бюджет города </w:t>
            </w:r>
            <w:r w:rsidR="008925FA" w:rsidRPr="00EB7E3B">
              <w:rPr>
                <w:rFonts w:ascii="Times New Roman" w:hAnsi="Times New Roman"/>
                <w:sz w:val="24"/>
                <w:szCs w:val="24"/>
              </w:rPr>
              <w:t>(МП «</w:t>
            </w:r>
            <w:r w:rsidR="008925FA" w:rsidRPr="00EB7E3B">
              <w:rPr>
                <w:rFonts w:ascii="Times New Roman" w:eastAsia="Times New Roman" w:hAnsi="Times New Roman"/>
                <w:sz w:val="24"/>
                <w:szCs w:val="24"/>
              </w:rPr>
              <w:t>Совершенствование муниципального управления и реализация национальной политики в городе Барнауле</w:t>
            </w:r>
            <w:r w:rsidR="008925FA" w:rsidRPr="00EB7E3B">
              <w:rPr>
                <w:rFonts w:ascii="Times New Roman" w:hAnsi="Times New Roman"/>
                <w:sz w:val="24"/>
                <w:szCs w:val="24"/>
              </w:rPr>
              <w:t>», МП «Развитие культуры города Барнаула»)</w:t>
            </w:r>
          </w:p>
          <w:p w:rsidR="00FC41F4" w:rsidRPr="00EB7E3B" w:rsidRDefault="008925FA" w:rsidP="00C366E5">
            <w:pPr>
              <w:spacing w:after="0" w:line="240" w:lineRule="auto"/>
              <w:jc w:val="both"/>
              <w:rPr>
                <w:rFonts w:ascii="Times New Roman" w:hAnsi="Times New Roman"/>
                <w:sz w:val="24"/>
                <w:szCs w:val="24"/>
              </w:rPr>
            </w:pPr>
            <w:r w:rsidRPr="00EB7E3B">
              <w:rPr>
                <w:rFonts w:ascii="Times New Roman" w:hAnsi="Times New Roman"/>
                <w:sz w:val="24"/>
                <w:szCs w:val="24"/>
              </w:rPr>
              <w:t>Региональный бюджет (ГП «Развитие культуры Алтайского края», ГП «Развитие образования в Алтайском крае»)</w:t>
            </w:r>
          </w:p>
          <w:p w:rsidR="00FC41F4" w:rsidRPr="00EB7E3B" w:rsidRDefault="008925FA" w:rsidP="00C366E5">
            <w:pPr>
              <w:spacing w:after="0" w:line="240" w:lineRule="auto"/>
              <w:jc w:val="both"/>
              <w:rPr>
                <w:rFonts w:ascii="Times New Roman" w:hAnsi="Times New Roman"/>
                <w:sz w:val="24"/>
                <w:szCs w:val="24"/>
              </w:rPr>
            </w:pPr>
            <w:r w:rsidRPr="00EB7E3B">
              <w:rPr>
                <w:rFonts w:ascii="Times New Roman" w:hAnsi="Times New Roman"/>
                <w:sz w:val="24"/>
                <w:szCs w:val="24"/>
              </w:rPr>
              <w:t xml:space="preserve">АНО «Россия </w:t>
            </w:r>
            <w:r w:rsidR="00D53DC9" w:rsidRPr="00EB7E3B">
              <w:rPr>
                <w:rFonts w:ascii="Times New Roman" w:hAnsi="Times New Roman"/>
                <w:sz w:val="24"/>
                <w:szCs w:val="24"/>
              </w:rPr>
              <w:t>–</w:t>
            </w:r>
            <w:r w:rsidRPr="00EB7E3B">
              <w:rPr>
                <w:rFonts w:ascii="Times New Roman" w:hAnsi="Times New Roman"/>
                <w:sz w:val="24"/>
                <w:szCs w:val="24"/>
              </w:rPr>
              <w:t xml:space="preserve"> страна возможностей»</w:t>
            </w:r>
          </w:p>
          <w:p w:rsidR="00FC41F4" w:rsidRPr="00EB7E3B" w:rsidRDefault="008925FA" w:rsidP="00C366E5">
            <w:pPr>
              <w:spacing w:after="0" w:line="240" w:lineRule="auto"/>
              <w:jc w:val="both"/>
              <w:rPr>
                <w:rFonts w:ascii="Times New Roman" w:hAnsi="Times New Roman"/>
                <w:sz w:val="24"/>
                <w:szCs w:val="24"/>
              </w:rPr>
            </w:pPr>
            <w:r w:rsidRPr="00EB7E3B">
              <w:rPr>
                <w:rFonts w:ascii="Times New Roman" w:hAnsi="Times New Roman"/>
                <w:sz w:val="24"/>
                <w:szCs w:val="24"/>
              </w:rPr>
              <w:t>Эндаумент-фонд АлтГУ</w:t>
            </w:r>
          </w:p>
          <w:p w:rsidR="00FC41F4" w:rsidRPr="00EB7E3B" w:rsidRDefault="008925FA" w:rsidP="00C366E5">
            <w:pPr>
              <w:spacing w:after="0" w:line="240" w:lineRule="auto"/>
              <w:jc w:val="both"/>
              <w:rPr>
                <w:rFonts w:ascii="Times New Roman" w:hAnsi="Times New Roman"/>
                <w:sz w:val="24"/>
                <w:szCs w:val="24"/>
              </w:rPr>
            </w:pPr>
            <w:r w:rsidRPr="00EB7E3B">
              <w:rPr>
                <w:rFonts w:ascii="Times New Roman" w:hAnsi="Times New Roman"/>
                <w:sz w:val="24"/>
                <w:szCs w:val="24"/>
              </w:rPr>
              <w:t>Российский экспортный центр</w:t>
            </w:r>
          </w:p>
        </w:tc>
      </w:tr>
      <w:tr w:rsidR="00FC41F4" w:rsidRPr="00EB7E3B" w:rsidTr="00EE2F1D">
        <w:tc>
          <w:tcPr>
            <w:tcW w:w="9351" w:type="dxa"/>
            <w:gridSpan w:val="2"/>
            <w:shd w:val="clear" w:color="auto" w:fill="auto"/>
          </w:tcPr>
          <w:p w:rsidR="00FC41F4" w:rsidRPr="00EB7E3B" w:rsidRDefault="008925FA" w:rsidP="002000D4">
            <w:pPr>
              <w:spacing w:after="0" w:line="240" w:lineRule="auto"/>
              <w:jc w:val="center"/>
              <w:rPr>
                <w:rFonts w:ascii="Times New Roman" w:hAnsi="Times New Roman"/>
                <w:sz w:val="24"/>
                <w:szCs w:val="24"/>
              </w:rPr>
            </w:pPr>
            <w:r w:rsidRPr="00EB7E3B">
              <w:rPr>
                <w:rFonts w:ascii="Times New Roman" w:hAnsi="Times New Roman"/>
                <w:sz w:val="24"/>
                <w:szCs w:val="24"/>
              </w:rPr>
              <w:t>Стратегическое направление «Эффективное управление»</w:t>
            </w:r>
          </w:p>
        </w:tc>
      </w:tr>
      <w:tr w:rsidR="00FC41F4" w:rsidRPr="00EB7E3B" w:rsidTr="00EE2F1D">
        <w:tc>
          <w:tcPr>
            <w:tcW w:w="3115" w:type="dxa"/>
            <w:shd w:val="clear" w:color="auto" w:fill="auto"/>
          </w:tcPr>
          <w:p w:rsidR="00FC41F4" w:rsidRPr="00EB7E3B" w:rsidRDefault="008925FA" w:rsidP="002000D4">
            <w:pPr>
              <w:spacing w:after="0" w:line="240" w:lineRule="auto"/>
              <w:rPr>
                <w:rFonts w:ascii="Times New Roman" w:hAnsi="Times New Roman"/>
                <w:sz w:val="24"/>
                <w:szCs w:val="24"/>
              </w:rPr>
            </w:pPr>
            <w:r w:rsidRPr="00EB7E3B">
              <w:rPr>
                <w:rFonts w:ascii="Times New Roman" w:hAnsi="Times New Roman"/>
                <w:sz w:val="24"/>
                <w:szCs w:val="24"/>
              </w:rPr>
              <w:t>Повышение эффективности и открытости деятельности органов местного самоуправления</w:t>
            </w:r>
          </w:p>
        </w:tc>
        <w:tc>
          <w:tcPr>
            <w:tcW w:w="6236" w:type="dxa"/>
            <w:shd w:val="clear" w:color="auto" w:fill="auto"/>
          </w:tcPr>
          <w:p w:rsidR="00FC41F4" w:rsidRPr="00EB7E3B" w:rsidRDefault="00C25F3D" w:rsidP="00C366E5">
            <w:pPr>
              <w:pBdr>
                <w:top w:val="none" w:sz="4" w:space="0" w:color="000000"/>
                <w:left w:val="none" w:sz="4" w:space="0" w:color="000000"/>
                <w:bottom w:val="none" w:sz="4" w:space="0" w:color="000000"/>
                <w:right w:val="none" w:sz="4" w:space="0" w:color="000000"/>
              </w:pBdr>
              <w:spacing w:after="0" w:line="240" w:lineRule="auto"/>
              <w:jc w:val="both"/>
              <w:rPr>
                <w:rFonts w:ascii="Times New Roman" w:hAnsi="Times New Roman"/>
                <w:sz w:val="24"/>
                <w:szCs w:val="24"/>
              </w:rPr>
            </w:pPr>
            <w:r w:rsidRPr="00C25F3D">
              <w:rPr>
                <w:rFonts w:ascii="Times New Roman" w:eastAsia="Times New Roman" w:hAnsi="Times New Roman"/>
                <w:sz w:val="24"/>
                <w:szCs w:val="24"/>
              </w:rPr>
              <w:t xml:space="preserve">Бюджет города </w:t>
            </w:r>
            <w:r w:rsidR="008925FA" w:rsidRPr="00EB7E3B">
              <w:rPr>
                <w:rFonts w:ascii="Times New Roman" w:eastAsia="Times New Roman" w:hAnsi="Times New Roman"/>
                <w:sz w:val="24"/>
                <w:szCs w:val="24"/>
              </w:rPr>
              <w:t>(МП «Совершенствование муниципального управления и реализация национальной политики в городе Барнауле», «Цифровой муниципалитет»</w:t>
            </w:r>
            <w:r w:rsidR="000517E6" w:rsidRPr="00EB7E3B">
              <w:rPr>
                <w:rFonts w:ascii="Times New Roman" w:eastAsia="Times New Roman" w:hAnsi="Times New Roman"/>
                <w:sz w:val="24"/>
                <w:szCs w:val="24"/>
              </w:rPr>
              <w:t>)</w:t>
            </w:r>
          </w:p>
        </w:tc>
      </w:tr>
      <w:tr w:rsidR="00FC41F4" w:rsidRPr="00EB7E3B" w:rsidTr="00EE2F1D">
        <w:tc>
          <w:tcPr>
            <w:tcW w:w="3115" w:type="dxa"/>
            <w:shd w:val="clear" w:color="auto" w:fill="auto"/>
          </w:tcPr>
          <w:p w:rsidR="00FC41F4" w:rsidRPr="00EB7E3B" w:rsidRDefault="008925FA" w:rsidP="002000D4">
            <w:pPr>
              <w:spacing w:after="0" w:line="240" w:lineRule="auto"/>
              <w:rPr>
                <w:rFonts w:ascii="Times New Roman" w:hAnsi="Times New Roman"/>
                <w:sz w:val="24"/>
                <w:szCs w:val="24"/>
              </w:rPr>
            </w:pPr>
            <w:r w:rsidRPr="00EB7E3B">
              <w:rPr>
                <w:rFonts w:ascii="Times New Roman" w:hAnsi="Times New Roman"/>
                <w:sz w:val="24"/>
                <w:szCs w:val="24"/>
              </w:rPr>
              <w:t xml:space="preserve">Совершенствование системы управления муниципальными финансами </w:t>
            </w:r>
          </w:p>
        </w:tc>
        <w:tc>
          <w:tcPr>
            <w:tcW w:w="6236" w:type="dxa"/>
            <w:shd w:val="clear" w:color="auto" w:fill="auto"/>
          </w:tcPr>
          <w:p w:rsidR="00FC41F4" w:rsidRPr="00EB7E3B" w:rsidRDefault="00C25F3D" w:rsidP="00C366E5">
            <w:pPr>
              <w:spacing w:after="0" w:line="240" w:lineRule="auto"/>
              <w:jc w:val="both"/>
              <w:rPr>
                <w:rFonts w:ascii="Times New Roman" w:eastAsia="Calibri" w:hAnsi="Times New Roman"/>
                <w:sz w:val="24"/>
                <w:szCs w:val="24"/>
              </w:rPr>
            </w:pPr>
            <w:r w:rsidRPr="00C25F3D">
              <w:rPr>
                <w:rFonts w:ascii="Times New Roman" w:eastAsia="Times New Roman" w:hAnsi="Times New Roman"/>
                <w:sz w:val="24"/>
                <w:szCs w:val="24"/>
              </w:rPr>
              <w:t xml:space="preserve">Бюджет города </w:t>
            </w:r>
            <w:r w:rsidR="008925FA" w:rsidRPr="00EB7E3B">
              <w:rPr>
                <w:rFonts w:ascii="Times New Roman" w:eastAsia="Times New Roman" w:hAnsi="Times New Roman"/>
                <w:sz w:val="24"/>
                <w:szCs w:val="24"/>
              </w:rPr>
              <w:t xml:space="preserve">(МП «Управление муниципальным имуществом города Барнаул», «Управление земельными ресурсами города Барнаула», Программа мероприятий </w:t>
            </w:r>
            <w:r w:rsidR="00C366E5" w:rsidRPr="00EB7E3B">
              <w:rPr>
                <w:rFonts w:ascii="Times New Roman" w:eastAsia="Times New Roman" w:hAnsi="Times New Roman"/>
                <w:sz w:val="24"/>
                <w:szCs w:val="24"/>
              </w:rPr>
              <w:br/>
            </w:r>
            <w:r w:rsidR="008925FA" w:rsidRPr="00EB7E3B">
              <w:rPr>
                <w:rFonts w:ascii="Times New Roman" w:eastAsia="Times New Roman" w:hAnsi="Times New Roman"/>
                <w:sz w:val="24"/>
                <w:szCs w:val="24"/>
              </w:rPr>
              <w:t>по увеличению доходов и повышению эффективности расходов бюджета города Барнаула)</w:t>
            </w:r>
          </w:p>
        </w:tc>
      </w:tr>
      <w:tr w:rsidR="00FC41F4" w:rsidRPr="00EB7E3B" w:rsidTr="00EE2F1D">
        <w:tc>
          <w:tcPr>
            <w:tcW w:w="3115" w:type="dxa"/>
            <w:shd w:val="clear" w:color="auto" w:fill="auto"/>
          </w:tcPr>
          <w:p w:rsidR="00FC41F4" w:rsidRPr="00EB7E3B" w:rsidRDefault="008925FA" w:rsidP="002000D4">
            <w:pPr>
              <w:spacing w:after="0" w:line="240" w:lineRule="auto"/>
              <w:rPr>
                <w:rFonts w:ascii="Times New Roman" w:hAnsi="Times New Roman"/>
                <w:sz w:val="24"/>
                <w:szCs w:val="24"/>
              </w:rPr>
            </w:pPr>
            <w:r w:rsidRPr="00EB7E3B">
              <w:rPr>
                <w:rFonts w:ascii="Times New Roman" w:hAnsi="Times New Roman"/>
                <w:sz w:val="24"/>
                <w:szCs w:val="24"/>
              </w:rPr>
              <w:t xml:space="preserve">Совершенствование системы оказания муниципальных услуг, в том числе </w:t>
            </w:r>
          </w:p>
          <w:p w:rsidR="00FC41F4" w:rsidRPr="00EB7E3B" w:rsidRDefault="008925FA" w:rsidP="002000D4">
            <w:pPr>
              <w:spacing w:after="0" w:line="240" w:lineRule="auto"/>
              <w:rPr>
                <w:rFonts w:ascii="Times New Roman" w:hAnsi="Times New Roman"/>
                <w:sz w:val="24"/>
                <w:szCs w:val="24"/>
              </w:rPr>
            </w:pPr>
            <w:r w:rsidRPr="00EB7E3B">
              <w:rPr>
                <w:rFonts w:ascii="Times New Roman" w:hAnsi="Times New Roman"/>
                <w:sz w:val="24"/>
                <w:szCs w:val="24"/>
              </w:rPr>
              <w:t>в электронном виде</w:t>
            </w:r>
          </w:p>
        </w:tc>
        <w:tc>
          <w:tcPr>
            <w:tcW w:w="6236" w:type="dxa"/>
            <w:shd w:val="clear" w:color="auto" w:fill="auto"/>
          </w:tcPr>
          <w:p w:rsidR="00FC41F4" w:rsidRPr="00EB7E3B" w:rsidRDefault="00C25F3D" w:rsidP="00C366E5">
            <w:pPr>
              <w:spacing w:after="0" w:line="240" w:lineRule="auto"/>
              <w:jc w:val="both"/>
              <w:rPr>
                <w:rFonts w:ascii="Times New Roman" w:eastAsia="Calibri" w:hAnsi="Times New Roman"/>
                <w:sz w:val="24"/>
                <w:szCs w:val="24"/>
              </w:rPr>
            </w:pPr>
            <w:r w:rsidRPr="00C25F3D">
              <w:rPr>
                <w:rFonts w:ascii="Times New Roman" w:eastAsia="Times New Roman" w:hAnsi="Times New Roman"/>
                <w:sz w:val="24"/>
                <w:szCs w:val="24"/>
              </w:rPr>
              <w:t xml:space="preserve">Бюджет города </w:t>
            </w:r>
            <w:r w:rsidR="008925FA" w:rsidRPr="00EB7E3B">
              <w:rPr>
                <w:rFonts w:ascii="Times New Roman" w:eastAsia="Times New Roman" w:hAnsi="Times New Roman"/>
                <w:sz w:val="24"/>
                <w:szCs w:val="24"/>
              </w:rPr>
              <w:t>(МП «Цифровой муниципалитет»)</w:t>
            </w:r>
          </w:p>
          <w:p w:rsidR="00FC41F4" w:rsidRPr="00EB7E3B" w:rsidRDefault="00FC41F4" w:rsidP="00C366E5">
            <w:pPr>
              <w:spacing w:after="0" w:line="240" w:lineRule="auto"/>
              <w:jc w:val="both"/>
              <w:rPr>
                <w:rFonts w:ascii="Times New Roman" w:hAnsi="Times New Roman"/>
                <w:sz w:val="24"/>
                <w:szCs w:val="24"/>
              </w:rPr>
            </w:pPr>
          </w:p>
        </w:tc>
      </w:tr>
    </w:tbl>
    <w:p w:rsidR="00327520" w:rsidRPr="00577593" w:rsidRDefault="00327520" w:rsidP="00C004DC">
      <w:pPr>
        <w:spacing w:after="0" w:line="240" w:lineRule="auto"/>
        <w:rPr>
          <w:rFonts w:ascii="Times New Roman" w:eastAsia="Times New Roman" w:hAnsi="Times New Roman"/>
          <w:sz w:val="28"/>
          <w:szCs w:val="28"/>
        </w:rPr>
      </w:pPr>
    </w:p>
    <w:p w:rsidR="000C3927" w:rsidRPr="00577593" w:rsidRDefault="00202973" w:rsidP="00C004DC">
      <w:pPr>
        <w:spacing w:after="0" w:line="240" w:lineRule="auto"/>
        <w:ind w:firstLine="709"/>
        <w:jc w:val="both"/>
        <w:rPr>
          <w:rFonts w:ascii="Times New Roman" w:hAnsi="Times New Roman"/>
          <w:sz w:val="28"/>
          <w:szCs w:val="28"/>
        </w:rPr>
      </w:pPr>
      <w:r w:rsidRPr="00577593">
        <w:rPr>
          <w:rFonts w:ascii="Times New Roman" w:hAnsi="Times New Roman"/>
          <w:sz w:val="28"/>
          <w:szCs w:val="28"/>
        </w:rPr>
        <w:t>Достижение целей</w:t>
      </w:r>
      <w:r w:rsidR="000C3927" w:rsidRPr="00577593">
        <w:rPr>
          <w:rFonts w:ascii="Times New Roman" w:hAnsi="Times New Roman"/>
          <w:sz w:val="28"/>
          <w:szCs w:val="28"/>
        </w:rPr>
        <w:t xml:space="preserve"> Стратегии будет осуществляться путем разработки </w:t>
      </w:r>
      <w:r w:rsidRPr="00577593">
        <w:rPr>
          <w:rFonts w:ascii="Times New Roman" w:hAnsi="Times New Roman"/>
          <w:sz w:val="28"/>
          <w:szCs w:val="28"/>
        </w:rPr>
        <w:br/>
      </w:r>
      <w:r w:rsidR="000C3927" w:rsidRPr="00577593">
        <w:rPr>
          <w:rFonts w:ascii="Times New Roman" w:hAnsi="Times New Roman"/>
          <w:sz w:val="28"/>
          <w:szCs w:val="28"/>
        </w:rPr>
        <w:t xml:space="preserve">и исполнения плана мероприятий по </w:t>
      </w:r>
      <w:r w:rsidRPr="00577593">
        <w:rPr>
          <w:rFonts w:ascii="Times New Roman" w:hAnsi="Times New Roman"/>
          <w:sz w:val="28"/>
          <w:szCs w:val="28"/>
        </w:rPr>
        <w:t xml:space="preserve">её </w:t>
      </w:r>
      <w:r w:rsidR="000C3927" w:rsidRPr="00577593">
        <w:rPr>
          <w:rFonts w:ascii="Times New Roman" w:hAnsi="Times New Roman"/>
          <w:sz w:val="28"/>
          <w:szCs w:val="28"/>
        </w:rPr>
        <w:t xml:space="preserve">реализации, </w:t>
      </w:r>
      <w:r w:rsidRPr="00577593">
        <w:rPr>
          <w:rFonts w:ascii="Times New Roman" w:hAnsi="Times New Roman"/>
          <w:sz w:val="28"/>
          <w:szCs w:val="28"/>
        </w:rPr>
        <w:t>корректировки муниципальных программ.</w:t>
      </w:r>
    </w:p>
    <w:p w:rsidR="000C3927" w:rsidRPr="00577593" w:rsidRDefault="000C3927" w:rsidP="002000D4">
      <w:pPr>
        <w:spacing w:after="0" w:line="240" w:lineRule="auto"/>
        <w:ind w:firstLine="709"/>
        <w:jc w:val="both"/>
        <w:rPr>
          <w:rFonts w:ascii="Times New Roman" w:hAnsi="Times New Roman"/>
          <w:sz w:val="28"/>
          <w:szCs w:val="28"/>
        </w:rPr>
      </w:pPr>
      <w:r w:rsidRPr="00577593">
        <w:rPr>
          <w:rFonts w:ascii="Times New Roman" w:hAnsi="Times New Roman"/>
          <w:sz w:val="28"/>
          <w:szCs w:val="28"/>
        </w:rPr>
        <w:t xml:space="preserve">Для достижения стратегических целей </w:t>
      </w:r>
      <w:r w:rsidR="00202973" w:rsidRPr="00577593">
        <w:rPr>
          <w:rFonts w:ascii="Times New Roman" w:hAnsi="Times New Roman"/>
          <w:sz w:val="28"/>
          <w:szCs w:val="28"/>
        </w:rPr>
        <w:t>планируется привлечение финансовых средств</w:t>
      </w:r>
      <w:r w:rsidRPr="00577593">
        <w:rPr>
          <w:rFonts w:ascii="Times New Roman" w:hAnsi="Times New Roman"/>
          <w:sz w:val="28"/>
          <w:szCs w:val="28"/>
        </w:rPr>
        <w:t xml:space="preserve"> федерального, регионального бюджетов, а также внебюджетны</w:t>
      </w:r>
      <w:r w:rsidR="00F77EAA" w:rsidRPr="00577593">
        <w:rPr>
          <w:rFonts w:ascii="Times New Roman" w:hAnsi="Times New Roman"/>
          <w:sz w:val="28"/>
          <w:szCs w:val="28"/>
        </w:rPr>
        <w:t>х</w:t>
      </w:r>
      <w:r w:rsidRPr="00577593">
        <w:rPr>
          <w:rFonts w:ascii="Times New Roman" w:hAnsi="Times New Roman"/>
          <w:sz w:val="28"/>
          <w:szCs w:val="28"/>
        </w:rPr>
        <w:t xml:space="preserve"> источник</w:t>
      </w:r>
      <w:r w:rsidR="00F77EAA" w:rsidRPr="00577593">
        <w:rPr>
          <w:rFonts w:ascii="Times New Roman" w:hAnsi="Times New Roman"/>
          <w:sz w:val="28"/>
          <w:szCs w:val="28"/>
        </w:rPr>
        <w:t>ов</w:t>
      </w:r>
      <w:r w:rsidRPr="00577593">
        <w:rPr>
          <w:rFonts w:ascii="Times New Roman" w:hAnsi="Times New Roman"/>
          <w:sz w:val="28"/>
          <w:szCs w:val="28"/>
        </w:rPr>
        <w:t xml:space="preserve"> финансирования. </w:t>
      </w:r>
    </w:p>
    <w:p w:rsidR="00CE49D5" w:rsidRPr="00577593" w:rsidRDefault="00327520" w:rsidP="002000D4">
      <w:pPr>
        <w:spacing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Всего на реализацию мероприятий Стратегии, включая приоритетные инвестиционные проекты, в 2026-2036 годы планируется направить более </w:t>
      </w:r>
      <w:r w:rsidR="00CE49D5" w:rsidRPr="00577593">
        <w:rPr>
          <w:rFonts w:ascii="Times New Roman" w:eastAsia="Times New Roman" w:hAnsi="Times New Roman"/>
          <w:sz w:val="28"/>
          <w:szCs w:val="28"/>
        </w:rPr>
        <w:br/>
      </w:r>
      <w:r w:rsidR="00435FAD" w:rsidRPr="00577593">
        <w:rPr>
          <w:rFonts w:ascii="Times New Roman" w:eastAsia="Times New Roman" w:hAnsi="Times New Roman"/>
          <w:sz w:val="28"/>
          <w:szCs w:val="28"/>
        </w:rPr>
        <w:t xml:space="preserve">167,0 млрд </w:t>
      </w:r>
      <w:r w:rsidRPr="00577593">
        <w:rPr>
          <w:rFonts w:ascii="Times New Roman" w:eastAsia="Times New Roman" w:hAnsi="Times New Roman"/>
          <w:sz w:val="28"/>
          <w:szCs w:val="28"/>
        </w:rPr>
        <w:t xml:space="preserve">рублей, в том числе за счет бюджетных средств – не менее </w:t>
      </w:r>
      <w:r w:rsidR="00435FAD" w:rsidRPr="00577593">
        <w:rPr>
          <w:rFonts w:ascii="Times New Roman" w:eastAsia="Times New Roman" w:hAnsi="Times New Roman"/>
          <w:sz w:val="28"/>
          <w:szCs w:val="28"/>
        </w:rPr>
        <w:br/>
      </w:r>
      <w:r w:rsidR="00BD1534" w:rsidRPr="00577593">
        <w:rPr>
          <w:rFonts w:ascii="Times New Roman" w:eastAsia="Times New Roman" w:hAnsi="Times New Roman"/>
          <w:sz w:val="28"/>
          <w:szCs w:val="28"/>
        </w:rPr>
        <w:t>10,0 млрд рублей</w:t>
      </w:r>
      <w:r w:rsidR="00CE49D5" w:rsidRPr="00577593">
        <w:rPr>
          <w:rFonts w:ascii="Times New Roman" w:eastAsia="Times New Roman" w:hAnsi="Times New Roman"/>
          <w:sz w:val="28"/>
          <w:szCs w:val="28"/>
        </w:rPr>
        <w:t>.</w:t>
      </w:r>
    </w:p>
    <w:p w:rsidR="00FC41F4" w:rsidRPr="00577593" w:rsidRDefault="008925FA" w:rsidP="002000D4">
      <w:pPr>
        <w:pStyle w:val="2"/>
        <w:spacing w:line="240" w:lineRule="auto"/>
        <w:ind w:firstLine="709"/>
        <w:jc w:val="both"/>
        <w:rPr>
          <w:rFonts w:ascii="Times New Roman" w:eastAsia="Times New Roman" w:hAnsi="Times New Roman"/>
          <w:color w:val="auto"/>
          <w:sz w:val="28"/>
          <w:szCs w:val="28"/>
        </w:rPr>
      </w:pPr>
      <w:bookmarkStart w:id="634" w:name="_Toc212804410"/>
      <w:r w:rsidRPr="00577593">
        <w:rPr>
          <w:rFonts w:ascii="Times New Roman" w:eastAsia="Times New Roman" w:hAnsi="Times New Roman"/>
          <w:color w:val="auto"/>
          <w:sz w:val="28"/>
          <w:szCs w:val="28"/>
        </w:rPr>
        <w:t>11</w:t>
      </w:r>
      <w:r w:rsidR="00C004DC">
        <w:rPr>
          <w:rFonts w:ascii="Times New Roman" w:eastAsia="Times New Roman" w:hAnsi="Times New Roman"/>
          <w:color w:val="auto"/>
          <w:sz w:val="28"/>
          <w:szCs w:val="28"/>
        </w:rPr>
        <w:t>.</w:t>
      </w:r>
      <w:r w:rsidRPr="00577593">
        <w:rPr>
          <w:rFonts w:ascii="Times New Roman" w:eastAsia="Times New Roman" w:hAnsi="Times New Roman"/>
          <w:color w:val="auto"/>
          <w:sz w:val="28"/>
          <w:szCs w:val="28"/>
        </w:rPr>
        <w:t xml:space="preserve"> Этапы и сроки реализации Стратегии</w:t>
      </w:r>
      <w:bookmarkEnd w:id="634"/>
    </w:p>
    <w:p w:rsidR="00FC41F4" w:rsidRPr="00577593" w:rsidRDefault="008925FA" w:rsidP="002000D4">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На первом этапе (2026</w:t>
      </w:r>
      <w:r w:rsidR="00E34E37" w:rsidRPr="00577593">
        <w:rPr>
          <w:rFonts w:ascii="Times New Roman" w:eastAsia="Times New Roman" w:hAnsi="Times New Roman"/>
          <w:sz w:val="28"/>
          <w:szCs w:val="28"/>
        </w:rPr>
        <w:t>-2030 годы</w:t>
      </w:r>
      <w:r w:rsidRPr="00577593">
        <w:rPr>
          <w:rFonts w:ascii="Times New Roman" w:eastAsia="Times New Roman" w:hAnsi="Times New Roman"/>
          <w:sz w:val="28"/>
          <w:szCs w:val="28"/>
        </w:rPr>
        <w:t xml:space="preserve">) планируется модернизация </w:t>
      </w:r>
      <w:r w:rsidR="004110DD" w:rsidRPr="00577593">
        <w:rPr>
          <w:rFonts w:ascii="Times New Roman" w:eastAsia="Times New Roman" w:hAnsi="Times New Roman"/>
          <w:sz w:val="28"/>
          <w:szCs w:val="28"/>
        </w:rPr>
        <w:br/>
      </w:r>
      <w:r w:rsidRPr="00577593">
        <w:rPr>
          <w:rFonts w:ascii="Times New Roman" w:eastAsia="Times New Roman" w:hAnsi="Times New Roman"/>
          <w:sz w:val="28"/>
          <w:szCs w:val="28"/>
        </w:rPr>
        <w:t xml:space="preserve">и частичное расширение наиболее успешных производств. Предполагается постепенная модернизация инженерной инфраструктуры </w:t>
      </w:r>
      <w:r w:rsidR="004110DD" w:rsidRPr="00577593">
        <w:rPr>
          <w:rFonts w:ascii="Times New Roman" w:eastAsia="Times New Roman" w:hAnsi="Times New Roman"/>
          <w:sz w:val="28"/>
          <w:szCs w:val="28"/>
        </w:rPr>
        <w:br/>
      </w:r>
      <w:r w:rsidRPr="00577593">
        <w:rPr>
          <w:rFonts w:ascii="Times New Roman" w:eastAsia="Times New Roman" w:hAnsi="Times New Roman"/>
          <w:sz w:val="28"/>
          <w:szCs w:val="28"/>
        </w:rPr>
        <w:t>на производственных площадках приоритетных предприятий. Намечен</w:t>
      </w:r>
      <w:r w:rsidR="00C72A7C">
        <w:rPr>
          <w:rFonts w:ascii="Times New Roman" w:eastAsia="Times New Roman" w:hAnsi="Times New Roman"/>
          <w:sz w:val="28"/>
          <w:szCs w:val="28"/>
        </w:rPr>
        <w:t>а</w:t>
      </w:r>
      <w:r w:rsidRPr="00577593">
        <w:rPr>
          <w:rFonts w:ascii="Times New Roman" w:eastAsia="Times New Roman" w:hAnsi="Times New Roman"/>
          <w:sz w:val="28"/>
          <w:szCs w:val="28"/>
        </w:rPr>
        <w:t xml:space="preserve"> </w:t>
      </w:r>
      <w:r w:rsidRPr="00577593">
        <w:rPr>
          <w:rFonts w:ascii="Times New Roman" w:eastAsia="Times New Roman" w:hAnsi="Times New Roman"/>
          <w:sz w:val="28"/>
          <w:szCs w:val="28"/>
        </w:rPr>
        <w:lastRenderedPageBreak/>
        <w:t>реализация проектов и мероприятий, направленных на развитие креативных индустрий, туризма, продвижение местных брендов, усиление существующих, а также формирование новы</w:t>
      </w:r>
      <w:r w:rsidR="00C72A7C">
        <w:rPr>
          <w:rFonts w:ascii="Times New Roman" w:eastAsia="Times New Roman" w:hAnsi="Times New Roman"/>
          <w:sz w:val="28"/>
          <w:szCs w:val="28"/>
        </w:rPr>
        <w:t>х</w:t>
      </w:r>
      <w:r w:rsidRPr="00577593">
        <w:rPr>
          <w:rFonts w:ascii="Times New Roman" w:eastAsia="Times New Roman" w:hAnsi="Times New Roman"/>
          <w:sz w:val="28"/>
          <w:szCs w:val="28"/>
        </w:rPr>
        <w:t xml:space="preserve"> мер поддержки, в частности для МСП, со стороны города. Должна быть сформирована благоприятная инвестиционная среда, оптимизированы процессы предоставления информации со стороны администрации</w:t>
      </w:r>
      <w:r w:rsidR="00C25F3D">
        <w:rPr>
          <w:rFonts w:ascii="Times New Roman" w:eastAsia="Times New Roman" w:hAnsi="Times New Roman"/>
          <w:sz w:val="28"/>
          <w:szCs w:val="28"/>
        </w:rPr>
        <w:t xml:space="preserve"> города Барнаула</w:t>
      </w:r>
      <w:r w:rsidRPr="00577593">
        <w:rPr>
          <w:rFonts w:ascii="Times New Roman" w:eastAsia="Times New Roman" w:hAnsi="Times New Roman"/>
          <w:sz w:val="28"/>
          <w:szCs w:val="28"/>
        </w:rPr>
        <w:t>, получения обратной связи со стороны бизнеса. Планируется построить новую среднюю школу и музыкальную школу. Должна расшириться система социальной поддержки, планируется реализация п</w:t>
      </w:r>
      <w:r w:rsidR="00C72A7C">
        <w:rPr>
          <w:rFonts w:ascii="Times New Roman" w:eastAsia="Times New Roman" w:hAnsi="Times New Roman"/>
          <w:sz w:val="28"/>
          <w:szCs w:val="28"/>
        </w:rPr>
        <w:t xml:space="preserve">роекта «Активное долголетие». В городе </w:t>
      </w:r>
      <w:r w:rsidRPr="00577593">
        <w:rPr>
          <w:rFonts w:ascii="Times New Roman" w:eastAsia="Times New Roman" w:hAnsi="Times New Roman"/>
          <w:sz w:val="28"/>
          <w:szCs w:val="28"/>
        </w:rPr>
        <w:t>Барнауле стартует реализация проектов комплексного развития территорий – пилотный проект КРТ «Поток». В городскую градостроительную практику должны внедряться новые стандарты, направленные на систематизацию проводимой градостроительной политики и улучшение качества жизни барнаульцев. Предполагается сформировать систему участия инвесторов в социальном развитии города, создать электронную интерактивную систему градостроительной деятельности. Должно продолжиться совершенствование системы муниципального управления, необходимо поддерживать достигнутый ранее высокий уровень оказания муниципальных услуг. Постепенно должен обновляться подвижной состав всех видов общественного транспорта и продолжаться модернизация инфраструктуры. Должно улучшиться состояние улиц и дорог города, особенно в пригородной зоне. Планируются ремонт и обновление жилищно-коммунальной инфраструктуры города, в том числе за счет привлечения частных инверторов. Необходимо повысить качество предоставления к</w:t>
      </w:r>
      <w:r w:rsidR="00EB7E3B">
        <w:rPr>
          <w:rFonts w:ascii="Times New Roman" w:eastAsia="Times New Roman" w:hAnsi="Times New Roman"/>
          <w:sz w:val="28"/>
          <w:szCs w:val="28"/>
        </w:rPr>
        <w:t xml:space="preserve">оммунальных и жилищных услуг. В городе </w:t>
      </w:r>
      <w:r w:rsidRPr="00577593">
        <w:rPr>
          <w:rFonts w:ascii="Times New Roman" w:eastAsia="Times New Roman" w:hAnsi="Times New Roman"/>
          <w:sz w:val="28"/>
          <w:szCs w:val="28"/>
        </w:rPr>
        <w:t xml:space="preserve">Барнауле должна активно развиваться комфортная городская среда, продолжится благоустройство общественных пространств и обновление придомовых пространств. </w:t>
      </w:r>
    </w:p>
    <w:p w:rsidR="00FC41F4" w:rsidRPr="00577593" w:rsidRDefault="008925FA" w:rsidP="002000D4">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На втором этапе (2031</w:t>
      </w:r>
      <w:r w:rsidR="00E34E37" w:rsidRPr="00577593">
        <w:rPr>
          <w:rFonts w:ascii="Times New Roman" w:eastAsia="Times New Roman" w:hAnsi="Times New Roman"/>
          <w:sz w:val="28"/>
          <w:szCs w:val="28"/>
        </w:rPr>
        <w:t>-2036 годы</w:t>
      </w:r>
      <w:r w:rsidRPr="00577593">
        <w:rPr>
          <w:rFonts w:ascii="Times New Roman" w:eastAsia="Times New Roman" w:hAnsi="Times New Roman"/>
          <w:sz w:val="28"/>
          <w:szCs w:val="28"/>
        </w:rPr>
        <w:t>) предпола</w:t>
      </w:r>
      <w:r w:rsidR="00F25FA0" w:rsidRPr="00577593">
        <w:rPr>
          <w:rFonts w:ascii="Times New Roman" w:eastAsia="Times New Roman" w:hAnsi="Times New Roman"/>
          <w:sz w:val="28"/>
          <w:szCs w:val="28"/>
        </w:rPr>
        <w:t xml:space="preserve">гается активное внедрение новых технологий </w:t>
      </w:r>
      <w:r w:rsidRPr="00577593">
        <w:rPr>
          <w:rFonts w:ascii="Times New Roman" w:eastAsia="Times New Roman" w:hAnsi="Times New Roman"/>
          <w:sz w:val="28"/>
          <w:szCs w:val="28"/>
        </w:rPr>
        <w:t xml:space="preserve">на передовых производствах </w:t>
      </w:r>
      <w:r w:rsidR="00C72A7C">
        <w:rPr>
          <w:rFonts w:ascii="Times New Roman" w:eastAsia="Times New Roman" w:hAnsi="Times New Roman"/>
          <w:sz w:val="28"/>
          <w:szCs w:val="28"/>
        </w:rPr>
        <w:t xml:space="preserve">города </w:t>
      </w:r>
      <w:r w:rsidRPr="00577593">
        <w:rPr>
          <w:rFonts w:ascii="Times New Roman" w:eastAsia="Times New Roman" w:hAnsi="Times New Roman"/>
          <w:sz w:val="28"/>
          <w:szCs w:val="28"/>
        </w:rPr>
        <w:t xml:space="preserve">Барнаула. Неэффективно используемые производственные площадки должны вовлекаться в инновационное использование. Планируется реализация и масштабирование успешных инвестиционных проектов, показавших позитивные результаты в рамках первого этапа. Должна расширяться сеть объектов социальной инфраструктуры, в том числе с участием внебюджетного финансирования. Планируется построить Центр адаптивной физкультуры и адаптивного спорта. Современный микрорайон на основе проекта КРТ «Поток» должен стать новым центром в Октябрьском районе. В городе должна реализовываться градостроительная политика, ориентированная на компактное развитие и ограничение разрастания городской застройки. В городе могут быть сформированы новые локальные центры. Планируется проводить упреждающую политику расселения аварийного жилья. Ввод нового жилья должен позволить достичь установленных национальных целей по обеспеченности жильем. </w:t>
      </w:r>
      <w:r w:rsidRPr="00577593">
        <w:rPr>
          <w:rFonts w:ascii="Times New Roman" w:eastAsia="Times New Roman" w:hAnsi="Times New Roman"/>
          <w:sz w:val="28"/>
          <w:szCs w:val="28"/>
        </w:rPr>
        <w:lastRenderedPageBreak/>
        <w:t xml:space="preserve">Предполагается, что будет действовать современный комфортный общественный транспорт, появятся мультимодальные транспортные узлы, увеличена доступность, созданы новые маршруты. Должен сформироваться новый транспортно-грузовой каркас города за счет строительства объездной дороги. В </w:t>
      </w:r>
      <w:r w:rsidR="00C72A7C">
        <w:rPr>
          <w:rFonts w:ascii="Times New Roman" w:eastAsia="Times New Roman" w:hAnsi="Times New Roman"/>
          <w:sz w:val="28"/>
          <w:szCs w:val="28"/>
        </w:rPr>
        <w:t>городе Барнауле планируется обновление</w:t>
      </w:r>
      <w:r w:rsidRPr="00577593">
        <w:rPr>
          <w:rFonts w:ascii="Times New Roman" w:eastAsia="Times New Roman" w:hAnsi="Times New Roman"/>
          <w:sz w:val="28"/>
          <w:szCs w:val="28"/>
        </w:rPr>
        <w:t xml:space="preserve"> улично-дорожной сети, формирование сети городских общественных пространств и локальных городских центров. Должна быть реализована концепция единого природно-рекреационного каркаса города.</w:t>
      </w:r>
    </w:p>
    <w:p w:rsidR="00FC41F4" w:rsidRPr="00577593" w:rsidRDefault="008925FA" w:rsidP="002000D4">
      <w:pPr>
        <w:pStyle w:val="2"/>
        <w:spacing w:line="240" w:lineRule="auto"/>
        <w:ind w:firstLine="709"/>
        <w:jc w:val="both"/>
        <w:rPr>
          <w:rFonts w:ascii="Times New Roman" w:eastAsia="Times New Roman" w:hAnsi="Times New Roman"/>
          <w:color w:val="auto"/>
          <w:sz w:val="28"/>
          <w:szCs w:val="28"/>
        </w:rPr>
      </w:pPr>
      <w:bookmarkStart w:id="635" w:name="_Toc212804411"/>
      <w:r w:rsidRPr="00577593">
        <w:rPr>
          <w:rFonts w:ascii="Times New Roman" w:eastAsia="Times New Roman" w:hAnsi="Times New Roman"/>
          <w:color w:val="auto"/>
          <w:sz w:val="28"/>
          <w:szCs w:val="28"/>
        </w:rPr>
        <w:t>12</w:t>
      </w:r>
      <w:r w:rsidR="00C004DC">
        <w:rPr>
          <w:rFonts w:ascii="Times New Roman" w:eastAsia="Times New Roman" w:hAnsi="Times New Roman"/>
          <w:color w:val="auto"/>
          <w:sz w:val="28"/>
          <w:szCs w:val="28"/>
        </w:rPr>
        <w:t>.</w:t>
      </w:r>
      <w:r w:rsidRPr="00577593">
        <w:rPr>
          <w:rFonts w:ascii="Times New Roman" w:eastAsia="Times New Roman" w:hAnsi="Times New Roman"/>
          <w:color w:val="auto"/>
          <w:sz w:val="28"/>
          <w:szCs w:val="28"/>
        </w:rPr>
        <w:t xml:space="preserve"> Система мониторинга и контроля реализации Стратегии</w:t>
      </w:r>
      <w:bookmarkEnd w:id="635"/>
    </w:p>
    <w:p w:rsidR="00FC41F4" w:rsidRPr="00577593" w:rsidRDefault="008925FA" w:rsidP="002000D4">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Мониторинг реализации Стратегии ведется ежегодно посредством сбора информации о фактических значениях показателей реализации Стратегии и показателей достижения целей социально-экономического развития города и сравнения их с целевыми значениями данных показателей.</w:t>
      </w:r>
    </w:p>
    <w:p w:rsidR="00FC41F4" w:rsidRPr="00577593" w:rsidRDefault="008925FA" w:rsidP="002000D4">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Мониторинг выполнения мероприятий, включенных в План мероприятий по реализации Стратегии социально-экономического развития города Барнаула до 2036 года, ведется в рамках мониторинга реализации муниципальных программ.</w:t>
      </w:r>
    </w:p>
    <w:p w:rsidR="00FC41F4" w:rsidRPr="00577593" w:rsidRDefault="008925FA" w:rsidP="002000D4">
      <w:pPr>
        <w:spacing w:after="0" w:line="240" w:lineRule="auto"/>
        <w:ind w:firstLine="709"/>
        <w:jc w:val="both"/>
        <w:rPr>
          <w:rFonts w:ascii="Times New Roman" w:eastAsia="Times New Roman" w:hAnsi="Times New Roman"/>
          <w:sz w:val="28"/>
          <w:szCs w:val="28"/>
        </w:rPr>
      </w:pPr>
      <w:r w:rsidRPr="00577593">
        <w:rPr>
          <w:rFonts w:ascii="Times New Roman" w:eastAsia="Times New Roman" w:hAnsi="Times New Roman"/>
          <w:sz w:val="28"/>
          <w:szCs w:val="28"/>
        </w:rPr>
        <w:t xml:space="preserve">Предусматривается размещение результатов мониторинга реализации Стратегии и выполнения Плана мероприятий на официальном </w:t>
      </w:r>
      <w:r w:rsidR="00C25F3D">
        <w:rPr>
          <w:rFonts w:ascii="Times New Roman" w:eastAsia="Times New Roman" w:hAnsi="Times New Roman"/>
          <w:sz w:val="28"/>
          <w:szCs w:val="28"/>
        </w:rPr>
        <w:t>И</w:t>
      </w:r>
      <w:r w:rsidRPr="00577593">
        <w:rPr>
          <w:rFonts w:ascii="Times New Roman" w:eastAsia="Times New Roman" w:hAnsi="Times New Roman"/>
          <w:sz w:val="28"/>
          <w:szCs w:val="28"/>
        </w:rPr>
        <w:t>нтернет-сайте города Барнаула.</w:t>
      </w:r>
    </w:p>
    <w:p w:rsidR="00FC41F4" w:rsidRPr="00577593" w:rsidRDefault="00FC41F4" w:rsidP="002000D4">
      <w:pPr>
        <w:widowControl w:val="0"/>
        <w:spacing w:after="0" w:line="240" w:lineRule="auto"/>
        <w:jc w:val="both"/>
        <w:rPr>
          <w:rFonts w:ascii="Times New Roman" w:eastAsia="Times New Roman" w:hAnsi="Times New Roman"/>
          <w:sz w:val="28"/>
          <w:szCs w:val="28"/>
          <w:lang w:eastAsia="ru-RU"/>
        </w:rPr>
      </w:pPr>
    </w:p>
    <w:p w:rsidR="00FC41F4" w:rsidRPr="00577593" w:rsidRDefault="00FC41F4" w:rsidP="002000D4">
      <w:pPr>
        <w:keepNext/>
        <w:pageBreakBefore/>
        <w:spacing w:after="0" w:line="240" w:lineRule="auto"/>
        <w:jc w:val="center"/>
        <w:outlineLvl w:val="0"/>
        <w:rPr>
          <w:rFonts w:ascii="Times New Roman" w:eastAsia="Times New Roman" w:hAnsi="Times New Roman"/>
          <w:b/>
          <w:bCs/>
          <w:sz w:val="24"/>
          <w:szCs w:val="24"/>
          <w:lang w:eastAsia="ru-RU"/>
        </w:rPr>
        <w:sectPr w:rsidR="00FC41F4" w:rsidRPr="00577593" w:rsidSect="000B5AE4">
          <w:headerReference w:type="default" r:id="rId81"/>
          <w:headerReference w:type="first" r:id="rId82"/>
          <w:footerReference w:type="first" r:id="rId83"/>
          <w:pgSz w:w="11906" w:h="16838"/>
          <w:pgMar w:top="1134" w:right="737" w:bottom="1134" w:left="1985" w:header="510" w:footer="709" w:gutter="0"/>
          <w:cols w:space="708"/>
          <w:titlePg/>
          <w:docGrid w:linePitch="299"/>
        </w:sectPr>
      </w:pPr>
      <w:bookmarkStart w:id="636" w:name="Приложение"/>
      <w:bookmarkStart w:id="637" w:name="_Toc1372613"/>
    </w:p>
    <w:p w:rsidR="00FC41F4" w:rsidRPr="00577593" w:rsidRDefault="008925FA" w:rsidP="002000D4">
      <w:pPr>
        <w:keepNext/>
        <w:pageBreakBefore/>
        <w:spacing w:after="0" w:line="240" w:lineRule="auto"/>
        <w:jc w:val="right"/>
        <w:outlineLvl w:val="0"/>
        <w:rPr>
          <w:rFonts w:ascii="Times New Roman" w:eastAsia="Times New Roman" w:hAnsi="Times New Roman"/>
          <w:b/>
          <w:bCs/>
          <w:sz w:val="28"/>
          <w:szCs w:val="28"/>
          <w:lang w:eastAsia="ru-RU"/>
        </w:rPr>
      </w:pPr>
      <w:bookmarkStart w:id="638" w:name="_Toc204933451"/>
      <w:bookmarkStart w:id="639" w:name="_Toc212804412"/>
      <w:r w:rsidRPr="00577593">
        <w:rPr>
          <w:rFonts w:ascii="Times New Roman" w:eastAsia="Times New Roman" w:hAnsi="Times New Roman"/>
          <w:b/>
          <w:bCs/>
          <w:sz w:val="28"/>
          <w:szCs w:val="28"/>
          <w:lang w:eastAsia="ru-RU"/>
        </w:rPr>
        <w:lastRenderedPageBreak/>
        <w:t>ПРИЛОЖЕНИЕ</w:t>
      </w:r>
      <w:bookmarkEnd w:id="638"/>
      <w:bookmarkEnd w:id="639"/>
      <w:r w:rsidR="00DC0F15" w:rsidRPr="00577593">
        <w:rPr>
          <w:rFonts w:ascii="Times New Roman" w:eastAsia="Times New Roman" w:hAnsi="Times New Roman"/>
          <w:b/>
          <w:bCs/>
          <w:sz w:val="28"/>
          <w:szCs w:val="28"/>
          <w:lang w:eastAsia="ru-RU"/>
        </w:rPr>
        <w:t xml:space="preserve"> </w:t>
      </w:r>
    </w:p>
    <w:p w:rsidR="00FC41F4" w:rsidRPr="00577593" w:rsidRDefault="008925FA" w:rsidP="002000D4">
      <w:pPr>
        <w:keepNext/>
        <w:spacing w:after="0" w:line="240" w:lineRule="auto"/>
        <w:jc w:val="center"/>
        <w:outlineLvl w:val="0"/>
        <w:rPr>
          <w:rFonts w:ascii="Times New Roman" w:eastAsia="Times New Roman" w:hAnsi="Times New Roman"/>
          <w:b/>
          <w:bCs/>
          <w:sz w:val="28"/>
          <w:szCs w:val="28"/>
          <w:lang w:eastAsia="ru-RU"/>
        </w:rPr>
      </w:pPr>
      <w:bookmarkStart w:id="640" w:name="_Toc212804413"/>
      <w:bookmarkEnd w:id="636"/>
      <w:bookmarkEnd w:id="637"/>
      <w:r w:rsidRPr="00577593">
        <w:rPr>
          <w:rFonts w:ascii="Times New Roman" w:eastAsia="Times New Roman" w:hAnsi="Times New Roman"/>
          <w:b/>
          <w:bCs/>
          <w:sz w:val="28"/>
          <w:szCs w:val="28"/>
          <w:lang w:eastAsia="ru-RU"/>
        </w:rPr>
        <w:t>Перечень целевых показателей реализации Стратегии социально-экономического развития городского округа – города Барнаула Алтайского края на период до 2036 года</w:t>
      </w:r>
      <w:bookmarkEnd w:id="640"/>
    </w:p>
    <w:tbl>
      <w:tblPr>
        <w:tblW w:w="14592"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8"/>
        <w:gridCol w:w="7371"/>
        <w:gridCol w:w="1701"/>
        <w:gridCol w:w="1843"/>
        <w:gridCol w:w="1559"/>
        <w:gridCol w:w="1550"/>
      </w:tblGrid>
      <w:tr w:rsidR="007173BF" w:rsidRPr="00577593" w:rsidTr="000F76C4">
        <w:trPr>
          <w:trHeight w:val="399"/>
          <w:tblHeader/>
        </w:trPr>
        <w:tc>
          <w:tcPr>
            <w:tcW w:w="568" w:type="dxa"/>
            <w:vMerge w:val="restart"/>
          </w:tcPr>
          <w:p w:rsidR="007173BF" w:rsidRPr="00577593" w:rsidRDefault="007173BF" w:rsidP="000F76C4">
            <w:pPr>
              <w:widowControl w:val="0"/>
              <w:spacing w:after="0" w:line="240" w:lineRule="auto"/>
              <w:ind w:left="-113" w:right="-113"/>
              <w:jc w:val="center"/>
              <w:rPr>
                <w:rFonts w:ascii="Times New Roman" w:eastAsia="Times New Roman" w:hAnsi="Times New Roman"/>
                <w:bCs/>
                <w:sz w:val="24"/>
                <w:szCs w:val="24"/>
                <w:lang w:eastAsia="ru-RU"/>
              </w:rPr>
            </w:pPr>
            <w:r w:rsidRPr="00577593">
              <w:rPr>
                <w:rFonts w:ascii="Times New Roman" w:eastAsia="Times New Roman" w:hAnsi="Times New Roman"/>
                <w:bCs/>
                <w:sz w:val="24"/>
                <w:szCs w:val="24"/>
                <w:lang w:eastAsia="ru-RU"/>
              </w:rPr>
              <w:t>№ п/п</w:t>
            </w:r>
          </w:p>
        </w:tc>
        <w:tc>
          <w:tcPr>
            <w:tcW w:w="7371" w:type="dxa"/>
            <w:vMerge w:val="restart"/>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bCs/>
                <w:sz w:val="24"/>
                <w:szCs w:val="24"/>
                <w:lang w:eastAsia="ru-RU"/>
              </w:rPr>
            </w:pPr>
            <w:r w:rsidRPr="00577593">
              <w:rPr>
                <w:rFonts w:ascii="Times New Roman" w:eastAsia="Times New Roman" w:hAnsi="Times New Roman"/>
                <w:bCs/>
                <w:sz w:val="24"/>
                <w:szCs w:val="24"/>
                <w:lang w:eastAsia="ru-RU"/>
              </w:rPr>
              <w:t>Показатель</w:t>
            </w:r>
          </w:p>
        </w:tc>
        <w:tc>
          <w:tcPr>
            <w:tcW w:w="1701" w:type="dxa"/>
            <w:vMerge w:val="restart"/>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bCs/>
                <w:sz w:val="24"/>
                <w:szCs w:val="24"/>
                <w:lang w:eastAsia="ru-RU"/>
              </w:rPr>
            </w:pPr>
            <w:r w:rsidRPr="00577593">
              <w:rPr>
                <w:rFonts w:ascii="Times New Roman" w:eastAsia="Times New Roman" w:hAnsi="Times New Roman"/>
                <w:bCs/>
                <w:sz w:val="24"/>
                <w:szCs w:val="24"/>
                <w:lang w:eastAsia="ru-RU"/>
              </w:rPr>
              <w:t>Единица измерения</w:t>
            </w:r>
          </w:p>
        </w:tc>
        <w:tc>
          <w:tcPr>
            <w:tcW w:w="1843"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bCs/>
                <w:sz w:val="24"/>
                <w:szCs w:val="24"/>
                <w:lang w:eastAsia="ru-RU"/>
              </w:rPr>
            </w:pPr>
            <w:r w:rsidRPr="00577593">
              <w:rPr>
                <w:rFonts w:ascii="Times New Roman" w:eastAsia="Times New Roman" w:hAnsi="Times New Roman"/>
                <w:bCs/>
                <w:sz w:val="24"/>
                <w:szCs w:val="24"/>
                <w:lang w:eastAsia="ru-RU"/>
              </w:rPr>
              <w:t>2024 г.</w:t>
            </w:r>
          </w:p>
        </w:tc>
        <w:tc>
          <w:tcPr>
            <w:tcW w:w="1559"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bCs/>
                <w:sz w:val="24"/>
                <w:szCs w:val="24"/>
                <w:lang w:eastAsia="ru-RU"/>
              </w:rPr>
            </w:pPr>
            <w:r w:rsidRPr="00577593">
              <w:rPr>
                <w:rFonts w:ascii="Times New Roman" w:eastAsia="Times New Roman" w:hAnsi="Times New Roman"/>
                <w:bCs/>
                <w:sz w:val="24"/>
                <w:szCs w:val="24"/>
                <w:lang w:eastAsia="ru-RU"/>
              </w:rPr>
              <w:t>2030 г.</w:t>
            </w:r>
          </w:p>
        </w:tc>
        <w:tc>
          <w:tcPr>
            <w:tcW w:w="1550"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bCs/>
                <w:sz w:val="24"/>
                <w:szCs w:val="24"/>
                <w:lang w:eastAsia="ru-RU"/>
              </w:rPr>
            </w:pPr>
            <w:r w:rsidRPr="00577593">
              <w:rPr>
                <w:rFonts w:ascii="Times New Roman" w:eastAsia="Times New Roman" w:hAnsi="Times New Roman"/>
                <w:bCs/>
                <w:sz w:val="24"/>
                <w:szCs w:val="24"/>
                <w:lang w:eastAsia="ru-RU"/>
              </w:rPr>
              <w:t>2036 г.</w:t>
            </w:r>
          </w:p>
        </w:tc>
      </w:tr>
      <w:tr w:rsidR="007173BF" w:rsidRPr="00577593" w:rsidTr="000F76C4">
        <w:trPr>
          <w:trHeight w:val="399"/>
          <w:tblHeader/>
        </w:trPr>
        <w:tc>
          <w:tcPr>
            <w:tcW w:w="568" w:type="dxa"/>
            <w:vMerge/>
          </w:tcPr>
          <w:p w:rsidR="007173BF" w:rsidRPr="00577593" w:rsidRDefault="007173BF" w:rsidP="000F76C4">
            <w:pPr>
              <w:widowControl w:val="0"/>
              <w:spacing w:after="0" w:line="240" w:lineRule="auto"/>
              <w:ind w:left="-113" w:right="-113"/>
              <w:jc w:val="center"/>
              <w:rPr>
                <w:rFonts w:ascii="Times New Roman" w:eastAsia="Times New Roman" w:hAnsi="Times New Roman"/>
                <w:bCs/>
                <w:sz w:val="24"/>
                <w:szCs w:val="24"/>
                <w:lang w:eastAsia="ru-RU"/>
              </w:rPr>
            </w:pPr>
          </w:p>
        </w:tc>
        <w:tc>
          <w:tcPr>
            <w:tcW w:w="7371" w:type="dxa"/>
            <w:vMerge/>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bCs/>
                <w:sz w:val="24"/>
                <w:szCs w:val="24"/>
                <w:lang w:eastAsia="ru-RU"/>
              </w:rPr>
            </w:pPr>
          </w:p>
        </w:tc>
        <w:tc>
          <w:tcPr>
            <w:tcW w:w="1701" w:type="dxa"/>
            <w:vMerge/>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bCs/>
                <w:sz w:val="24"/>
                <w:szCs w:val="24"/>
                <w:lang w:eastAsia="ru-RU"/>
              </w:rPr>
            </w:pPr>
          </w:p>
        </w:tc>
        <w:tc>
          <w:tcPr>
            <w:tcW w:w="1843"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bCs/>
                <w:sz w:val="24"/>
                <w:szCs w:val="24"/>
                <w:lang w:eastAsia="ru-RU"/>
              </w:rPr>
            </w:pPr>
            <w:r w:rsidRPr="00577593">
              <w:rPr>
                <w:rFonts w:ascii="Times New Roman" w:eastAsia="Times New Roman" w:hAnsi="Times New Roman"/>
                <w:bCs/>
                <w:sz w:val="24"/>
                <w:szCs w:val="24"/>
                <w:lang w:eastAsia="ru-RU"/>
              </w:rPr>
              <w:t>факт</w:t>
            </w:r>
          </w:p>
        </w:tc>
        <w:tc>
          <w:tcPr>
            <w:tcW w:w="3109" w:type="dxa"/>
            <w:gridSpan w:val="2"/>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bCs/>
                <w:sz w:val="24"/>
                <w:szCs w:val="24"/>
                <w:lang w:eastAsia="ru-RU"/>
              </w:rPr>
            </w:pPr>
            <w:r w:rsidRPr="00577593">
              <w:rPr>
                <w:rFonts w:ascii="Times New Roman" w:eastAsia="Times New Roman" w:hAnsi="Times New Roman"/>
                <w:bCs/>
                <w:sz w:val="24"/>
                <w:szCs w:val="24"/>
                <w:lang w:eastAsia="ru-RU"/>
              </w:rPr>
              <w:t>план</w:t>
            </w:r>
          </w:p>
        </w:tc>
      </w:tr>
      <w:tr w:rsidR="007173BF" w:rsidRPr="00577593" w:rsidTr="000F76C4">
        <w:trPr>
          <w:trHeight w:val="399"/>
        </w:trPr>
        <w:tc>
          <w:tcPr>
            <w:tcW w:w="14592" w:type="dxa"/>
            <w:gridSpan w:val="6"/>
          </w:tcPr>
          <w:p w:rsidR="007173BF" w:rsidRPr="00577593" w:rsidRDefault="007173BF" w:rsidP="000F76C4">
            <w:pPr>
              <w:widowControl w:val="0"/>
              <w:spacing w:after="0" w:line="240" w:lineRule="auto"/>
              <w:ind w:left="-113" w:right="-113"/>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Основные показатели (общие для Стратегии)</w:t>
            </w:r>
          </w:p>
        </w:tc>
      </w:tr>
      <w:tr w:rsidR="007173BF" w:rsidRPr="00577593" w:rsidTr="000F76C4">
        <w:trPr>
          <w:trHeight w:val="399"/>
        </w:trPr>
        <w:tc>
          <w:tcPr>
            <w:tcW w:w="568" w:type="dxa"/>
          </w:tcPr>
          <w:p w:rsidR="007173BF" w:rsidRPr="00577593" w:rsidRDefault="007173BF" w:rsidP="000F76C4">
            <w:pPr>
              <w:widowControl w:val="0"/>
              <w:spacing w:after="0" w:line="240" w:lineRule="auto"/>
              <w:ind w:left="-113" w:right="-113"/>
              <w:jc w:val="center"/>
              <w:rPr>
                <w:rFonts w:ascii="Times New Roman" w:hAnsi="Times New Roman"/>
                <w:sz w:val="24"/>
                <w:szCs w:val="24"/>
              </w:rPr>
            </w:pPr>
            <w:r w:rsidRPr="00577593">
              <w:rPr>
                <w:rFonts w:ascii="Times New Roman" w:hAnsi="Times New Roman"/>
                <w:sz w:val="24"/>
                <w:szCs w:val="24"/>
              </w:rPr>
              <w:t>1.</w:t>
            </w:r>
          </w:p>
        </w:tc>
        <w:tc>
          <w:tcPr>
            <w:tcW w:w="7371" w:type="dxa"/>
            <w:shd w:val="clear" w:color="auto" w:fill="auto"/>
          </w:tcPr>
          <w:p w:rsidR="007173BF" w:rsidRPr="00577593" w:rsidRDefault="007173BF" w:rsidP="002000D4">
            <w:pPr>
              <w:widowControl w:val="0"/>
              <w:spacing w:after="0" w:line="240" w:lineRule="auto"/>
              <w:jc w:val="both"/>
              <w:rPr>
                <w:rFonts w:ascii="Times New Roman" w:eastAsia="Times New Roman" w:hAnsi="Times New Roman"/>
                <w:sz w:val="24"/>
                <w:szCs w:val="24"/>
                <w:lang w:eastAsia="ru-RU"/>
              </w:rPr>
            </w:pPr>
            <w:r w:rsidRPr="00577593">
              <w:rPr>
                <w:rFonts w:ascii="Times New Roman" w:hAnsi="Times New Roman"/>
                <w:sz w:val="24"/>
                <w:szCs w:val="24"/>
              </w:rPr>
              <w:t>Численность постоянного населения</w:t>
            </w:r>
          </w:p>
        </w:tc>
        <w:tc>
          <w:tcPr>
            <w:tcW w:w="1701" w:type="dxa"/>
            <w:shd w:val="clear" w:color="auto" w:fill="auto"/>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тыс. человек</w:t>
            </w:r>
          </w:p>
        </w:tc>
        <w:tc>
          <w:tcPr>
            <w:tcW w:w="1843" w:type="dxa"/>
            <w:shd w:val="clear" w:color="auto" w:fill="auto"/>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688,8</w:t>
            </w:r>
          </w:p>
        </w:tc>
        <w:tc>
          <w:tcPr>
            <w:tcW w:w="1559" w:type="dxa"/>
            <w:shd w:val="clear" w:color="auto" w:fill="auto"/>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691,0</w:t>
            </w:r>
          </w:p>
        </w:tc>
        <w:tc>
          <w:tcPr>
            <w:tcW w:w="1550" w:type="dxa"/>
            <w:shd w:val="clear" w:color="auto" w:fill="auto"/>
          </w:tcPr>
          <w:p w:rsidR="007173BF" w:rsidRPr="00577593" w:rsidRDefault="007173BF" w:rsidP="000F76C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695,3</w:t>
            </w:r>
          </w:p>
        </w:tc>
      </w:tr>
      <w:tr w:rsidR="007173BF" w:rsidRPr="00577593" w:rsidTr="000F76C4">
        <w:trPr>
          <w:trHeight w:val="660"/>
        </w:trPr>
        <w:tc>
          <w:tcPr>
            <w:tcW w:w="568" w:type="dxa"/>
          </w:tcPr>
          <w:p w:rsidR="007173BF" w:rsidRPr="00577593" w:rsidRDefault="000F76C4" w:rsidP="000F76C4">
            <w:pPr>
              <w:widowControl w:val="0"/>
              <w:spacing w:after="0" w:line="240" w:lineRule="auto"/>
              <w:ind w:left="-113" w:right="-113"/>
              <w:jc w:val="center"/>
              <w:rPr>
                <w:rFonts w:ascii="Times New Roman" w:hAnsi="Times New Roman"/>
                <w:sz w:val="24"/>
                <w:szCs w:val="24"/>
              </w:rPr>
            </w:pPr>
            <w:r>
              <w:rPr>
                <w:rFonts w:ascii="Times New Roman" w:hAnsi="Times New Roman"/>
                <w:sz w:val="24"/>
                <w:szCs w:val="24"/>
              </w:rPr>
              <w:t>2</w:t>
            </w:r>
            <w:r w:rsidR="007173BF" w:rsidRPr="00577593">
              <w:rPr>
                <w:rFonts w:ascii="Times New Roman" w:hAnsi="Times New Roman"/>
                <w:sz w:val="24"/>
                <w:szCs w:val="24"/>
              </w:rPr>
              <w:t>.</w:t>
            </w:r>
          </w:p>
        </w:tc>
        <w:tc>
          <w:tcPr>
            <w:tcW w:w="7371" w:type="dxa"/>
            <w:shd w:val="clear" w:color="auto" w:fill="auto"/>
          </w:tcPr>
          <w:p w:rsidR="007173BF" w:rsidRPr="00577593" w:rsidRDefault="007173BF" w:rsidP="002000D4">
            <w:pPr>
              <w:widowControl w:val="0"/>
              <w:spacing w:after="0" w:line="240" w:lineRule="auto"/>
              <w:jc w:val="both"/>
              <w:rPr>
                <w:rFonts w:ascii="Times New Roman" w:eastAsia="Times New Roman" w:hAnsi="Times New Roman"/>
                <w:sz w:val="24"/>
                <w:szCs w:val="24"/>
                <w:lang w:eastAsia="ru-RU"/>
              </w:rPr>
            </w:pPr>
            <w:r w:rsidRPr="00577593">
              <w:rPr>
                <w:rFonts w:ascii="Times New Roman" w:hAnsi="Times New Roman"/>
                <w:sz w:val="24"/>
                <w:szCs w:val="24"/>
              </w:rPr>
              <w:t>Прирост объема инвестиций в основной капитал</w:t>
            </w:r>
          </w:p>
        </w:tc>
        <w:tc>
          <w:tcPr>
            <w:tcW w:w="1701" w:type="dxa"/>
            <w:shd w:val="clear" w:color="auto" w:fill="auto"/>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 к 2020 г.</w:t>
            </w:r>
          </w:p>
        </w:tc>
        <w:tc>
          <w:tcPr>
            <w:tcW w:w="1843" w:type="dxa"/>
            <w:shd w:val="clear" w:color="auto" w:fill="auto"/>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39,4</w:t>
            </w:r>
          </w:p>
        </w:tc>
        <w:tc>
          <w:tcPr>
            <w:tcW w:w="1559" w:type="dxa"/>
            <w:shd w:val="clear" w:color="auto" w:fill="auto"/>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60,0</w:t>
            </w:r>
          </w:p>
        </w:tc>
        <w:tc>
          <w:tcPr>
            <w:tcW w:w="1550" w:type="dxa"/>
            <w:shd w:val="clear" w:color="auto" w:fill="auto"/>
          </w:tcPr>
          <w:p w:rsidR="007173BF" w:rsidRPr="00577593" w:rsidRDefault="007173BF" w:rsidP="000F76C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97,0</w:t>
            </w:r>
          </w:p>
        </w:tc>
      </w:tr>
      <w:tr w:rsidR="007173BF" w:rsidRPr="00577593" w:rsidTr="000F76C4">
        <w:trPr>
          <w:trHeight w:val="399"/>
        </w:trPr>
        <w:tc>
          <w:tcPr>
            <w:tcW w:w="568" w:type="dxa"/>
          </w:tcPr>
          <w:p w:rsidR="007173BF" w:rsidRPr="00577593" w:rsidRDefault="000F76C4" w:rsidP="000F76C4">
            <w:pPr>
              <w:widowControl w:val="0"/>
              <w:spacing w:after="0" w:line="240" w:lineRule="auto"/>
              <w:ind w:left="-113" w:right="-113"/>
              <w:jc w:val="center"/>
              <w:rPr>
                <w:rFonts w:ascii="Times New Roman" w:hAnsi="Times New Roman"/>
                <w:sz w:val="24"/>
                <w:szCs w:val="24"/>
              </w:rPr>
            </w:pPr>
            <w:r>
              <w:rPr>
                <w:rFonts w:ascii="Times New Roman" w:hAnsi="Times New Roman"/>
                <w:sz w:val="24"/>
                <w:szCs w:val="24"/>
              </w:rPr>
              <w:t>3</w:t>
            </w:r>
            <w:r w:rsidR="007173BF" w:rsidRPr="00577593">
              <w:rPr>
                <w:rFonts w:ascii="Times New Roman" w:hAnsi="Times New Roman"/>
                <w:sz w:val="24"/>
                <w:szCs w:val="24"/>
              </w:rPr>
              <w:t>.</w:t>
            </w:r>
          </w:p>
        </w:tc>
        <w:tc>
          <w:tcPr>
            <w:tcW w:w="7371" w:type="dxa"/>
            <w:shd w:val="clear" w:color="auto" w:fill="auto"/>
          </w:tcPr>
          <w:p w:rsidR="007173BF" w:rsidRPr="00577593" w:rsidRDefault="007173BF" w:rsidP="002000D4">
            <w:pPr>
              <w:widowControl w:val="0"/>
              <w:spacing w:after="0" w:line="240" w:lineRule="auto"/>
              <w:jc w:val="both"/>
              <w:rPr>
                <w:rFonts w:ascii="Times New Roman" w:eastAsia="Times New Roman" w:hAnsi="Times New Roman"/>
                <w:sz w:val="24"/>
                <w:szCs w:val="24"/>
                <w:lang w:eastAsia="ru-RU"/>
              </w:rPr>
            </w:pPr>
            <w:r w:rsidRPr="00577593">
              <w:rPr>
                <w:rFonts w:ascii="Times New Roman" w:hAnsi="Times New Roman"/>
                <w:sz w:val="24"/>
                <w:szCs w:val="24"/>
              </w:rPr>
              <w:t>Общая площадь жилых помещений, приходящаяся в среднем на одного жителя</w:t>
            </w:r>
          </w:p>
        </w:tc>
        <w:tc>
          <w:tcPr>
            <w:tcW w:w="1701" w:type="dxa"/>
            <w:shd w:val="clear" w:color="auto" w:fill="auto"/>
          </w:tcPr>
          <w:p w:rsidR="007173BF" w:rsidRPr="00577593" w:rsidRDefault="00AD5B3C"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кв.</w:t>
            </w:r>
            <w:r w:rsidR="000F76C4">
              <w:rPr>
                <w:rFonts w:ascii="Times New Roman" w:hAnsi="Times New Roman"/>
                <w:sz w:val="24"/>
                <w:szCs w:val="24"/>
              </w:rPr>
              <w:t xml:space="preserve"> </w:t>
            </w:r>
            <w:r w:rsidRPr="00577593">
              <w:rPr>
                <w:rFonts w:ascii="Times New Roman" w:hAnsi="Times New Roman"/>
                <w:sz w:val="24"/>
                <w:szCs w:val="24"/>
              </w:rPr>
              <w:t>м</w:t>
            </w:r>
          </w:p>
        </w:tc>
        <w:tc>
          <w:tcPr>
            <w:tcW w:w="1843" w:type="dxa"/>
            <w:shd w:val="clear" w:color="auto" w:fill="auto"/>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28,3</w:t>
            </w:r>
          </w:p>
        </w:tc>
        <w:tc>
          <w:tcPr>
            <w:tcW w:w="1559" w:type="dxa"/>
            <w:shd w:val="clear" w:color="auto" w:fill="auto"/>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31,6</w:t>
            </w:r>
          </w:p>
        </w:tc>
        <w:tc>
          <w:tcPr>
            <w:tcW w:w="1550" w:type="dxa"/>
            <w:shd w:val="clear" w:color="auto" w:fill="auto"/>
          </w:tcPr>
          <w:p w:rsidR="007173BF" w:rsidRPr="00577593" w:rsidRDefault="007173BF" w:rsidP="000F76C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34,4</w:t>
            </w:r>
          </w:p>
        </w:tc>
      </w:tr>
      <w:tr w:rsidR="007173BF" w:rsidRPr="00577593" w:rsidTr="000F76C4">
        <w:trPr>
          <w:trHeight w:val="399"/>
        </w:trPr>
        <w:tc>
          <w:tcPr>
            <w:tcW w:w="568" w:type="dxa"/>
          </w:tcPr>
          <w:p w:rsidR="007173BF" w:rsidRPr="00577593" w:rsidRDefault="000F76C4" w:rsidP="000F76C4">
            <w:pPr>
              <w:widowControl w:val="0"/>
              <w:spacing w:after="0" w:line="240" w:lineRule="auto"/>
              <w:ind w:left="-113" w:right="-113"/>
              <w:jc w:val="center"/>
              <w:rPr>
                <w:rFonts w:ascii="Times New Roman" w:hAnsi="Times New Roman"/>
                <w:sz w:val="24"/>
                <w:szCs w:val="24"/>
              </w:rPr>
            </w:pPr>
            <w:r>
              <w:rPr>
                <w:rFonts w:ascii="Times New Roman" w:hAnsi="Times New Roman"/>
                <w:sz w:val="24"/>
                <w:szCs w:val="24"/>
              </w:rPr>
              <w:t>4</w:t>
            </w:r>
            <w:r w:rsidR="007173BF" w:rsidRPr="00577593">
              <w:rPr>
                <w:rFonts w:ascii="Times New Roman" w:hAnsi="Times New Roman"/>
                <w:sz w:val="24"/>
                <w:szCs w:val="24"/>
              </w:rPr>
              <w:t>.</w:t>
            </w:r>
          </w:p>
        </w:tc>
        <w:tc>
          <w:tcPr>
            <w:tcW w:w="7371" w:type="dxa"/>
            <w:shd w:val="clear" w:color="auto" w:fill="auto"/>
          </w:tcPr>
          <w:p w:rsidR="007173BF" w:rsidRPr="00577593" w:rsidRDefault="007173BF" w:rsidP="002000D4">
            <w:pPr>
              <w:widowControl w:val="0"/>
              <w:spacing w:after="0" w:line="240" w:lineRule="auto"/>
              <w:jc w:val="both"/>
              <w:rPr>
                <w:rFonts w:ascii="Times New Roman" w:eastAsia="Times New Roman" w:hAnsi="Times New Roman"/>
                <w:sz w:val="24"/>
                <w:szCs w:val="24"/>
                <w:lang w:eastAsia="ru-RU"/>
              </w:rPr>
            </w:pPr>
            <w:r w:rsidRPr="00577593">
              <w:rPr>
                <w:rFonts w:ascii="Times New Roman" w:hAnsi="Times New Roman"/>
                <w:sz w:val="24"/>
                <w:szCs w:val="24"/>
              </w:rPr>
              <w:t>Количество благоустроенных общественных территорий (ежегодно с 2025 по 2036 годы)</w:t>
            </w:r>
          </w:p>
        </w:tc>
        <w:tc>
          <w:tcPr>
            <w:tcW w:w="1701" w:type="dxa"/>
            <w:shd w:val="clear" w:color="auto" w:fill="auto"/>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единиц</w:t>
            </w:r>
          </w:p>
        </w:tc>
        <w:tc>
          <w:tcPr>
            <w:tcW w:w="1843" w:type="dxa"/>
            <w:shd w:val="clear" w:color="auto" w:fill="auto"/>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3</w:t>
            </w:r>
          </w:p>
        </w:tc>
        <w:tc>
          <w:tcPr>
            <w:tcW w:w="1559" w:type="dxa"/>
            <w:shd w:val="clear" w:color="auto" w:fill="auto"/>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не менее 2</w:t>
            </w:r>
          </w:p>
        </w:tc>
        <w:tc>
          <w:tcPr>
            <w:tcW w:w="1550" w:type="dxa"/>
            <w:shd w:val="clear" w:color="auto" w:fill="auto"/>
          </w:tcPr>
          <w:p w:rsidR="007173BF" w:rsidRPr="00577593" w:rsidRDefault="007173BF" w:rsidP="000F76C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не менее 2</w:t>
            </w:r>
          </w:p>
        </w:tc>
      </w:tr>
      <w:tr w:rsidR="00CA62BF" w:rsidRPr="00577593" w:rsidTr="000F76C4">
        <w:trPr>
          <w:trHeight w:val="399"/>
        </w:trPr>
        <w:tc>
          <w:tcPr>
            <w:tcW w:w="14592" w:type="dxa"/>
            <w:gridSpan w:val="6"/>
          </w:tcPr>
          <w:p w:rsidR="00CA62BF" w:rsidRPr="00577593" w:rsidRDefault="00CA62BF" w:rsidP="000F76C4">
            <w:pPr>
              <w:widowControl w:val="0"/>
              <w:spacing w:after="0" w:line="240" w:lineRule="auto"/>
              <w:ind w:left="-113" w:right="-113"/>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Цель 1. Обеспечение динамичного развития экономики города</w:t>
            </w:r>
          </w:p>
        </w:tc>
      </w:tr>
      <w:tr w:rsidR="00CA62BF" w:rsidRPr="00577593" w:rsidTr="000F76C4">
        <w:trPr>
          <w:trHeight w:val="399"/>
        </w:trPr>
        <w:tc>
          <w:tcPr>
            <w:tcW w:w="14592" w:type="dxa"/>
            <w:gridSpan w:val="6"/>
          </w:tcPr>
          <w:p w:rsidR="00CA62BF" w:rsidRPr="00577593" w:rsidRDefault="00CA62BF" w:rsidP="000F76C4">
            <w:pPr>
              <w:widowControl w:val="0"/>
              <w:spacing w:after="0" w:line="240" w:lineRule="auto"/>
              <w:ind w:left="-113" w:right="-113"/>
              <w:jc w:val="both"/>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1.1. Создание благоприятных условий для развития малого и среднего предпринимательства</w:t>
            </w:r>
          </w:p>
        </w:tc>
      </w:tr>
      <w:tr w:rsidR="007173BF" w:rsidRPr="00577593" w:rsidTr="000F76C4">
        <w:trPr>
          <w:trHeight w:val="581"/>
        </w:trPr>
        <w:tc>
          <w:tcPr>
            <w:tcW w:w="568" w:type="dxa"/>
          </w:tcPr>
          <w:p w:rsidR="007173BF" w:rsidRPr="00577593" w:rsidRDefault="00CA62BF" w:rsidP="000F76C4">
            <w:pPr>
              <w:widowControl w:val="0"/>
              <w:spacing w:after="0" w:line="240" w:lineRule="auto"/>
              <w:ind w:left="-113" w:right="-113"/>
              <w:jc w:val="center"/>
              <w:rPr>
                <w:rFonts w:ascii="Times New Roman" w:hAnsi="Times New Roman"/>
                <w:sz w:val="24"/>
                <w:szCs w:val="24"/>
              </w:rPr>
            </w:pPr>
            <w:r w:rsidRPr="00577593">
              <w:rPr>
                <w:rFonts w:ascii="Times New Roman" w:hAnsi="Times New Roman"/>
                <w:sz w:val="24"/>
                <w:szCs w:val="24"/>
              </w:rPr>
              <w:t>1.1.1</w:t>
            </w:r>
          </w:p>
        </w:tc>
        <w:tc>
          <w:tcPr>
            <w:tcW w:w="7371" w:type="dxa"/>
            <w:shd w:val="clear" w:color="auto" w:fill="auto"/>
          </w:tcPr>
          <w:p w:rsidR="007173BF" w:rsidRPr="00577593" w:rsidRDefault="007173BF" w:rsidP="000F76C4">
            <w:pPr>
              <w:widowControl w:val="0"/>
              <w:spacing w:after="0" w:line="240" w:lineRule="auto"/>
              <w:jc w:val="both"/>
              <w:rPr>
                <w:rFonts w:ascii="Times New Roman" w:eastAsia="Times New Roman" w:hAnsi="Times New Roman"/>
                <w:sz w:val="24"/>
                <w:szCs w:val="24"/>
                <w:lang w:eastAsia="ru-RU"/>
              </w:rPr>
            </w:pPr>
            <w:r w:rsidRPr="00577593">
              <w:rPr>
                <w:rFonts w:ascii="Times New Roman" w:hAnsi="Times New Roman"/>
                <w:sz w:val="24"/>
                <w:szCs w:val="24"/>
              </w:rPr>
              <w:t>Число субъектов малого и среднего предпринимательства в расчете на 10 тысяч человек населения</w:t>
            </w:r>
          </w:p>
        </w:tc>
        <w:tc>
          <w:tcPr>
            <w:tcW w:w="1701"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единиц</w:t>
            </w:r>
          </w:p>
        </w:tc>
        <w:tc>
          <w:tcPr>
            <w:tcW w:w="1843" w:type="dxa"/>
            <w:shd w:val="clear" w:color="auto" w:fill="auto"/>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595</w:t>
            </w:r>
          </w:p>
        </w:tc>
        <w:tc>
          <w:tcPr>
            <w:tcW w:w="1559" w:type="dxa"/>
            <w:shd w:val="clear" w:color="auto" w:fill="auto"/>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610</w:t>
            </w:r>
          </w:p>
        </w:tc>
        <w:tc>
          <w:tcPr>
            <w:tcW w:w="1550" w:type="dxa"/>
            <w:shd w:val="clear" w:color="auto" w:fill="auto"/>
          </w:tcPr>
          <w:p w:rsidR="007173BF" w:rsidRPr="00577593" w:rsidRDefault="007173BF" w:rsidP="000F76C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620</w:t>
            </w:r>
          </w:p>
        </w:tc>
      </w:tr>
      <w:tr w:rsidR="007173BF" w:rsidRPr="00577593" w:rsidTr="000F76C4">
        <w:trPr>
          <w:trHeight w:val="399"/>
        </w:trPr>
        <w:tc>
          <w:tcPr>
            <w:tcW w:w="568" w:type="dxa"/>
          </w:tcPr>
          <w:p w:rsidR="007173BF" w:rsidRPr="00577593" w:rsidRDefault="00CA62BF" w:rsidP="000F76C4">
            <w:pPr>
              <w:widowControl w:val="0"/>
              <w:spacing w:after="0" w:line="240" w:lineRule="auto"/>
              <w:ind w:left="-113" w:right="-113"/>
              <w:jc w:val="center"/>
              <w:rPr>
                <w:rFonts w:ascii="Times New Roman" w:hAnsi="Times New Roman"/>
                <w:sz w:val="24"/>
                <w:szCs w:val="24"/>
              </w:rPr>
            </w:pPr>
            <w:r w:rsidRPr="00577593">
              <w:rPr>
                <w:rFonts w:ascii="Times New Roman" w:hAnsi="Times New Roman"/>
                <w:sz w:val="24"/>
                <w:szCs w:val="24"/>
              </w:rPr>
              <w:t>1.1.2</w:t>
            </w:r>
          </w:p>
        </w:tc>
        <w:tc>
          <w:tcPr>
            <w:tcW w:w="7371" w:type="dxa"/>
            <w:shd w:val="clear" w:color="auto" w:fill="auto"/>
          </w:tcPr>
          <w:p w:rsidR="007173BF" w:rsidRPr="00577593" w:rsidRDefault="000F76C4" w:rsidP="000F76C4">
            <w:pPr>
              <w:widowControl w:val="0"/>
              <w:spacing w:after="0" w:line="240" w:lineRule="auto"/>
              <w:jc w:val="both"/>
              <w:rPr>
                <w:rFonts w:ascii="Times New Roman" w:eastAsia="Times New Roman" w:hAnsi="Times New Roman"/>
                <w:sz w:val="24"/>
                <w:szCs w:val="24"/>
                <w:lang w:eastAsia="ru-RU"/>
              </w:rPr>
            </w:pPr>
            <w:r w:rsidRPr="000F76C4">
              <w:rPr>
                <w:rFonts w:ascii="Times New Roman" w:hAnsi="Times New Roman"/>
                <w:sz w:val="24"/>
                <w:szCs w:val="24"/>
              </w:rPr>
              <w:t>Темп роста налоговых платежей, уплаченных с доходов СМСП</w:t>
            </w:r>
            <w:r>
              <w:rPr>
                <w:rFonts w:ascii="Times New Roman" w:hAnsi="Times New Roman"/>
                <w:sz w:val="24"/>
                <w:szCs w:val="24"/>
              </w:rPr>
              <w:t xml:space="preserve"> </w:t>
            </w:r>
            <w:r>
              <w:rPr>
                <w:rFonts w:ascii="Times New Roman" w:hAnsi="Times New Roman"/>
                <w:sz w:val="24"/>
                <w:szCs w:val="24"/>
              </w:rPr>
              <w:br/>
              <w:t>к уровню 2022 года</w:t>
            </w:r>
          </w:p>
        </w:tc>
        <w:tc>
          <w:tcPr>
            <w:tcW w:w="1701"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w:t>
            </w:r>
          </w:p>
        </w:tc>
        <w:tc>
          <w:tcPr>
            <w:tcW w:w="1843" w:type="dxa"/>
            <w:shd w:val="clear" w:color="auto" w:fill="auto"/>
          </w:tcPr>
          <w:p w:rsidR="007173BF" w:rsidRPr="00577593" w:rsidRDefault="000F76C4" w:rsidP="002000D4">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143,1</w:t>
            </w:r>
          </w:p>
        </w:tc>
        <w:tc>
          <w:tcPr>
            <w:tcW w:w="1559" w:type="dxa"/>
            <w:shd w:val="clear" w:color="auto" w:fill="auto"/>
          </w:tcPr>
          <w:p w:rsidR="007173BF" w:rsidRPr="00577593" w:rsidRDefault="000F76C4" w:rsidP="002000D4">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200,8</w:t>
            </w:r>
          </w:p>
        </w:tc>
        <w:tc>
          <w:tcPr>
            <w:tcW w:w="1550" w:type="dxa"/>
            <w:shd w:val="clear" w:color="auto" w:fill="auto"/>
          </w:tcPr>
          <w:p w:rsidR="007173BF" w:rsidRPr="00577593" w:rsidRDefault="000F76C4" w:rsidP="000F76C4">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251,1</w:t>
            </w:r>
          </w:p>
        </w:tc>
      </w:tr>
      <w:tr w:rsidR="00CA62BF" w:rsidRPr="00577593" w:rsidTr="000F76C4">
        <w:trPr>
          <w:trHeight w:val="399"/>
        </w:trPr>
        <w:tc>
          <w:tcPr>
            <w:tcW w:w="14592" w:type="dxa"/>
            <w:gridSpan w:val="6"/>
          </w:tcPr>
          <w:p w:rsidR="00CA62BF" w:rsidRPr="00577593" w:rsidRDefault="00CA62BF" w:rsidP="000F76C4">
            <w:pPr>
              <w:widowControl w:val="0"/>
              <w:spacing w:after="0" w:line="240" w:lineRule="auto"/>
              <w:ind w:left="-113" w:right="-113"/>
              <w:jc w:val="both"/>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1.2. Повышение инвестиционной привлекательности города</w:t>
            </w:r>
          </w:p>
        </w:tc>
      </w:tr>
      <w:tr w:rsidR="007173BF" w:rsidRPr="00577593" w:rsidTr="000F76C4">
        <w:trPr>
          <w:trHeight w:val="627"/>
        </w:trPr>
        <w:tc>
          <w:tcPr>
            <w:tcW w:w="568" w:type="dxa"/>
          </w:tcPr>
          <w:p w:rsidR="007173BF" w:rsidRPr="00577593" w:rsidRDefault="00CA62BF" w:rsidP="000F76C4">
            <w:pPr>
              <w:widowControl w:val="0"/>
              <w:spacing w:after="0" w:line="240" w:lineRule="auto"/>
              <w:ind w:left="-113" w:right="-113"/>
              <w:jc w:val="center"/>
              <w:rPr>
                <w:rFonts w:ascii="Times New Roman" w:hAnsi="Times New Roman"/>
                <w:sz w:val="24"/>
                <w:szCs w:val="24"/>
              </w:rPr>
            </w:pPr>
            <w:r w:rsidRPr="00577593">
              <w:rPr>
                <w:rFonts w:ascii="Times New Roman" w:hAnsi="Times New Roman"/>
                <w:sz w:val="24"/>
                <w:szCs w:val="24"/>
              </w:rPr>
              <w:t>1.2.1.</w:t>
            </w:r>
          </w:p>
        </w:tc>
        <w:tc>
          <w:tcPr>
            <w:tcW w:w="7371" w:type="dxa"/>
            <w:shd w:val="clear" w:color="auto" w:fill="auto"/>
          </w:tcPr>
          <w:p w:rsidR="007173BF" w:rsidRPr="00577593" w:rsidRDefault="007173BF" w:rsidP="000F76C4">
            <w:pPr>
              <w:widowControl w:val="0"/>
              <w:spacing w:after="0" w:line="240" w:lineRule="auto"/>
              <w:jc w:val="both"/>
              <w:rPr>
                <w:rFonts w:ascii="Times New Roman" w:eastAsia="Times New Roman" w:hAnsi="Times New Roman"/>
                <w:sz w:val="24"/>
                <w:szCs w:val="24"/>
                <w:lang w:eastAsia="ru-RU"/>
              </w:rPr>
            </w:pPr>
            <w:r w:rsidRPr="00577593">
              <w:rPr>
                <w:rFonts w:ascii="Times New Roman" w:hAnsi="Times New Roman"/>
                <w:sz w:val="24"/>
                <w:szCs w:val="24"/>
              </w:rPr>
              <w:t>Прирост объема инвестиций в основной капитал</w:t>
            </w:r>
          </w:p>
        </w:tc>
        <w:tc>
          <w:tcPr>
            <w:tcW w:w="1701"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 к 2020 г.</w:t>
            </w:r>
          </w:p>
        </w:tc>
        <w:tc>
          <w:tcPr>
            <w:tcW w:w="1843" w:type="dxa"/>
            <w:shd w:val="clear" w:color="auto" w:fill="auto"/>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39,4</w:t>
            </w:r>
          </w:p>
        </w:tc>
        <w:tc>
          <w:tcPr>
            <w:tcW w:w="1559" w:type="dxa"/>
            <w:shd w:val="clear" w:color="auto" w:fill="auto"/>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60,0</w:t>
            </w:r>
          </w:p>
        </w:tc>
        <w:tc>
          <w:tcPr>
            <w:tcW w:w="1550" w:type="dxa"/>
            <w:shd w:val="clear" w:color="auto" w:fill="auto"/>
          </w:tcPr>
          <w:p w:rsidR="007173BF" w:rsidRPr="00577593" w:rsidRDefault="007173BF" w:rsidP="000F76C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97,0</w:t>
            </w:r>
          </w:p>
        </w:tc>
      </w:tr>
      <w:tr w:rsidR="00CA62BF" w:rsidRPr="00577593" w:rsidTr="000F76C4">
        <w:trPr>
          <w:trHeight w:val="399"/>
        </w:trPr>
        <w:tc>
          <w:tcPr>
            <w:tcW w:w="14592" w:type="dxa"/>
            <w:gridSpan w:val="6"/>
          </w:tcPr>
          <w:p w:rsidR="00CA62BF" w:rsidRPr="00577593" w:rsidRDefault="00CA62BF" w:rsidP="000F76C4">
            <w:pPr>
              <w:widowControl w:val="0"/>
              <w:spacing w:after="0" w:line="240" w:lineRule="auto"/>
              <w:ind w:left="-113" w:right="-113"/>
              <w:jc w:val="both"/>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 xml:space="preserve">1.3. Развитие туризма </w:t>
            </w:r>
          </w:p>
        </w:tc>
      </w:tr>
      <w:tr w:rsidR="007173BF" w:rsidRPr="00577593" w:rsidTr="000F76C4">
        <w:trPr>
          <w:trHeight w:val="399"/>
        </w:trPr>
        <w:tc>
          <w:tcPr>
            <w:tcW w:w="568" w:type="dxa"/>
          </w:tcPr>
          <w:p w:rsidR="007173BF" w:rsidRPr="00577593" w:rsidRDefault="00CA62BF" w:rsidP="000F76C4">
            <w:pPr>
              <w:widowControl w:val="0"/>
              <w:spacing w:after="0" w:line="240" w:lineRule="auto"/>
              <w:ind w:left="-113" w:right="-113"/>
              <w:jc w:val="center"/>
              <w:rPr>
                <w:rFonts w:ascii="Times New Roman" w:hAnsi="Times New Roman"/>
                <w:sz w:val="24"/>
                <w:szCs w:val="24"/>
              </w:rPr>
            </w:pPr>
            <w:r w:rsidRPr="00577593">
              <w:rPr>
                <w:rFonts w:ascii="Times New Roman" w:hAnsi="Times New Roman"/>
                <w:sz w:val="24"/>
                <w:szCs w:val="24"/>
              </w:rPr>
              <w:t>1.3.1</w:t>
            </w:r>
          </w:p>
        </w:tc>
        <w:tc>
          <w:tcPr>
            <w:tcW w:w="7371" w:type="dxa"/>
            <w:shd w:val="clear" w:color="auto" w:fill="auto"/>
          </w:tcPr>
          <w:p w:rsidR="007173BF" w:rsidRPr="00577593" w:rsidRDefault="007173BF" w:rsidP="000F76C4">
            <w:pPr>
              <w:widowControl w:val="0"/>
              <w:spacing w:after="0" w:line="240" w:lineRule="auto"/>
              <w:jc w:val="both"/>
              <w:rPr>
                <w:rFonts w:ascii="Times New Roman" w:eastAsia="Times New Roman" w:hAnsi="Times New Roman"/>
                <w:sz w:val="24"/>
                <w:szCs w:val="24"/>
                <w:lang w:eastAsia="ru-RU"/>
              </w:rPr>
            </w:pPr>
            <w:r w:rsidRPr="00577593">
              <w:rPr>
                <w:rFonts w:ascii="Times New Roman" w:hAnsi="Times New Roman"/>
                <w:sz w:val="24"/>
                <w:szCs w:val="24"/>
              </w:rPr>
              <w:t>Численность лиц, размещенных в КСР</w:t>
            </w:r>
          </w:p>
        </w:tc>
        <w:tc>
          <w:tcPr>
            <w:tcW w:w="1701"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человек</w:t>
            </w:r>
          </w:p>
        </w:tc>
        <w:tc>
          <w:tcPr>
            <w:tcW w:w="1843"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264,4</w:t>
            </w:r>
          </w:p>
        </w:tc>
        <w:tc>
          <w:tcPr>
            <w:tcW w:w="1559"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378,8</w:t>
            </w:r>
          </w:p>
        </w:tc>
        <w:tc>
          <w:tcPr>
            <w:tcW w:w="1550" w:type="dxa"/>
            <w:shd w:val="clear" w:color="auto" w:fill="auto"/>
            <w:noWrap/>
          </w:tcPr>
          <w:p w:rsidR="007173BF" w:rsidRPr="00577593" w:rsidRDefault="007173BF" w:rsidP="000F76C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508,2</w:t>
            </w:r>
          </w:p>
        </w:tc>
      </w:tr>
      <w:tr w:rsidR="00CA62BF" w:rsidRPr="00577593" w:rsidTr="000F76C4">
        <w:trPr>
          <w:trHeight w:val="399"/>
        </w:trPr>
        <w:tc>
          <w:tcPr>
            <w:tcW w:w="14592" w:type="dxa"/>
            <w:gridSpan w:val="6"/>
          </w:tcPr>
          <w:p w:rsidR="00CA62BF" w:rsidRPr="00577593" w:rsidRDefault="00CA62BF" w:rsidP="000F76C4">
            <w:pPr>
              <w:widowControl w:val="0"/>
              <w:spacing w:after="0" w:line="240" w:lineRule="auto"/>
              <w:ind w:left="-113" w:right="-113"/>
              <w:jc w:val="both"/>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1.4. Развитие торговли</w:t>
            </w:r>
          </w:p>
        </w:tc>
      </w:tr>
      <w:tr w:rsidR="007173BF" w:rsidRPr="00577593" w:rsidTr="000F76C4">
        <w:trPr>
          <w:trHeight w:val="399"/>
        </w:trPr>
        <w:tc>
          <w:tcPr>
            <w:tcW w:w="568" w:type="dxa"/>
          </w:tcPr>
          <w:p w:rsidR="007173BF" w:rsidRPr="00577593" w:rsidRDefault="00CA62BF" w:rsidP="000F76C4">
            <w:pPr>
              <w:widowControl w:val="0"/>
              <w:spacing w:after="0" w:line="240" w:lineRule="auto"/>
              <w:ind w:left="-113" w:right="-113"/>
              <w:jc w:val="center"/>
              <w:rPr>
                <w:rFonts w:ascii="Times New Roman" w:hAnsi="Times New Roman"/>
                <w:sz w:val="24"/>
                <w:szCs w:val="24"/>
              </w:rPr>
            </w:pPr>
            <w:r w:rsidRPr="00577593">
              <w:rPr>
                <w:rFonts w:ascii="Times New Roman" w:hAnsi="Times New Roman"/>
                <w:sz w:val="24"/>
                <w:szCs w:val="24"/>
              </w:rPr>
              <w:t>1.4.1</w:t>
            </w:r>
          </w:p>
        </w:tc>
        <w:tc>
          <w:tcPr>
            <w:tcW w:w="7371" w:type="dxa"/>
            <w:shd w:val="clear" w:color="auto" w:fill="auto"/>
          </w:tcPr>
          <w:p w:rsidR="007173BF" w:rsidRPr="00577593" w:rsidRDefault="007173BF" w:rsidP="000F76C4">
            <w:pPr>
              <w:widowControl w:val="0"/>
              <w:spacing w:after="0" w:line="240" w:lineRule="auto"/>
              <w:jc w:val="both"/>
              <w:rPr>
                <w:rFonts w:ascii="Times New Roman" w:eastAsia="Times New Roman" w:hAnsi="Times New Roman"/>
                <w:sz w:val="24"/>
                <w:szCs w:val="24"/>
                <w:lang w:eastAsia="ru-RU"/>
              </w:rPr>
            </w:pPr>
            <w:r w:rsidRPr="00577593">
              <w:rPr>
                <w:rFonts w:ascii="Times New Roman" w:hAnsi="Times New Roman"/>
                <w:sz w:val="24"/>
                <w:szCs w:val="24"/>
              </w:rPr>
              <w:t xml:space="preserve">Темп роста оборота общественного питания </w:t>
            </w:r>
          </w:p>
        </w:tc>
        <w:tc>
          <w:tcPr>
            <w:tcW w:w="1701"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 к 2024 г.</w:t>
            </w:r>
          </w:p>
        </w:tc>
        <w:tc>
          <w:tcPr>
            <w:tcW w:w="1843" w:type="dxa"/>
            <w:shd w:val="clear" w:color="auto" w:fill="auto"/>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w:t>
            </w:r>
          </w:p>
        </w:tc>
        <w:tc>
          <w:tcPr>
            <w:tcW w:w="1559" w:type="dxa"/>
            <w:shd w:val="clear" w:color="auto" w:fill="auto"/>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134,0</w:t>
            </w:r>
          </w:p>
        </w:tc>
        <w:tc>
          <w:tcPr>
            <w:tcW w:w="1550" w:type="dxa"/>
            <w:shd w:val="clear" w:color="auto" w:fill="auto"/>
          </w:tcPr>
          <w:p w:rsidR="007173BF" w:rsidRPr="00577593" w:rsidRDefault="007173BF" w:rsidP="000F76C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170,0</w:t>
            </w:r>
          </w:p>
        </w:tc>
      </w:tr>
      <w:tr w:rsidR="007173BF" w:rsidRPr="00577593" w:rsidTr="000F76C4">
        <w:trPr>
          <w:trHeight w:val="399"/>
        </w:trPr>
        <w:tc>
          <w:tcPr>
            <w:tcW w:w="568" w:type="dxa"/>
          </w:tcPr>
          <w:p w:rsidR="007173BF" w:rsidRPr="00577593" w:rsidRDefault="00CA62BF" w:rsidP="000F76C4">
            <w:pPr>
              <w:widowControl w:val="0"/>
              <w:spacing w:after="0" w:line="240" w:lineRule="auto"/>
              <w:ind w:left="-113" w:right="-113"/>
              <w:jc w:val="center"/>
              <w:rPr>
                <w:rFonts w:ascii="Times New Roman" w:hAnsi="Times New Roman"/>
                <w:sz w:val="24"/>
                <w:szCs w:val="24"/>
              </w:rPr>
            </w:pPr>
            <w:r w:rsidRPr="00577593">
              <w:rPr>
                <w:rFonts w:ascii="Times New Roman" w:hAnsi="Times New Roman"/>
                <w:sz w:val="24"/>
                <w:szCs w:val="24"/>
              </w:rPr>
              <w:t>1.4.2</w:t>
            </w:r>
          </w:p>
        </w:tc>
        <w:tc>
          <w:tcPr>
            <w:tcW w:w="7371" w:type="dxa"/>
            <w:shd w:val="clear" w:color="auto" w:fill="auto"/>
          </w:tcPr>
          <w:p w:rsidR="007173BF" w:rsidRPr="00577593" w:rsidRDefault="007173BF" w:rsidP="000F76C4">
            <w:pPr>
              <w:widowControl w:val="0"/>
              <w:spacing w:after="0" w:line="240" w:lineRule="auto"/>
              <w:jc w:val="both"/>
              <w:rPr>
                <w:rFonts w:ascii="Times New Roman" w:eastAsia="Times New Roman" w:hAnsi="Times New Roman"/>
                <w:sz w:val="24"/>
                <w:szCs w:val="24"/>
                <w:lang w:eastAsia="ru-RU"/>
              </w:rPr>
            </w:pPr>
            <w:r w:rsidRPr="00577593">
              <w:rPr>
                <w:rFonts w:ascii="Times New Roman" w:hAnsi="Times New Roman"/>
                <w:sz w:val="24"/>
                <w:szCs w:val="24"/>
              </w:rPr>
              <w:t xml:space="preserve">Темп роста оборота розничной торговли </w:t>
            </w:r>
          </w:p>
        </w:tc>
        <w:tc>
          <w:tcPr>
            <w:tcW w:w="1701"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 к 2024 г.</w:t>
            </w:r>
          </w:p>
        </w:tc>
        <w:tc>
          <w:tcPr>
            <w:tcW w:w="1843" w:type="dxa"/>
            <w:shd w:val="clear" w:color="auto" w:fill="auto"/>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w:t>
            </w:r>
          </w:p>
        </w:tc>
        <w:tc>
          <w:tcPr>
            <w:tcW w:w="1559" w:type="dxa"/>
            <w:shd w:val="clear" w:color="auto" w:fill="auto"/>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134,0</w:t>
            </w:r>
          </w:p>
        </w:tc>
        <w:tc>
          <w:tcPr>
            <w:tcW w:w="1550" w:type="dxa"/>
            <w:shd w:val="clear" w:color="auto" w:fill="auto"/>
          </w:tcPr>
          <w:p w:rsidR="007173BF" w:rsidRPr="00577593" w:rsidRDefault="007173BF" w:rsidP="000F76C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162,0</w:t>
            </w:r>
          </w:p>
        </w:tc>
      </w:tr>
      <w:tr w:rsidR="007173BF" w:rsidRPr="00577593" w:rsidTr="000F76C4">
        <w:trPr>
          <w:trHeight w:val="399"/>
        </w:trPr>
        <w:tc>
          <w:tcPr>
            <w:tcW w:w="568" w:type="dxa"/>
          </w:tcPr>
          <w:p w:rsidR="007173BF" w:rsidRPr="00577593" w:rsidRDefault="00CA62BF" w:rsidP="000F76C4">
            <w:pPr>
              <w:widowControl w:val="0"/>
              <w:spacing w:after="0" w:line="240" w:lineRule="auto"/>
              <w:ind w:left="-113" w:right="-113"/>
              <w:jc w:val="center"/>
              <w:rPr>
                <w:rFonts w:ascii="Times New Roman" w:hAnsi="Times New Roman"/>
                <w:sz w:val="24"/>
                <w:szCs w:val="24"/>
              </w:rPr>
            </w:pPr>
            <w:r w:rsidRPr="00577593">
              <w:rPr>
                <w:rFonts w:ascii="Times New Roman" w:hAnsi="Times New Roman"/>
                <w:sz w:val="24"/>
                <w:szCs w:val="24"/>
              </w:rPr>
              <w:lastRenderedPageBreak/>
              <w:t>1.4.3</w:t>
            </w:r>
          </w:p>
        </w:tc>
        <w:tc>
          <w:tcPr>
            <w:tcW w:w="7371" w:type="dxa"/>
            <w:shd w:val="clear" w:color="auto" w:fill="auto"/>
          </w:tcPr>
          <w:p w:rsidR="007173BF" w:rsidRPr="00577593" w:rsidRDefault="007173BF" w:rsidP="000F76C4">
            <w:pPr>
              <w:widowControl w:val="0"/>
              <w:spacing w:after="0" w:line="240" w:lineRule="auto"/>
              <w:jc w:val="both"/>
              <w:rPr>
                <w:rFonts w:ascii="Times New Roman" w:eastAsia="Times New Roman" w:hAnsi="Times New Roman"/>
                <w:sz w:val="24"/>
                <w:szCs w:val="24"/>
                <w:lang w:eastAsia="ru-RU"/>
              </w:rPr>
            </w:pPr>
            <w:r w:rsidRPr="00577593">
              <w:rPr>
                <w:rFonts w:ascii="Times New Roman" w:hAnsi="Times New Roman"/>
                <w:sz w:val="24"/>
                <w:szCs w:val="24"/>
              </w:rPr>
              <w:t xml:space="preserve">Темп роста объема платных услуг </w:t>
            </w:r>
          </w:p>
        </w:tc>
        <w:tc>
          <w:tcPr>
            <w:tcW w:w="1701"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 к 2024 г.</w:t>
            </w:r>
          </w:p>
        </w:tc>
        <w:tc>
          <w:tcPr>
            <w:tcW w:w="1843" w:type="dxa"/>
            <w:shd w:val="clear" w:color="auto" w:fill="auto"/>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w:t>
            </w:r>
          </w:p>
        </w:tc>
        <w:tc>
          <w:tcPr>
            <w:tcW w:w="1559"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133,0</w:t>
            </w:r>
          </w:p>
        </w:tc>
        <w:tc>
          <w:tcPr>
            <w:tcW w:w="1550" w:type="dxa"/>
            <w:shd w:val="clear" w:color="auto" w:fill="auto"/>
            <w:noWrap/>
          </w:tcPr>
          <w:p w:rsidR="007173BF" w:rsidRPr="00577593" w:rsidRDefault="007173BF" w:rsidP="000F76C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164,0</w:t>
            </w:r>
          </w:p>
        </w:tc>
      </w:tr>
      <w:tr w:rsidR="00CA62BF" w:rsidRPr="00577593" w:rsidTr="000F76C4">
        <w:trPr>
          <w:trHeight w:val="399"/>
        </w:trPr>
        <w:tc>
          <w:tcPr>
            <w:tcW w:w="14592" w:type="dxa"/>
            <w:gridSpan w:val="6"/>
          </w:tcPr>
          <w:p w:rsidR="00CA62BF" w:rsidRPr="00577593" w:rsidRDefault="00CA62BF" w:rsidP="000F76C4">
            <w:pPr>
              <w:widowControl w:val="0"/>
              <w:spacing w:after="0" w:line="240" w:lineRule="auto"/>
              <w:ind w:left="-113" w:right="-113"/>
              <w:jc w:val="both"/>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Цель 2. Развитие человеческого капитала</w:t>
            </w:r>
          </w:p>
        </w:tc>
      </w:tr>
      <w:tr w:rsidR="00CA62BF" w:rsidRPr="00577593" w:rsidTr="000F76C4">
        <w:trPr>
          <w:trHeight w:val="399"/>
        </w:trPr>
        <w:tc>
          <w:tcPr>
            <w:tcW w:w="14592" w:type="dxa"/>
            <w:gridSpan w:val="6"/>
          </w:tcPr>
          <w:p w:rsidR="00CA62BF" w:rsidRPr="00577593" w:rsidRDefault="00CA62BF" w:rsidP="000F76C4">
            <w:pPr>
              <w:widowControl w:val="0"/>
              <w:spacing w:after="0" w:line="240" w:lineRule="auto"/>
              <w:ind w:left="-113" w:right="-113"/>
              <w:jc w:val="both"/>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2.1. Стабилизация демографических и миграционных процессов</w:t>
            </w:r>
          </w:p>
        </w:tc>
      </w:tr>
      <w:tr w:rsidR="007173BF" w:rsidRPr="00577593" w:rsidTr="000F76C4">
        <w:trPr>
          <w:trHeight w:val="399"/>
        </w:trPr>
        <w:tc>
          <w:tcPr>
            <w:tcW w:w="568" w:type="dxa"/>
          </w:tcPr>
          <w:p w:rsidR="007173BF" w:rsidRPr="00577593" w:rsidRDefault="00CA62BF" w:rsidP="000F76C4">
            <w:pPr>
              <w:widowControl w:val="0"/>
              <w:spacing w:after="0" w:line="240" w:lineRule="auto"/>
              <w:ind w:left="-113" w:right="-113"/>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2.1.1</w:t>
            </w:r>
          </w:p>
        </w:tc>
        <w:tc>
          <w:tcPr>
            <w:tcW w:w="7371" w:type="dxa"/>
            <w:shd w:val="clear" w:color="auto" w:fill="auto"/>
            <w:noWrap/>
          </w:tcPr>
          <w:p w:rsidR="007173BF" w:rsidRPr="00577593" w:rsidRDefault="007173BF" w:rsidP="000F76C4">
            <w:pPr>
              <w:widowControl w:val="0"/>
              <w:spacing w:after="0" w:line="240" w:lineRule="auto"/>
              <w:jc w:val="both"/>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Численность постоянного населения</w:t>
            </w:r>
          </w:p>
        </w:tc>
        <w:tc>
          <w:tcPr>
            <w:tcW w:w="1701"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тыс. человек</w:t>
            </w:r>
          </w:p>
        </w:tc>
        <w:tc>
          <w:tcPr>
            <w:tcW w:w="1843"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687,6</w:t>
            </w:r>
          </w:p>
        </w:tc>
        <w:tc>
          <w:tcPr>
            <w:tcW w:w="1559"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691,0</w:t>
            </w:r>
          </w:p>
        </w:tc>
        <w:tc>
          <w:tcPr>
            <w:tcW w:w="1550" w:type="dxa"/>
            <w:shd w:val="clear" w:color="auto" w:fill="auto"/>
            <w:noWrap/>
          </w:tcPr>
          <w:p w:rsidR="007173BF" w:rsidRPr="00577593" w:rsidRDefault="007173BF" w:rsidP="000F76C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695,3</w:t>
            </w:r>
          </w:p>
        </w:tc>
      </w:tr>
      <w:tr w:rsidR="007173BF" w:rsidRPr="00577593" w:rsidTr="000F76C4">
        <w:trPr>
          <w:trHeight w:val="399"/>
        </w:trPr>
        <w:tc>
          <w:tcPr>
            <w:tcW w:w="568" w:type="dxa"/>
          </w:tcPr>
          <w:p w:rsidR="007173BF" w:rsidRPr="00577593" w:rsidRDefault="00CA62BF" w:rsidP="000F76C4">
            <w:pPr>
              <w:widowControl w:val="0"/>
              <w:spacing w:after="0" w:line="240" w:lineRule="auto"/>
              <w:ind w:left="-113" w:right="-113"/>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2.1.2</w:t>
            </w:r>
          </w:p>
        </w:tc>
        <w:tc>
          <w:tcPr>
            <w:tcW w:w="7371" w:type="dxa"/>
            <w:shd w:val="clear" w:color="auto" w:fill="auto"/>
            <w:noWrap/>
          </w:tcPr>
          <w:p w:rsidR="007173BF" w:rsidRPr="00577593" w:rsidRDefault="007173BF" w:rsidP="000F76C4">
            <w:pPr>
              <w:widowControl w:val="0"/>
              <w:spacing w:after="0" w:line="240" w:lineRule="auto"/>
              <w:jc w:val="both"/>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Средняя ожидаемая продолжительность жизни</w:t>
            </w:r>
          </w:p>
        </w:tc>
        <w:tc>
          <w:tcPr>
            <w:tcW w:w="1701"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лет</w:t>
            </w:r>
          </w:p>
        </w:tc>
        <w:tc>
          <w:tcPr>
            <w:tcW w:w="1843"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73,65</w:t>
            </w:r>
            <w:r w:rsidRPr="00577593">
              <w:rPr>
                <w:rStyle w:val="af9"/>
                <w:rFonts w:ascii="Times New Roman" w:eastAsia="Times New Roman" w:hAnsi="Times New Roman"/>
                <w:sz w:val="24"/>
                <w:szCs w:val="24"/>
                <w:lang w:eastAsia="ru-RU"/>
              </w:rPr>
              <w:footnoteReference w:id="5"/>
            </w:r>
          </w:p>
        </w:tc>
        <w:tc>
          <w:tcPr>
            <w:tcW w:w="1559"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77</w:t>
            </w:r>
          </w:p>
        </w:tc>
        <w:tc>
          <w:tcPr>
            <w:tcW w:w="1550" w:type="dxa"/>
            <w:shd w:val="clear" w:color="auto" w:fill="auto"/>
            <w:noWrap/>
          </w:tcPr>
          <w:p w:rsidR="007173BF" w:rsidRPr="00577593" w:rsidRDefault="007173BF" w:rsidP="000F76C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81</w:t>
            </w:r>
          </w:p>
        </w:tc>
      </w:tr>
      <w:tr w:rsidR="00CA62BF" w:rsidRPr="00577593" w:rsidTr="000F76C4">
        <w:trPr>
          <w:trHeight w:val="399"/>
        </w:trPr>
        <w:tc>
          <w:tcPr>
            <w:tcW w:w="14592" w:type="dxa"/>
            <w:gridSpan w:val="6"/>
          </w:tcPr>
          <w:p w:rsidR="00CA62BF" w:rsidRPr="00577593" w:rsidRDefault="00CA62BF" w:rsidP="000F76C4">
            <w:pPr>
              <w:widowControl w:val="0"/>
              <w:spacing w:after="0" w:line="240" w:lineRule="auto"/>
              <w:ind w:left="-113" w:right="-113"/>
              <w:jc w:val="both"/>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2.2. Повышение уровня и качества жизни населения</w:t>
            </w:r>
          </w:p>
        </w:tc>
      </w:tr>
      <w:tr w:rsidR="007173BF" w:rsidRPr="00577593" w:rsidTr="000F76C4">
        <w:trPr>
          <w:trHeight w:val="844"/>
        </w:trPr>
        <w:tc>
          <w:tcPr>
            <w:tcW w:w="568" w:type="dxa"/>
          </w:tcPr>
          <w:p w:rsidR="007173BF" w:rsidRPr="00577593" w:rsidRDefault="00CA62BF" w:rsidP="000F76C4">
            <w:pPr>
              <w:widowControl w:val="0"/>
              <w:spacing w:after="0" w:line="240" w:lineRule="auto"/>
              <w:ind w:left="-113" w:right="-113"/>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2.2.1</w:t>
            </w:r>
          </w:p>
        </w:tc>
        <w:tc>
          <w:tcPr>
            <w:tcW w:w="7371" w:type="dxa"/>
            <w:shd w:val="clear" w:color="auto" w:fill="auto"/>
          </w:tcPr>
          <w:p w:rsidR="007173BF" w:rsidRPr="00577593" w:rsidRDefault="007173BF" w:rsidP="000F76C4">
            <w:pPr>
              <w:widowControl w:val="0"/>
              <w:spacing w:after="0" w:line="240" w:lineRule="auto"/>
              <w:jc w:val="both"/>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Доля транспортных средств, приспособленных для перемещения маломобильных групп граждан, в общем количестве подвижного состава общественного транспорта</w:t>
            </w:r>
          </w:p>
        </w:tc>
        <w:tc>
          <w:tcPr>
            <w:tcW w:w="1701"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w:t>
            </w:r>
          </w:p>
        </w:tc>
        <w:tc>
          <w:tcPr>
            <w:tcW w:w="1843"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39,3</w:t>
            </w:r>
          </w:p>
        </w:tc>
        <w:tc>
          <w:tcPr>
            <w:tcW w:w="1559"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41,9</w:t>
            </w:r>
          </w:p>
        </w:tc>
        <w:tc>
          <w:tcPr>
            <w:tcW w:w="1550" w:type="dxa"/>
            <w:shd w:val="clear" w:color="auto" w:fill="auto"/>
            <w:noWrap/>
          </w:tcPr>
          <w:p w:rsidR="007173BF" w:rsidRPr="00577593" w:rsidRDefault="007173BF" w:rsidP="000F76C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44,5</w:t>
            </w:r>
          </w:p>
        </w:tc>
      </w:tr>
      <w:tr w:rsidR="007173BF" w:rsidRPr="00577593" w:rsidTr="000F76C4">
        <w:trPr>
          <w:trHeight w:val="480"/>
        </w:trPr>
        <w:tc>
          <w:tcPr>
            <w:tcW w:w="568" w:type="dxa"/>
          </w:tcPr>
          <w:p w:rsidR="007173BF" w:rsidRPr="00577593" w:rsidRDefault="00CA62BF" w:rsidP="000F76C4">
            <w:pPr>
              <w:widowControl w:val="0"/>
              <w:spacing w:after="0" w:line="240" w:lineRule="auto"/>
              <w:ind w:left="-113" w:right="-113"/>
              <w:jc w:val="center"/>
              <w:rPr>
                <w:rFonts w:ascii="Times New Roman" w:hAnsi="Times New Roman"/>
                <w:sz w:val="24"/>
                <w:szCs w:val="24"/>
              </w:rPr>
            </w:pPr>
            <w:r w:rsidRPr="00577593">
              <w:rPr>
                <w:rFonts w:ascii="Times New Roman" w:hAnsi="Times New Roman"/>
                <w:sz w:val="24"/>
                <w:szCs w:val="24"/>
              </w:rPr>
              <w:t>2.2.2</w:t>
            </w:r>
          </w:p>
        </w:tc>
        <w:tc>
          <w:tcPr>
            <w:tcW w:w="7371" w:type="dxa"/>
            <w:shd w:val="clear" w:color="auto" w:fill="auto"/>
          </w:tcPr>
          <w:p w:rsidR="007173BF" w:rsidRPr="00577593" w:rsidRDefault="007173BF" w:rsidP="000F76C4">
            <w:pPr>
              <w:widowControl w:val="0"/>
              <w:spacing w:after="0" w:line="240" w:lineRule="auto"/>
              <w:jc w:val="both"/>
              <w:rPr>
                <w:rFonts w:ascii="Times New Roman" w:eastAsia="Times New Roman" w:hAnsi="Times New Roman"/>
                <w:sz w:val="24"/>
                <w:szCs w:val="24"/>
                <w:lang w:eastAsia="ru-RU"/>
              </w:rPr>
            </w:pPr>
            <w:r w:rsidRPr="00577593">
              <w:rPr>
                <w:rFonts w:ascii="Times New Roman" w:hAnsi="Times New Roman"/>
                <w:sz w:val="24"/>
                <w:szCs w:val="24"/>
              </w:rPr>
              <w:t>Удельный вес учреждений культуры, в которых обеспечиваются условия индивидуальной мобильности инвалидов, от общего количества учреждений культуры</w:t>
            </w:r>
          </w:p>
        </w:tc>
        <w:tc>
          <w:tcPr>
            <w:tcW w:w="1701"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w:t>
            </w:r>
          </w:p>
        </w:tc>
        <w:tc>
          <w:tcPr>
            <w:tcW w:w="1843"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50,0</w:t>
            </w:r>
          </w:p>
        </w:tc>
        <w:tc>
          <w:tcPr>
            <w:tcW w:w="1559"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52,0</w:t>
            </w:r>
          </w:p>
        </w:tc>
        <w:tc>
          <w:tcPr>
            <w:tcW w:w="1550" w:type="dxa"/>
            <w:shd w:val="clear" w:color="auto" w:fill="auto"/>
            <w:noWrap/>
          </w:tcPr>
          <w:p w:rsidR="007173BF" w:rsidRPr="00577593" w:rsidRDefault="007173BF" w:rsidP="000F76C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52,9</w:t>
            </w:r>
          </w:p>
        </w:tc>
      </w:tr>
      <w:tr w:rsidR="007173BF" w:rsidRPr="00577593" w:rsidTr="000F76C4">
        <w:trPr>
          <w:trHeight w:val="480"/>
        </w:trPr>
        <w:tc>
          <w:tcPr>
            <w:tcW w:w="568" w:type="dxa"/>
          </w:tcPr>
          <w:p w:rsidR="007173BF" w:rsidRPr="00577593" w:rsidRDefault="00CA62BF" w:rsidP="000F76C4">
            <w:pPr>
              <w:widowControl w:val="0"/>
              <w:spacing w:after="0" w:line="240" w:lineRule="auto"/>
              <w:ind w:left="-113" w:right="-113"/>
              <w:jc w:val="center"/>
              <w:rPr>
                <w:rFonts w:ascii="Times New Roman" w:hAnsi="Times New Roman"/>
                <w:sz w:val="24"/>
                <w:szCs w:val="24"/>
              </w:rPr>
            </w:pPr>
            <w:r w:rsidRPr="00577593">
              <w:rPr>
                <w:rFonts w:ascii="Times New Roman" w:hAnsi="Times New Roman"/>
                <w:sz w:val="24"/>
                <w:szCs w:val="24"/>
              </w:rPr>
              <w:t>2.2.3</w:t>
            </w:r>
          </w:p>
        </w:tc>
        <w:tc>
          <w:tcPr>
            <w:tcW w:w="7371" w:type="dxa"/>
            <w:shd w:val="clear" w:color="auto" w:fill="auto"/>
          </w:tcPr>
          <w:p w:rsidR="007173BF" w:rsidRPr="00577593" w:rsidRDefault="007173BF" w:rsidP="000F76C4">
            <w:pPr>
              <w:widowControl w:val="0"/>
              <w:spacing w:after="0" w:line="240" w:lineRule="auto"/>
              <w:jc w:val="both"/>
              <w:rPr>
                <w:rFonts w:ascii="Times New Roman" w:eastAsia="Times New Roman" w:hAnsi="Times New Roman"/>
                <w:sz w:val="24"/>
                <w:szCs w:val="24"/>
                <w:lang w:eastAsia="ru-RU"/>
              </w:rPr>
            </w:pPr>
            <w:r w:rsidRPr="00577593">
              <w:rPr>
                <w:rFonts w:ascii="Times New Roman" w:hAnsi="Times New Roman"/>
                <w:sz w:val="24"/>
                <w:szCs w:val="24"/>
              </w:rPr>
              <w:t>Удельный вес учреждений физической культуры и спорта, в которых обеспечиваются условия индивидуальной мобильности инвалидов, от общего количества учреждений физической культуры и спорта</w:t>
            </w:r>
          </w:p>
        </w:tc>
        <w:tc>
          <w:tcPr>
            <w:tcW w:w="1701"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w:t>
            </w:r>
          </w:p>
        </w:tc>
        <w:tc>
          <w:tcPr>
            <w:tcW w:w="1843"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25,0</w:t>
            </w:r>
          </w:p>
        </w:tc>
        <w:tc>
          <w:tcPr>
            <w:tcW w:w="1559"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30,0</w:t>
            </w:r>
          </w:p>
        </w:tc>
        <w:tc>
          <w:tcPr>
            <w:tcW w:w="1550" w:type="dxa"/>
            <w:shd w:val="clear" w:color="auto" w:fill="auto"/>
            <w:noWrap/>
          </w:tcPr>
          <w:p w:rsidR="007173BF" w:rsidRPr="00577593" w:rsidRDefault="007173BF" w:rsidP="000F76C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30,0</w:t>
            </w:r>
          </w:p>
        </w:tc>
      </w:tr>
      <w:tr w:rsidR="007173BF" w:rsidRPr="00577593" w:rsidTr="000F76C4">
        <w:trPr>
          <w:trHeight w:val="480"/>
        </w:trPr>
        <w:tc>
          <w:tcPr>
            <w:tcW w:w="568" w:type="dxa"/>
          </w:tcPr>
          <w:p w:rsidR="007173BF" w:rsidRPr="00577593" w:rsidRDefault="00CA62BF" w:rsidP="000F76C4">
            <w:pPr>
              <w:widowControl w:val="0"/>
              <w:spacing w:after="0" w:line="240" w:lineRule="auto"/>
              <w:ind w:left="-113" w:right="-113"/>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2.2.4</w:t>
            </w:r>
          </w:p>
        </w:tc>
        <w:tc>
          <w:tcPr>
            <w:tcW w:w="7371" w:type="dxa"/>
            <w:shd w:val="clear" w:color="auto" w:fill="auto"/>
          </w:tcPr>
          <w:p w:rsidR="007173BF" w:rsidRPr="00577593" w:rsidRDefault="007173BF" w:rsidP="000F76C4">
            <w:pPr>
              <w:widowControl w:val="0"/>
              <w:spacing w:after="0" w:line="240" w:lineRule="auto"/>
              <w:jc w:val="both"/>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Доля граждан старшего поколения, вовлеченных в Программу Активное долголетие</w:t>
            </w:r>
          </w:p>
        </w:tc>
        <w:tc>
          <w:tcPr>
            <w:tcW w:w="1701"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w:t>
            </w:r>
          </w:p>
        </w:tc>
        <w:tc>
          <w:tcPr>
            <w:tcW w:w="1843"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w:t>
            </w:r>
          </w:p>
        </w:tc>
        <w:tc>
          <w:tcPr>
            <w:tcW w:w="1559"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36,0</w:t>
            </w:r>
          </w:p>
        </w:tc>
        <w:tc>
          <w:tcPr>
            <w:tcW w:w="1550" w:type="dxa"/>
            <w:shd w:val="clear" w:color="auto" w:fill="auto"/>
            <w:noWrap/>
          </w:tcPr>
          <w:p w:rsidR="007173BF" w:rsidRPr="00577593" w:rsidRDefault="007173BF" w:rsidP="000F76C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40,0</w:t>
            </w:r>
          </w:p>
        </w:tc>
      </w:tr>
      <w:tr w:rsidR="007173BF" w:rsidRPr="00577593" w:rsidTr="000F76C4">
        <w:trPr>
          <w:trHeight w:val="908"/>
        </w:trPr>
        <w:tc>
          <w:tcPr>
            <w:tcW w:w="568" w:type="dxa"/>
          </w:tcPr>
          <w:p w:rsidR="007173BF" w:rsidRPr="00577593" w:rsidRDefault="00CA62BF" w:rsidP="000F76C4">
            <w:pPr>
              <w:widowControl w:val="0"/>
              <w:spacing w:after="0" w:line="240" w:lineRule="auto"/>
              <w:ind w:left="-113" w:right="-113"/>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2.2.5</w:t>
            </w:r>
          </w:p>
        </w:tc>
        <w:tc>
          <w:tcPr>
            <w:tcW w:w="7371" w:type="dxa"/>
            <w:shd w:val="clear" w:color="auto" w:fill="auto"/>
          </w:tcPr>
          <w:p w:rsidR="007173BF" w:rsidRPr="00577593" w:rsidRDefault="007173BF" w:rsidP="000F76C4">
            <w:pPr>
              <w:widowControl w:val="0"/>
              <w:spacing w:after="0" w:line="240" w:lineRule="auto"/>
              <w:jc w:val="both"/>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 xml:space="preserve">Доля граждан города Барнаула в возрасте от 55 лет (женщины) </w:t>
            </w:r>
            <w:r w:rsidR="00E93805" w:rsidRPr="00577593">
              <w:rPr>
                <w:rFonts w:ascii="Times New Roman" w:eastAsia="Times New Roman" w:hAnsi="Times New Roman"/>
                <w:sz w:val="24"/>
                <w:szCs w:val="24"/>
                <w:lang w:eastAsia="ru-RU"/>
              </w:rPr>
              <w:br/>
            </w:r>
            <w:r w:rsidRPr="00577593">
              <w:rPr>
                <w:rFonts w:ascii="Times New Roman" w:eastAsia="Times New Roman" w:hAnsi="Times New Roman"/>
                <w:sz w:val="24"/>
                <w:szCs w:val="24"/>
                <w:lang w:eastAsia="ru-RU"/>
              </w:rPr>
              <w:t>и от 60 лет (мужчины) до 79 лет включительно, систематически занимающихся физической культурой и спортом, в общей численности граждан города Барнаула данной возрастной категории</w:t>
            </w:r>
          </w:p>
        </w:tc>
        <w:tc>
          <w:tcPr>
            <w:tcW w:w="1701"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w:t>
            </w:r>
          </w:p>
        </w:tc>
        <w:tc>
          <w:tcPr>
            <w:tcW w:w="1843"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23,1</w:t>
            </w:r>
          </w:p>
        </w:tc>
        <w:tc>
          <w:tcPr>
            <w:tcW w:w="1559"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45,0</w:t>
            </w:r>
          </w:p>
        </w:tc>
        <w:tc>
          <w:tcPr>
            <w:tcW w:w="1550" w:type="dxa"/>
            <w:shd w:val="clear" w:color="auto" w:fill="auto"/>
            <w:noWrap/>
          </w:tcPr>
          <w:p w:rsidR="007173BF" w:rsidRPr="00577593" w:rsidRDefault="007173BF" w:rsidP="000F76C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45,5</w:t>
            </w:r>
          </w:p>
        </w:tc>
      </w:tr>
      <w:tr w:rsidR="0063008D" w:rsidRPr="00577593" w:rsidTr="000F76C4">
        <w:trPr>
          <w:trHeight w:val="399"/>
        </w:trPr>
        <w:tc>
          <w:tcPr>
            <w:tcW w:w="14592" w:type="dxa"/>
            <w:gridSpan w:val="6"/>
          </w:tcPr>
          <w:p w:rsidR="0063008D" w:rsidRPr="00577593" w:rsidRDefault="0063008D" w:rsidP="000F76C4">
            <w:pPr>
              <w:widowControl w:val="0"/>
              <w:spacing w:after="0" w:line="240" w:lineRule="auto"/>
              <w:ind w:left="-113" w:right="-113"/>
              <w:jc w:val="both"/>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2.3. Развитие образования и науки</w:t>
            </w:r>
          </w:p>
        </w:tc>
      </w:tr>
      <w:tr w:rsidR="007173BF" w:rsidRPr="00577593" w:rsidTr="000F76C4">
        <w:trPr>
          <w:trHeight w:val="399"/>
        </w:trPr>
        <w:tc>
          <w:tcPr>
            <w:tcW w:w="568" w:type="dxa"/>
          </w:tcPr>
          <w:p w:rsidR="007173BF" w:rsidRPr="00577593" w:rsidRDefault="0063008D" w:rsidP="000F76C4">
            <w:pPr>
              <w:widowControl w:val="0"/>
              <w:spacing w:after="0" w:line="240" w:lineRule="auto"/>
              <w:ind w:left="-113" w:right="-113"/>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2.3.1</w:t>
            </w:r>
          </w:p>
        </w:tc>
        <w:tc>
          <w:tcPr>
            <w:tcW w:w="7371" w:type="dxa"/>
            <w:shd w:val="clear" w:color="auto" w:fill="auto"/>
          </w:tcPr>
          <w:p w:rsidR="007173BF" w:rsidRPr="00577593" w:rsidRDefault="007173BF" w:rsidP="002000D4">
            <w:pPr>
              <w:widowControl w:val="0"/>
              <w:spacing w:after="0" w:line="240" w:lineRule="auto"/>
              <w:jc w:val="both"/>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Охват детей дошкольного возраста всеми формами дошкольного образования</w:t>
            </w:r>
          </w:p>
        </w:tc>
        <w:tc>
          <w:tcPr>
            <w:tcW w:w="1701"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w:t>
            </w:r>
          </w:p>
        </w:tc>
        <w:tc>
          <w:tcPr>
            <w:tcW w:w="1843"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100,0</w:t>
            </w:r>
          </w:p>
        </w:tc>
        <w:tc>
          <w:tcPr>
            <w:tcW w:w="1559"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100,0</w:t>
            </w:r>
          </w:p>
        </w:tc>
        <w:tc>
          <w:tcPr>
            <w:tcW w:w="1550" w:type="dxa"/>
            <w:shd w:val="clear" w:color="auto" w:fill="auto"/>
            <w:noWrap/>
          </w:tcPr>
          <w:p w:rsidR="007173BF" w:rsidRPr="00577593" w:rsidRDefault="007173BF" w:rsidP="000F76C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100,0</w:t>
            </w:r>
          </w:p>
        </w:tc>
      </w:tr>
      <w:tr w:rsidR="007173BF" w:rsidRPr="00577593" w:rsidTr="000F76C4">
        <w:trPr>
          <w:trHeight w:val="603"/>
        </w:trPr>
        <w:tc>
          <w:tcPr>
            <w:tcW w:w="568" w:type="dxa"/>
          </w:tcPr>
          <w:p w:rsidR="007173BF" w:rsidRPr="00577593" w:rsidRDefault="0063008D" w:rsidP="000F76C4">
            <w:pPr>
              <w:widowControl w:val="0"/>
              <w:spacing w:after="0" w:line="240" w:lineRule="auto"/>
              <w:ind w:left="-113" w:right="-113"/>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lastRenderedPageBreak/>
              <w:t>2.3.2</w:t>
            </w:r>
          </w:p>
        </w:tc>
        <w:tc>
          <w:tcPr>
            <w:tcW w:w="7371" w:type="dxa"/>
            <w:shd w:val="clear" w:color="auto" w:fill="auto"/>
          </w:tcPr>
          <w:p w:rsidR="007173BF" w:rsidRPr="00577593" w:rsidRDefault="007173BF" w:rsidP="002000D4">
            <w:pPr>
              <w:widowControl w:val="0"/>
              <w:spacing w:after="0" w:line="240" w:lineRule="auto"/>
              <w:jc w:val="both"/>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Доля обучающихся 6—11 классов, охваченных комплексом профориентационных мероприятий в рамках Единой модели профориентации</w:t>
            </w:r>
          </w:p>
        </w:tc>
        <w:tc>
          <w:tcPr>
            <w:tcW w:w="1701"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w:t>
            </w:r>
          </w:p>
        </w:tc>
        <w:tc>
          <w:tcPr>
            <w:tcW w:w="1843"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40,0</w:t>
            </w:r>
          </w:p>
        </w:tc>
        <w:tc>
          <w:tcPr>
            <w:tcW w:w="1559"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58,0</w:t>
            </w:r>
          </w:p>
        </w:tc>
        <w:tc>
          <w:tcPr>
            <w:tcW w:w="1550" w:type="dxa"/>
            <w:shd w:val="clear" w:color="auto" w:fill="auto"/>
            <w:noWrap/>
          </w:tcPr>
          <w:p w:rsidR="007173BF" w:rsidRPr="00577593" w:rsidRDefault="007173BF" w:rsidP="000F76C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70,0</w:t>
            </w:r>
          </w:p>
        </w:tc>
      </w:tr>
      <w:tr w:rsidR="007173BF" w:rsidRPr="00577593" w:rsidTr="000F76C4">
        <w:trPr>
          <w:trHeight w:val="275"/>
        </w:trPr>
        <w:tc>
          <w:tcPr>
            <w:tcW w:w="568" w:type="dxa"/>
          </w:tcPr>
          <w:p w:rsidR="007173BF" w:rsidRPr="00577593" w:rsidRDefault="0063008D" w:rsidP="000F76C4">
            <w:pPr>
              <w:widowControl w:val="0"/>
              <w:spacing w:after="0" w:line="240" w:lineRule="auto"/>
              <w:ind w:left="-113" w:right="-113"/>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2.3.3</w:t>
            </w:r>
          </w:p>
        </w:tc>
        <w:tc>
          <w:tcPr>
            <w:tcW w:w="7371" w:type="dxa"/>
            <w:shd w:val="clear" w:color="auto" w:fill="auto"/>
          </w:tcPr>
          <w:p w:rsidR="007173BF" w:rsidRPr="00577593" w:rsidRDefault="007173BF" w:rsidP="002000D4">
            <w:pPr>
              <w:widowControl w:val="0"/>
              <w:spacing w:after="0" w:line="240" w:lineRule="auto"/>
              <w:jc w:val="both"/>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Доля детей в возрасте от 5 до 18 лет, охваченных услугами дополнительного образования</w:t>
            </w:r>
          </w:p>
        </w:tc>
        <w:tc>
          <w:tcPr>
            <w:tcW w:w="1701"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w:t>
            </w:r>
          </w:p>
        </w:tc>
        <w:tc>
          <w:tcPr>
            <w:tcW w:w="1843" w:type="dxa"/>
            <w:shd w:val="clear" w:color="auto" w:fill="auto"/>
            <w:noWrap/>
          </w:tcPr>
          <w:p w:rsidR="007173BF" w:rsidRPr="00577593" w:rsidRDefault="007173BF" w:rsidP="00D6594E">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78,3</w:t>
            </w:r>
          </w:p>
        </w:tc>
        <w:tc>
          <w:tcPr>
            <w:tcW w:w="1559"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80,15</w:t>
            </w:r>
          </w:p>
        </w:tc>
        <w:tc>
          <w:tcPr>
            <w:tcW w:w="1550" w:type="dxa"/>
            <w:shd w:val="clear" w:color="auto" w:fill="auto"/>
            <w:noWrap/>
          </w:tcPr>
          <w:p w:rsidR="007173BF" w:rsidRPr="00577593" w:rsidRDefault="007173BF" w:rsidP="000F76C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80,3</w:t>
            </w:r>
          </w:p>
        </w:tc>
      </w:tr>
      <w:tr w:rsidR="0063008D" w:rsidRPr="00577593" w:rsidTr="000F76C4">
        <w:trPr>
          <w:trHeight w:val="399"/>
        </w:trPr>
        <w:tc>
          <w:tcPr>
            <w:tcW w:w="14592" w:type="dxa"/>
            <w:gridSpan w:val="6"/>
          </w:tcPr>
          <w:p w:rsidR="0063008D" w:rsidRPr="00577593" w:rsidRDefault="0063008D" w:rsidP="000F76C4">
            <w:pPr>
              <w:widowControl w:val="0"/>
              <w:spacing w:after="0" w:line="240" w:lineRule="auto"/>
              <w:ind w:left="-113" w:right="-113"/>
              <w:jc w:val="both"/>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2.4. Развитие культуры</w:t>
            </w:r>
          </w:p>
        </w:tc>
      </w:tr>
      <w:tr w:rsidR="007173BF" w:rsidRPr="00577593" w:rsidTr="000F76C4">
        <w:trPr>
          <w:trHeight w:val="287"/>
        </w:trPr>
        <w:tc>
          <w:tcPr>
            <w:tcW w:w="568" w:type="dxa"/>
          </w:tcPr>
          <w:p w:rsidR="007173BF" w:rsidRPr="00577593" w:rsidRDefault="0063008D" w:rsidP="000F76C4">
            <w:pPr>
              <w:widowControl w:val="0"/>
              <w:spacing w:after="0" w:line="240" w:lineRule="auto"/>
              <w:ind w:left="-113" w:right="-113"/>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2.4.1</w:t>
            </w:r>
          </w:p>
        </w:tc>
        <w:tc>
          <w:tcPr>
            <w:tcW w:w="7371" w:type="dxa"/>
            <w:shd w:val="clear" w:color="auto" w:fill="auto"/>
            <w:noWrap/>
          </w:tcPr>
          <w:p w:rsidR="007173BF" w:rsidRPr="00577593" w:rsidRDefault="007173BF" w:rsidP="002000D4">
            <w:pPr>
              <w:widowControl w:val="0"/>
              <w:spacing w:after="0" w:line="240" w:lineRule="auto"/>
              <w:jc w:val="both"/>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 xml:space="preserve">Число посещений организаций культуры </w:t>
            </w:r>
          </w:p>
        </w:tc>
        <w:tc>
          <w:tcPr>
            <w:tcW w:w="1701"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тыс. единиц</w:t>
            </w:r>
          </w:p>
        </w:tc>
        <w:tc>
          <w:tcPr>
            <w:tcW w:w="1843"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1581,2</w:t>
            </w:r>
          </w:p>
        </w:tc>
        <w:tc>
          <w:tcPr>
            <w:tcW w:w="1559"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2628,6</w:t>
            </w:r>
          </w:p>
        </w:tc>
        <w:tc>
          <w:tcPr>
            <w:tcW w:w="1550" w:type="dxa"/>
            <w:shd w:val="clear" w:color="auto" w:fill="auto"/>
            <w:noWrap/>
          </w:tcPr>
          <w:p w:rsidR="007173BF" w:rsidRPr="00577593" w:rsidRDefault="007173BF" w:rsidP="00CA4CA6">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3000,0</w:t>
            </w:r>
          </w:p>
        </w:tc>
      </w:tr>
      <w:tr w:rsidR="007173BF" w:rsidRPr="00577593" w:rsidTr="000F76C4">
        <w:trPr>
          <w:trHeight w:val="249"/>
        </w:trPr>
        <w:tc>
          <w:tcPr>
            <w:tcW w:w="568" w:type="dxa"/>
          </w:tcPr>
          <w:p w:rsidR="007173BF" w:rsidRPr="00577593" w:rsidRDefault="0063008D" w:rsidP="000F76C4">
            <w:pPr>
              <w:widowControl w:val="0"/>
              <w:spacing w:after="0" w:line="240" w:lineRule="auto"/>
              <w:ind w:left="-113" w:right="-113"/>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2.4.2</w:t>
            </w:r>
          </w:p>
        </w:tc>
        <w:tc>
          <w:tcPr>
            <w:tcW w:w="7371" w:type="dxa"/>
            <w:shd w:val="clear" w:color="auto" w:fill="auto"/>
          </w:tcPr>
          <w:p w:rsidR="007173BF" w:rsidRPr="00577593" w:rsidRDefault="007173BF" w:rsidP="002000D4">
            <w:pPr>
              <w:widowControl w:val="0"/>
              <w:spacing w:after="0" w:line="240" w:lineRule="auto"/>
              <w:jc w:val="both"/>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Количество крупных общегородских культурно-массовых мероприятий</w:t>
            </w:r>
          </w:p>
        </w:tc>
        <w:tc>
          <w:tcPr>
            <w:tcW w:w="1701"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единиц ежегодно</w:t>
            </w:r>
          </w:p>
        </w:tc>
        <w:tc>
          <w:tcPr>
            <w:tcW w:w="1843"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87</w:t>
            </w:r>
          </w:p>
        </w:tc>
        <w:tc>
          <w:tcPr>
            <w:tcW w:w="1559"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не менее 79</w:t>
            </w:r>
          </w:p>
        </w:tc>
        <w:tc>
          <w:tcPr>
            <w:tcW w:w="1550" w:type="dxa"/>
            <w:shd w:val="clear" w:color="auto" w:fill="auto"/>
            <w:noWrap/>
          </w:tcPr>
          <w:p w:rsidR="007173BF" w:rsidRPr="00577593" w:rsidRDefault="007173BF" w:rsidP="00CA4CA6">
            <w:pPr>
              <w:widowControl w:val="0"/>
              <w:spacing w:after="0" w:line="240" w:lineRule="auto"/>
              <w:jc w:val="center"/>
              <w:rPr>
                <w:rFonts w:ascii="Times New Roman" w:eastAsia="Times New Roman" w:hAnsi="Times New Roman"/>
                <w:sz w:val="24"/>
                <w:szCs w:val="24"/>
                <w:lang w:val="en-US" w:eastAsia="ru-RU"/>
              </w:rPr>
            </w:pPr>
            <w:r w:rsidRPr="00577593">
              <w:rPr>
                <w:rFonts w:ascii="Times New Roman" w:eastAsia="Times New Roman" w:hAnsi="Times New Roman"/>
                <w:sz w:val="24"/>
                <w:szCs w:val="24"/>
                <w:lang w:eastAsia="ru-RU"/>
              </w:rPr>
              <w:t>не менее 79</w:t>
            </w:r>
          </w:p>
        </w:tc>
      </w:tr>
      <w:tr w:rsidR="0063008D" w:rsidRPr="00577593" w:rsidTr="000F76C4">
        <w:trPr>
          <w:trHeight w:val="399"/>
        </w:trPr>
        <w:tc>
          <w:tcPr>
            <w:tcW w:w="14592" w:type="dxa"/>
            <w:gridSpan w:val="6"/>
          </w:tcPr>
          <w:p w:rsidR="0063008D" w:rsidRPr="00577593" w:rsidRDefault="0063008D" w:rsidP="000F76C4">
            <w:pPr>
              <w:widowControl w:val="0"/>
              <w:spacing w:after="0" w:line="240" w:lineRule="auto"/>
              <w:ind w:left="-113" w:right="-113"/>
              <w:jc w:val="both"/>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2.5. Развитие физической культуры и спорта</w:t>
            </w:r>
          </w:p>
        </w:tc>
      </w:tr>
      <w:tr w:rsidR="007173BF" w:rsidRPr="00577593" w:rsidTr="000F76C4">
        <w:trPr>
          <w:trHeight w:val="638"/>
        </w:trPr>
        <w:tc>
          <w:tcPr>
            <w:tcW w:w="568" w:type="dxa"/>
          </w:tcPr>
          <w:p w:rsidR="007173BF" w:rsidRPr="00577593" w:rsidRDefault="0063008D" w:rsidP="000F76C4">
            <w:pPr>
              <w:widowControl w:val="0"/>
              <w:spacing w:after="0" w:line="240" w:lineRule="auto"/>
              <w:ind w:left="-113" w:right="-113"/>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2.5.1</w:t>
            </w:r>
          </w:p>
        </w:tc>
        <w:tc>
          <w:tcPr>
            <w:tcW w:w="7371" w:type="dxa"/>
            <w:shd w:val="clear" w:color="auto" w:fill="auto"/>
          </w:tcPr>
          <w:p w:rsidR="007173BF" w:rsidRPr="00577593" w:rsidRDefault="007173BF" w:rsidP="002000D4">
            <w:pPr>
              <w:widowControl w:val="0"/>
              <w:spacing w:after="0" w:line="240" w:lineRule="auto"/>
              <w:jc w:val="both"/>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Доля граждан города Барнаула, систематически занимающегося физической культурой и спортом</w:t>
            </w:r>
          </w:p>
        </w:tc>
        <w:tc>
          <w:tcPr>
            <w:tcW w:w="1701"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w:t>
            </w:r>
          </w:p>
        </w:tc>
        <w:tc>
          <w:tcPr>
            <w:tcW w:w="1843"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63,3</w:t>
            </w:r>
          </w:p>
        </w:tc>
        <w:tc>
          <w:tcPr>
            <w:tcW w:w="1559"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70,0</w:t>
            </w:r>
          </w:p>
        </w:tc>
        <w:tc>
          <w:tcPr>
            <w:tcW w:w="1550" w:type="dxa"/>
            <w:shd w:val="clear" w:color="auto" w:fill="auto"/>
            <w:noWrap/>
          </w:tcPr>
          <w:p w:rsidR="007173BF" w:rsidRPr="00577593" w:rsidRDefault="007173BF" w:rsidP="00CA4CA6">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70,5</w:t>
            </w:r>
          </w:p>
        </w:tc>
      </w:tr>
      <w:tr w:rsidR="007173BF" w:rsidRPr="00577593" w:rsidTr="000F76C4">
        <w:trPr>
          <w:trHeight w:val="956"/>
        </w:trPr>
        <w:tc>
          <w:tcPr>
            <w:tcW w:w="568" w:type="dxa"/>
          </w:tcPr>
          <w:p w:rsidR="007173BF" w:rsidRPr="00577593" w:rsidRDefault="0063008D" w:rsidP="000F76C4">
            <w:pPr>
              <w:widowControl w:val="0"/>
              <w:spacing w:after="0" w:line="240" w:lineRule="auto"/>
              <w:ind w:left="-113" w:right="-113"/>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2.5.2</w:t>
            </w:r>
          </w:p>
        </w:tc>
        <w:tc>
          <w:tcPr>
            <w:tcW w:w="7371" w:type="dxa"/>
            <w:shd w:val="clear" w:color="auto" w:fill="auto"/>
          </w:tcPr>
          <w:p w:rsidR="007173BF" w:rsidRPr="00577593" w:rsidRDefault="007173BF" w:rsidP="002000D4">
            <w:pPr>
              <w:widowControl w:val="0"/>
              <w:spacing w:after="0" w:line="240" w:lineRule="auto"/>
              <w:jc w:val="both"/>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Уровень обеспеченности граждан города Барнаула спортивными сооружениями, исходя из единовременной пропускной способности объектов спорта, расположенных на территории города Барнаула</w:t>
            </w:r>
          </w:p>
        </w:tc>
        <w:tc>
          <w:tcPr>
            <w:tcW w:w="1701"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w:t>
            </w:r>
          </w:p>
        </w:tc>
        <w:tc>
          <w:tcPr>
            <w:tcW w:w="1843"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75,5</w:t>
            </w:r>
          </w:p>
        </w:tc>
        <w:tc>
          <w:tcPr>
            <w:tcW w:w="1559"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75,5</w:t>
            </w:r>
          </w:p>
        </w:tc>
        <w:tc>
          <w:tcPr>
            <w:tcW w:w="1550" w:type="dxa"/>
            <w:shd w:val="clear" w:color="auto" w:fill="auto"/>
            <w:noWrap/>
          </w:tcPr>
          <w:p w:rsidR="007173BF" w:rsidRPr="00577593" w:rsidRDefault="007173BF" w:rsidP="00CA4CA6">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77,0</w:t>
            </w:r>
          </w:p>
        </w:tc>
      </w:tr>
      <w:tr w:rsidR="0063008D" w:rsidRPr="00577593" w:rsidTr="000F76C4">
        <w:trPr>
          <w:trHeight w:val="399"/>
        </w:trPr>
        <w:tc>
          <w:tcPr>
            <w:tcW w:w="14592" w:type="dxa"/>
            <w:gridSpan w:val="6"/>
          </w:tcPr>
          <w:p w:rsidR="0063008D" w:rsidRPr="00577593" w:rsidRDefault="0063008D" w:rsidP="000F76C4">
            <w:pPr>
              <w:widowControl w:val="0"/>
              <w:spacing w:after="0" w:line="240" w:lineRule="auto"/>
              <w:ind w:left="-113" w:right="-113"/>
              <w:jc w:val="both"/>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2.6. Реализация молодежной политики</w:t>
            </w:r>
          </w:p>
        </w:tc>
      </w:tr>
      <w:tr w:rsidR="007173BF" w:rsidRPr="00577593" w:rsidTr="000F76C4">
        <w:trPr>
          <w:trHeight w:val="799"/>
        </w:trPr>
        <w:tc>
          <w:tcPr>
            <w:tcW w:w="568" w:type="dxa"/>
          </w:tcPr>
          <w:p w:rsidR="007173BF" w:rsidRPr="00577593" w:rsidRDefault="0063008D" w:rsidP="000F76C4">
            <w:pPr>
              <w:widowControl w:val="0"/>
              <w:spacing w:after="0" w:line="240" w:lineRule="auto"/>
              <w:ind w:left="-113" w:right="-113"/>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2.6.1</w:t>
            </w:r>
          </w:p>
        </w:tc>
        <w:tc>
          <w:tcPr>
            <w:tcW w:w="7371" w:type="dxa"/>
            <w:shd w:val="clear" w:color="auto" w:fill="auto"/>
          </w:tcPr>
          <w:p w:rsidR="007173BF" w:rsidRPr="00577593" w:rsidRDefault="007173BF" w:rsidP="002000D4">
            <w:pPr>
              <w:widowControl w:val="0"/>
              <w:spacing w:after="0" w:line="240" w:lineRule="auto"/>
              <w:jc w:val="both"/>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Доля молодых людей, участвующих в проектах и программах, направленных на профессиональное, личностное развитие и патриотическое воспитание</w:t>
            </w:r>
          </w:p>
        </w:tc>
        <w:tc>
          <w:tcPr>
            <w:tcW w:w="1701"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w:t>
            </w:r>
          </w:p>
        </w:tc>
        <w:tc>
          <w:tcPr>
            <w:tcW w:w="1843"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w:t>
            </w:r>
          </w:p>
        </w:tc>
        <w:tc>
          <w:tcPr>
            <w:tcW w:w="1559"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 xml:space="preserve">не менее </w:t>
            </w:r>
          </w:p>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75,0</w:t>
            </w:r>
          </w:p>
        </w:tc>
        <w:tc>
          <w:tcPr>
            <w:tcW w:w="1550" w:type="dxa"/>
            <w:shd w:val="clear" w:color="auto" w:fill="auto"/>
            <w:noWrap/>
          </w:tcPr>
          <w:p w:rsidR="007173BF" w:rsidRPr="00577593" w:rsidRDefault="007173BF" w:rsidP="00CA4CA6">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не менее</w:t>
            </w:r>
          </w:p>
          <w:p w:rsidR="007173BF" w:rsidRPr="00577593" w:rsidRDefault="007173BF" w:rsidP="00CA4CA6">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75,0</w:t>
            </w:r>
          </w:p>
        </w:tc>
      </w:tr>
      <w:tr w:rsidR="007173BF" w:rsidRPr="00577593" w:rsidTr="000F76C4">
        <w:trPr>
          <w:trHeight w:val="279"/>
        </w:trPr>
        <w:tc>
          <w:tcPr>
            <w:tcW w:w="568" w:type="dxa"/>
          </w:tcPr>
          <w:p w:rsidR="007173BF" w:rsidRPr="00577593" w:rsidRDefault="0063008D" w:rsidP="000F76C4">
            <w:pPr>
              <w:widowControl w:val="0"/>
              <w:spacing w:after="0" w:line="240" w:lineRule="auto"/>
              <w:ind w:left="-113" w:right="-113"/>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2.6.2</w:t>
            </w:r>
          </w:p>
        </w:tc>
        <w:tc>
          <w:tcPr>
            <w:tcW w:w="7371" w:type="dxa"/>
            <w:shd w:val="clear" w:color="auto" w:fill="auto"/>
          </w:tcPr>
          <w:p w:rsidR="007173BF" w:rsidRPr="00577593" w:rsidRDefault="007173BF" w:rsidP="002000D4">
            <w:pPr>
              <w:widowControl w:val="0"/>
              <w:spacing w:after="0" w:line="240" w:lineRule="auto"/>
              <w:jc w:val="both"/>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Доля молодых людей, вовлеченных в добровольческую и общественную деятельность</w:t>
            </w:r>
          </w:p>
        </w:tc>
        <w:tc>
          <w:tcPr>
            <w:tcW w:w="1701"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w:t>
            </w:r>
          </w:p>
        </w:tc>
        <w:tc>
          <w:tcPr>
            <w:tcW w:w="1843"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w:t>
            </w:r>
          </w:p>
        </w:tc>
        <w:tc>
          <w:tcPr>
            <w:tcW w:w="1559"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 xml:space="preserve">не менее </w:t>
            </w:r>
          </w:p>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45,0</w:t>
            </w:r>
          </w:p>
        </w:tc>
        <w:tc>
          <w:tcPr>
            <w:tcW w:w="1550" w:type="dxa"/>
            <w:shd w:val="clear" w:color="auto" w:fill="auto"/>
            <w:noWrap/>
          </w:tcPr>
          <w:p w:rsidR="007173BF" w:rsidRPr="00577593" w:rsidRDefault="007173BF" w:rsidP="00CA4CA6">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не менее</w:t>
            </w:r>
          </w:p>
          <w:p w:rsidR="007173BF" w:rsidRPr="00577593" w:rsidRDefault="007173BF" w:rsidP="00CA4CA6">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45,0</w:t>
            </w:r>
          </w:p>
        </w:tc>
      </w:tr>
      <w:tr w:rsidR="0063008D" w:rsidRPr="00577593" w:rsidTr="000F76C4">
        <w:trPr>
          <w:trHeight w:val="399"/>
        </w:trPr>
        <w:tc>
          <w:tcPr>
            <w:tcW w:w="14592" w:type="dxa"/>
            <w:gridSpan w:val="6"/>
          </w:tcPr>
          <w:p w:rsidR="0063008D" w:rsidRPr="00577593" w:rsidRDefault="0063008D" w:rsidP="000F76C4">
            <w:pPr>
              <w:widowControl w:val="0"/>
              <w:spacing w:after="0" w:line="240" w:lineRule="auto"/>
              <w:ind w:left="-113" w:right="-113"/>
              <w:jc w:val="both"/>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Цель 3. Комфортная городская среда</w:t>
            </w:r>
          </w:p>
        </w:tc>
      </w:tr>
      <w:tr w:rsidR="0063008D" w:rsidRPr="00577593" w:rsidTr="000F76C4">
        <w:trPr>
          <w:trHeight w:val="399"/>
        </w:trPr>
        <w:tc>
          <w:tcPr>
            <w:tcW w:w="14592" w:type="dxa"/>
            <w:gridSpan w:val="6"/>
          </w:tcPr>
          <w:p w:rsidR="0063008D" w:rsidRPr="00577593" w:rsidRDefault="0063008D" w:rsidP="000F76C4">
            <w:pPr>
              <w:widowControl w:val="0"/>
              <w:spacing w:after="0" w:line="240" w:lineRule="auto"/>
              <w:ind w:left="-113" w:right="-113"/>
              <w:jc w:val="both"/>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3.1. Градостроительная политика и пространственное развитие</w:t>
            </w:r>
          </w:p>
        </w:tc>
      </w:tr>
      <w:tr w:rsidR="007173BF" w:rsidRPr="00577593" w:rsidTr="000F76C4">
        <w:trPr>
          <w:trHeight w:val="399"/>
        </w:trPr>
        <w:tc>
          <w:tcPr>
            <w:tcW w:w="568" w:type="dxa"/>
          </w:tcPr>
          <w:p w:rsidR="007173BF" w:rsidRPr="00577593" w:rsidRDefault="0063008D" w:rsidP="000F76C4">
            <w:pPr>
              <w:widowControl w:val="0"/>
              <w:spacing w:after="0" w:line="240" w:lineRule="auto"/>
              <w:ind w:left="-113" w:right="-113"/>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3.1.1</w:t>
            </w:r>
          </w:p>
        </w:tc>
        <w:tc>
          <w:tcPr>
            <w:tcW w:w="7371" w:type="dxa"/>
            <w:shd w:val="clear" w:color="auto" w:fill="auto"/>
          </w:tcPr>
          <w:p w:rsidR="007173BF" w:rsidRPr="00577593" w:rsidRDefault="007173BF" w:rsidP="002000D4">
            <w:pPr>
              <w:widowControl w:val="0"/>
              <w:spacing w:after="0" w:line="240" w:lineRule="auto"/>
              <w:jc w:val="both"/>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Общая площадь жилых помещений, приходящаяся в среднем на одного жителя</w:t>
            </w:r>
          </w:p>
        </w:tc>
        <w:tc>
          <w:tcPr>
            <w:tcW w:w="1701" w:type="dxa"/>
            <w:shd w:val="clear" w:color="auto" w:fill="auto"/>
            <w:noWrap/>
          </w:tcPr>
          <w:p w:rsidR="007173BF" w:rsidRPr="00577593" w:rsidRDefault="000F76C4" w:rsidP="002000D4">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кв. м</w:t>
            </w:r>
          </w:p>
        </w:tc>
        <w:tc>
          <w:tcPr>
            <w:tcW w:w="1843"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28,3</w:t>
            </w:r>
          </w:p>
        </w:tc>
        <w:tc>
          <w:tcPr>
            <w:tcW w:w="1559"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31,6</w:t>
            </w:r>
          </w:p>
        </w:tc>
        <w:tc>
          <w:tcPr>
            <w:tcW w:w="1550" w:type="dxa"/>
            <w:shd w:val="clear" w:color="auto" w:fill="auto"/>
            <w:noWrap/>
          </w:tcPr>
          <w:p w:rsidR="007173BF" w:rsidRPr="00577593" w:rsidRDefault="007173BF" w:rsidP="00CA4CA6">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34,4</w:t>
            </w:r>
          </w:p>
        </w:tc>
      </w:tr>
      <w:tr w:rsidR="007173BF" w:rsidRPr="00577593" w:rsidTr="000F76C4">
        <w:trPr>
          <w:trHeight w:val="399"/>
        </w:trPr>
        <w:tc>
          <w:tcPr>
            <w:tcW w:w="568" w:type="dxa"/>
          </w:tcPr>
          <w:p w:rsidR="007173BF" w:rsidRPr="00577593" w:rsidRDefault="0063008D" w:rsidP="000F76C4">
            <w:pPr>
              <w:widowControl w:val="0"/>
              <w:spacing w:after="0" w:line="240" w:lineRule="auto"/>
              <w:ind w:left="-113" w:right="-113"/>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3.1.2</w:t>
            </w:r>
          </w:p>
        </w:tc>
        <w:tc>
          <w:tcPr>
            <w:tcW w:w="7371" w:type="dxa"/>
            <w:shd w:val="clear" w:color="auto" w:fill="auto"/>
          </w:tcPr>
          <w:p w:rsidR="007173BF" w:rsidRPr="00577593" w:rsidRDefault="007173BF" w:rsidP="002000D4">
            <w:pPr>
              <w:widowControl w:val="0"/>
              <w:spacing w:after="0" w:line="240" w:lineRule="auto"/>
              <w:jc w:val="both"/>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Доля аварийного и ветхого жилья в общей площади жилищного фонда</w:t>
            </w:r>
          </w:p>
        </w:tc>
        <w:tc>
          <w:tcPr>
            <w:tcW w:w="1701"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w:t>
            </w:r>
          </w:p>
        </w:tc>
        <w:tc>
          <w:tcPr>
            <w:tcW w:w="1843"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0,4</w:t>
            </w:r>
          </w:p>
        </w:tc>
        <w:tc>
          <w:tcPr>
            <w:tcW w:w="1559"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не более 1,0</w:t>
            </w:r>
          </w:p>
        </w:tc>
        <w:tc>
          <w:tcPr>
            <w:tcW w:w="1550" w:type="dxa"/>
            <w:shd w:val="clear" w:color="auto" w:fill="auto"/>
            <w:noWrap/>
          </w:tcPr>
          <w:p w:rsidR="007173BF" w:rsidRPr="00577593" w:rsidRDefault="007173BF" w:rsidP="00CA4CA6">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не более 1,0</w:t>
            </w:r>
          </w:p>
        </w:tc>
      </w:tr>
      <w:tr w:rsidR="007173BF" w:rsidRPr="00577593" w:rsidTr="000F76C4">
        <w:trPr>
          <w:trHeight w:val="451"/>
        </w:trPr>
        <w:tc>
          <w:tcPr>
            <w:tcW w:w="568" w:type="dxa"/>
          </w:tcPr>
          <w:p w:rsidR="007173BF" w:rsidRPr="00577593" w:rsidRDefault="0063008D" w:rsidP="000F76C4">
            <w:pPr>
              <w:widowControl w:val="0"/>
              <w:spacing w:after="0" w:line="240" w:lineRule="auto"/>
              <w:ind w:left="-113" w:right="-113"/>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lastRenderedPageBreak/>
              <w:t>3.1.3</w:t>
            </w:r>
          </w:p>
        </w:tc>
        <w:tc>
          <w:tcPr>
            <w:tcW w:w="7371" w:type="dxa"/>
            <w:shd w:val="clear" w:color="auto" w:fill="auto"/>
          </w:tcPr>
          <w:p w:rsidR="007173BF" w:rsidRPr="00577593" w:rsidRDefault="007173BF" w:rsidP="002000D4">
            <w:pPr>
              <w:widowControl w:val="0"/>
              <w:spacing w:after="0" w:line="240" w:lineRule="auto"/>
              <w:jc w:val="both"/>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Обновление к 2030 году жилищного фонда по сравнению с показателем 2019 года</w:t>
            </w:r>
          </w:p>
        </w:tc>
        <w:tc>
          <w:tcPr>
            <w:tcW w:w="1701"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w:t>
            </w:r>
          </w:p>
        </w:tc>
        <w:tc>
          <w:tcPr>
            <w:tcW w:w="1843"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14,3</w:t>
            </w:r>
          </w:p>
        </w:tc>
        <w:tc>
          <w:tcPr>
            <w:tcW w:w="1559"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24,7</w:t>
            </w:r>
          </w:p>
        </w:tc>
        <w:tc>
          <w:tcPr>
            <w:tcW w:w="1550" w:type="dxa"/>
            <w:shd w:val="clear" w:color="auto" w:fill="auto"/>
            <w:noWrap/>
          </w:tcPr>
          <w:p w:rsidR="007173BF" w:rsidRPr="00577593" w:rsidRDefault="007173BF" w:rsidP="00CA4CA6">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30,0</w:t>
            </w:r>
          </w:p>
        </w:tc>
      </w:tr>
      <w:tr w:rsidR="0063008D" w:rsidRPr="00577593" w:rsidTr="000F76C4">
        <w:trPr>
          <w:trHeight w:val="399"/>
        </w:trPr>
        <w:tc>
          <w:tcPr>
            <w:tcW w:w="14592" w:type="dxa"/>
            <w:gridSpan w:val="6"/>
          </w:tcPr>
          <w:p w:rsidR="0063008D" w:rsidRPr="00577593" w:rsidRDefault="0063008D" w:rsidP="000F76C4">
            <w:pPr>
              <w:widowControl w:val="0"/>
              <w:spacing w:after="0" w:line="240" w:lineRule="auto"/>
              <w:ind w:left="-113" w:right="-113"/>
              <w:jc w:val="both"/>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3.2. Развитие жилищно-коммунального хозяйства</w:t>
            </w:r>
          </w:p>
        </w:tc>
      </w:tr>
      <w:tr w:rsidR="007173BF" w:rsidRPr="00577593" w:rsidTr="000F76C4">
        <w:trPr>
          <w:trHeight w:val="399"/>
        </w:trPr>
        <w:tc>
          <w:tcPr>
            <w:tcW w:w="568" w:type="dxa"/>
          </w:tcPr>
          <w:p w:rsidR="007173BF" w:rsidRPr="00577593" w:rsidRDefault="0063008D" w:rsidP="000F76C4">
            <w:pPr>
              <w:widowControl w:val="0"/>
              <w:spacing w:after="0" w:line="240" w:lineRule="auto"/>
              <w:ind w:left="-113" w:right="-113"/>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3.2.1</w:t>
            </w:r>
          </w:p>
        </w:tc>
        <w:tc>
          <w:tcPr>
            <w:tcW w:w="7371" w:type="dxa"/>
            <w:shd w:val="clear" w:color="auto" w:fill="auto"/>
          </w:tcPr>
          <w:p w:rsidR="007173BF" w:rsidRPr="00577593" w:rsidRDefault="007173BF" w:rsidP="002000D4">
            <w:pPr>
              <w:widowControl w:val="0"/>
              <w:spacing w:after="0" w:line="240" w:lineRule="auto"/>
              <w:jc w:val="both"/>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Уровень газификации жилого фонда, подлежащего переводу на природный газ</w:t>
            </w:r>
          </w:p>
        </w:tc>
        <w:tc>
          <w:tcPr>
            <w:tcW w:w="1701"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w:t>
            </w:r>
          </w:p>
        </w:tc>
        <w:tc>
          <w:tcPr>
            <w:tcW w:w="1843"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32,2</w:t>
            </w:r>
          </w:p>
        </w:tc>
        <w:tc>
          <w:tcPr>
            <w:tcW w:w="1559"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34,6</w:t>
            </w:r>
          </w:p>
        </w:tc>
        <w:tc>
          <w:tcPr>
            <w:tcW w:w="1550" w:type="dxa"/>
            <w:shd w:val="clear" w:color="auto" w:fill="auto"/>
            <w:noWrap/>
          </w:tcPr>
          <w:p w:rsidR="007173BF" w:rsidRPr="00577593" w:rsidRDefault="007173BF" w:rsidP="00CA4CA6">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35,7</w:t>
            </w:r>
          </w:p>
        </w:tc>
      </w:tr>
      <w:tr w:rsidR="007173BF" w:rsidRPr="00577593" w:rsidTr="000F76C4">
        <w:trPr>
          <w:trHeight w:val="590"/>
        </w:trPr>
        <w:tc>
          <w:tcPr>
            <w:tcW w:w="568" w:type="dxa"/>
          </w:tcPr>
          <w:p w:rsidR="007173BF" w:rsidRPr="00577593" w:rsidRDefault="0063008D" w:rsidP="000F76C4">
            <w:pPr>
              <w:widowControl w:val="0"/>
              <w:spacing w:after="0" w:line="240" w:lineRule="auto"/>
              <w:ind w:left="-113" w:right="-113"/>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3.2.2</w:t>
            </w:r>
          </w:p>
        </w:tc>
        <w:tc>
          <w:tcPr>
            <w:tcW w:w="7371" w:type="dxa"/>
            <w:shd w:val="clear" w:color="auto" w:fill="auto"/>
          </w:tcPr>
          <w:p w:rsidR="007173BF" w:rsidRPr="00577593" w:rsidRDefault="007173BF" w:rsidP="002000D4">
            <w:pPr>
              <w:widowControl w:val="0"/>
              <w:spacing w:after="0" w:line="240" w:lineRule="auto"/>
              <w:jc w:val="both"/>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 xml:space="preserve">Количество построенных и реконструированных (модернизированных) объектов питьевого водоснабжения и водоподготовки </w:t>
            </w:r>
            <w:r w:rsidRPr="00577593">
              <w:rPr>
                <w:rStyle w:val="af9"/>
                <w:rFonts w:ascii="Times New Roman" w:eastAsia="Times New Roman" w:hAnsi="Times New Roman"/>
                <w:sz w:val="24"/>
                <w:szCs w:val="24"/>
                <w:lang w:eastAsia="ru-RU"/>
              </w:rPr>
              <w:footnoteReference w:id="6"/>
            </w:r>
          </w:p>
        </w:tc>
        <w:tc>
          <w:tcPr>
            <w:tcW w:w="1701"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единиц</w:t>
            </w:r>
          </w:p>
        </w:tc>
        <w:tc>
          <w:tcPr>
            <w:tcW w:w="1843"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3</w:t>
            </w:r>
          </w:p>
        </w:tc>
        <w:tc>
          <w:tcPr>
            <w:tcW w:w="1559"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8</w:t>
            </w:r>
          </w:p>
        </w:tc>
        <w:tc>
          <w:tcPr>
            <w:tcW w:w="1550" w:type="dxa"/>
            <w:shd w:val="clear" w:color="auto" w:fill="auto"/>
            <w:noWrap/>
          </w:tcPr>
          <w:p w:rsidR="007173BF" w:rsidRPr="00577593" w:rsidRDefault="007173BF" w:rsidP="00CA4CA6">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12</w:t>
            </w:r>
          </w:p>
        </w:tc>
      </w:tr>
      <w:tr w:rsidR="007173BF" w:rsidRPr="00577593" w:rsidTr="000F76C4">
        <w:trPr>
          <w:trHeight w:val="721"/>
        </w:trPr>
        <w:tc>
          <w:tcPr>
            <w:tcW w:w="568" w:type="dxa"/>
          </w:tcPr>
          <w:p w:rsidR="007173BF" w:rsidRPr="00577593" w:rsidRDefault="0063008D" w:rsidP="000F76C4">
            <w:pPr>
              <w:widowControl w:val="0"/>
              <w:spacing w:after="0" w:line="240" w:lineRule="auto"/>
              <w:ind w:left="-113" w:right="-113"/>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3.2.3</w:t>
            </w:r>
          </w:p>
        </w:tc>
        <w:tc>
          <w:tcPr>
            <w:tcW w:w="7371" w:type="dxa"/>
            <w:shd w:val="clear" w:color="auto" w:fill="auto"/>
          </w:tcPr>
          <w:p w:rsidR="007173BF" w:rsidRPr="00577593" w:rsidRDefault="007173BF" w:rsidP="002000D4">
            <w:pPr>
              <w:widowControl w:val="0"/>
              <w:spacing w:after="0" w:line="240" w:lineRule="auto"/>
              <w:ind w:right="1168"/>
              <w:jc w:val="both"/>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Доля источников водоснабжения пригородной зоны города Барнаула, на которых получены пробы питьевой воды, не соответствующие установленным требованиям санитарных норм и правил</w:t>
            </w:r>
          </w:p>
        </w:tc>
        <w:tc>
          <w:tcPr>
            <w:tcW w:w="1701"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w:t>
            </w:r>
          </w:p>
        </w:tc>
        <w:tc>
          <w:tcPr>
            <w:tcW w:w="1843"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78,0</w:t>
            </w:r>
          </w:p>
        </w:tc>
        <w:tc>
          <w:tcPr>
            <w:tcW w:w="1559"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68,0</w:t>
            </w:r>
          </w:p>
        </w:tc>
        <w:tc>
          <w:tcPr>
            <w:tcW w:w="1550" w:type="dxa"/>
            <w:shd w:val="clear" w:color="auto" w:fill="auto"/>
            <w:noWrap/>
          </w:tcPr>
          <w:p w:rsidR="007173BF" w:rsidRPr="00577593" w:rsidRDefault="007173BF" w:rsidP="00CA4CA6">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64,0</w:t>
            </w:r>
          </w:p>
        </w:tc>
      </w:tr>
      <w:tr w:rsidR="007173BF" w:rsidRPr="00577593" w:rsidTr="000F76C4">
        <w:trPr>
          <w:trHeight w:val="735"/>
        </w:trPr>
        <w:tc>
          <w:tcPr>
            <w:tcW w:w="568" w:type="dxa"/>
          </w:tcPr>
          <w:p w:rsidR="007173BF" w:rsidRPr="00577593" w:rsidRDefault="0063008D" w:rsidP="000F76C4">
            <w:pPr>
              <w:widowControl w:val="0"/>
              <w:spacing w:after="0" w:line="240" w:lineRule="auto"/>
              <w:ind w:left="-113" w:right="-113"/>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3.2.4</w:t>
            </w:r>
          </w:p>
        </w:tc>
        <w:tc>
          <w:tcPr>
            <w:tcW w:w="7371" w:type="dxa"/>
            <w:shd w:val="clear" w:color="auto" w:fill="auto"/>
          </w:tcPr>
          <w:p w:rsidR="007173BF" w:rsidRPr="00577593" w:rsidRDefault="007173BF" w:rsidP="002000D4">
            <w:pPr>
              <w:widowControl w:val="0"/>
              <w:spacing w:after="0" w:line="240" w:lineRule="auto"/>
              <w:jc w:val="both"/>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 xml:space="preserve">Протяженность отремонтированных линейных объектов инженерной инфраструктуры с учетом всех источников финансирования </w:t>
            </w:r>
            <w:r w:rsidRPr="00577593">
              <w:rPr>
                <w:rFonts w:ascii="Times New Roman" w:eastAsia="Times New Roman" w:hAnsi="Times New Roman"/>
                <w:sz w:val="24"/>
                <w:szCs w:val="24"/>
                <w:vertAlign w:val="superscript"/>
                <w:lang w:eastAsia="ru-RU"/>
              </w:rPr>
              <w:t>13</w:t>
            </w:r>
          </w:p>
        </w:tc>
        <w:tc>
          <w:tcPr>
            <w:tcW w:w="1701"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км</w:t>
            </w:r>
          </w:p>
        </w:tc>
        <w:tc>
          <w:tcPr>
            <w:tcW w:w="1843"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142,2</w:t>
            </w:r>
          </w:p>
        </w:tc>
        <w:tc>
          <w:tcPr>
            <w:tcW w:w="1559"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887,0</w:t>
            </w:r>
          </w:p>
        </w:tc>
        <w:tc>
          <w:tcPr>
            <w:tcW w:w="1550" w:type="dxa"/>
            <w:shd w:val="clear" w:color="auto" w:fill="auto"/>
            <w:noWrap/>
          </w:tcPr>
          <w:p w:rsidR="007173BF" w:rsidRPr="00577593" w:rsidRDefault="007173BF" w:rsidP="00CA4CA6">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1607,0</w:t>
            </w:r>
          </w:p>
        </w:tc>
      </w:tr>
      <w:tr w:rsidR="0063008D" w:rsidRPr="00577593" w:rsidTr="000F76C4">
        <w:trPr>
          <w:trHeight w:val="399"/>
        </w:trPr>
        <w:tc>
          <w:tcPr>
            <w:tcW w:w="14592" w:type="dxa"/>
            <w:gridSpan w:val="6"/>
          </w:tcPr>
          <w:p w:rsidR="0063008D" w:rsidRPr="00577593" w:rsidRDefault="0063008D" w:rsidP="000F76C4">
            <w:pPr>
              <w:widowControl w:val="0"/>
              <w:spacing w:after="0" w:line="240" w:lineRule="auto"/>
              <w:ind w:left="-113" w:right="-113"/>
              <w:jc w:val="both"/>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3.3. Развитие транспортной системы</w:t>
            </w:r>
          </w:p>
        </w:tc>
      </w:tr>
      <w:tr w:rsidR="007173BF" w:rsidRPr="00577593" w:rsidTr="000F76C4">
        <w:trPr>
          <w:trHeight w:val="682"/>
        </w:trPr>
        <w:tc>
          <w:tcPr>
            <w:tcW w:w="568" w:type="dxa"/>
          </w:tcPr>
          <w:p w:rsidR="007173BF" w:rsidRPr="00577593" w:rsidRDefault="0063008D" w:rsidP="000F76C4">
            <w:pPr>
              <w:widowControl w:val="0"/>
              <w:spacing w:after="0" w:line="240" w:lineRule="auto"/>
              <w:ind w:left="-113" w:right="-113"/>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3.3.1</w:t>
            </w:r>
          </w:p>
        </w:tc>
        <w:tc>
          <w:tcPr>
            <w:tcW w:w="7371" w:type="dxa"/>
            <w:shd w:val="clear" w:color="auto" w:fill="auto"/>
          </w:tcPr>
          <w:p w:rsidR="007173BF" w:rsidRPr="00577593" w:rsidRDefault="007173BF" w:rsidP="002000D4">
            <w:pPr>
              <w:widowControl w:val="0"/>
              <w:spacing w:after="0" w:line="240" w:lineRule="auto"/>
              <w:jc w:val="both"/>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Доля парка общественного транспорта, имеющего срок эксплуатации не старше нормативного</w:t>
            </w:r>
          </w:p>
        </w:tc>
        <w:tc>
          <w:tcPr>
            <w:tcW w:w="1701"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w:t>
            </w:r>
          </w:p>
        </w:tc>
        <w:tc>
          <w:tcPr>
            <w:tcW w:w="1843"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10,0</w:t>
            </w:r>
          </w:p>
        </w:tc>
        <w:tc>
          <w:tcPr>
            <w:tcW w:w="1559"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40,0</w:t>
            </w:r>
          </w:p>
        </w:tc>
        <w:tc>
          <w:tcPr>
            <w:tcW w:w="1550"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85,0</w:t>
            </w:r>
          </w:p>
        </w:tc>
      </w:tr>
      <w:tr w:rsidR="007173BF" w:rsidRPr="00577593" w:rsidTr="000F76C4">
        <w:trPr>
          <w:trHeight w:val="748"/>
        </w:trPr>
        <w:tc>
          <w:tcPr>
            <w:tcW w:w="568" w:type="dxa"/>
          </w:tcPr>
          <w:p w:rsidR="007173BF" w:rsidRPr="00577593" w:rsidRDefault="0063008D" w:rsidP="000F76C4">
            <w:pPr>
              <w:widowControl w:val="0"/>
              <w:spacing w:after="0" w:line="240" w:lineRule="auto"/>
              <w:ind w:left="-113" w:right="-113"/>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3.3.2</w:t>
            </w:r>
          </w:p>
        </w:tc>
        <w:tc>
          <w:tcPr>
            <w:tcW w:w="7371" w:type="dxa"/>
            <w:shd w:val="clear" w:color="auto" w:fill="auto"/>
          </w:tcPr>
          <w:p w:rsidR="007173BF" w:rsidRPr="00577593" w:rsidRDefault="007173BF" w:rsidP="002000D4">
            <w:pPr>
              <w:widowControl w:val="0"/>
              <w:spacing w:after="0" w:line="240" w:lineRule="auto"/>
              <w:jc w:val="both"/>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Доля дорог местного значения города Барнаула, находящихся в нормативном состоянии, в рамках реализации национального проекта «Инфраструктура для жизни»</w:t>
            </w:r>
          </w:p>
        </w:tc>
        <w:tc>
          <w:tcPr>
            <w:tcW w:w="1701"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w:t>
            </w:r>
          </w:p>
        </w:tc>
        <w:tc>
          <w:tcPr>
            <w:tcW w:w="1843"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85,8</w:t>
            </w:r>
          </w:p>
        </w:tc>
        <w:tc>
          <w:tcPr>
            <w:tcW w:w="1559"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не менее 85,0</w:t>
            </w:r>
          </w:p>
        </w:tc>
        <w:tc>
          <w:tcPr>
            <w:tcW w:w="1550" w:type="dxa"/>
            <w:shd w:val="clear" w:color="auto" w:fill="auto"/>
            <w:noWrap/>
          </w:tcPr>
          <w:p w:rsidR="007173BF" w:rsidRPr="00577593" w:rsidRDefault="007173BF" w:rsidP="00C9768D">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не менее 85,0</w:t>
            </w:r>
          </w:p>
        </w:tc>
      </w:tr>
      <w:tr w:rsidR="007173BF" w:rsidRPr="00577593" w:rsidTr="000F76C4">
        <w:trPr>
          <w:trHeight w:val="918"/>
        </w:trPr>
        <w:tc>
          <w:tcPr>
            <w:tcW w:w="568" w:type="dxa"/>
          </w:tcPr>
          <w:p w:rsidR="007173BF" w:rsidRPr="00577593" w:rsidRDefault="0063008D" w:rsidP="000F76C4">
            <w:pPr>
              <w:widowControl w:val="0"/>
              <w:spacing w:after="0" w:line="240" w:lineRule="auto"/>
              <w:ind w:left="-113" w:right="-113"/>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3.3.3</w:t>
            </w:r>
          </w:p>
        </w:tc>
        <w:tc>
          <w:tcPr>
            <w:tcW w:w="7371" w:type="dxa"/>
            <w:shd w:val="clear" w:color="auto" w:fill="auto"/>
          </w:tcPr>
          <w:p w:rsidR="007173BF" w:rsidRPr="00577593" w:rsidRDefault="007173BF" w:rsidP="002000D4">
            <w:pPr>
              <w:widowControl w:val="0"/>
              <w:spacing w:after="0" w:line="240" w:lineRule="auto"/>
              <w:jc w:val="both"/>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Удельный вес автомобильных дорог общего пользования местного значения, соответствующих нормативным требованиям по транспортно-эксплуатационным показателям, в общей протяженности автомобильных дорог</w:t>
            </w:r>
          </w:p>
        </w:tc>
        <w:tc>
          <w:tcPr>
            <w:tcW w:w="1701"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w:t>
            </w:r>
          </w:p>
        </w:tc>
        <w:tc>
          <w:tcPr>
            <w:tcW w:w="1843"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48,4</w:t>
            </w:r>
          </w:p>
        </w:tc>
        <w:tc>
          <w:tcPr>
            <w:tcW w:w="1559"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54,7</w:t>
            </w:r>
          </w:p>
        </w:tc>
        <w:tc>
          <w:tcPr>
            <w:tcW w:w="1550" w:type="dxa"/>
            <w:shd w:val="clear" w:color="auto" w:fill="auto"/>
            <w:noWrap/>
          </w:tcPr>
          <w:p w:rsidR="007173BF" w:rsidRPr="00577593" w:rsidRDefault="007173BF" w:rsidP="00C9768D">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60,0</w:t>
            </w:r>
          </w:p>
        </w:tc>
      </w:tr>
      <w:tr w:rsidR="007173BF" w:rsidRPr="00577593" w:rsidTr="000F76C4">
        <w:trPr>
          <w:trHeight w:val="646"/>
        </w:trPr>
        <w:tc>
          <w:tcPr>
            <w:tcW w:w="568" w:type="dxa"/>
          </w:tcPr>
          <w:p w:rsidR="007173BF" w:rsidRPr="00577593" w:rsidRDefault="0063008D" w:rsidP="000F76C4">
            <w:pPr>
              <w:widowControl w:val="0"/>
              <w:spacing w:after="0" w:line="240" w:lineRule="auto"/>
              <w:ind w:left="-113" w:right="-113"/>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3.3.4</w:t>
            </w:r>
          </w:p>
        </w:tc>
        <w:tc>
          <w:tcPr>
            <w:tcW w:w="7371" w:type="dxa"/>
            <w:shd w:val="clear" w:color="auto" w:fill="auto"/>
          </w:tcPr>
          <w:p w:rsidR="007173BF" w:rsidRPr="00577593" w:rsidRDefault="007173BF" w:rsidP="002000D4">
            <w:pPr>
              <w:widowControl w:val="0"/>
              <w:spacing w:after="0" w:line="240" w:lineRule="auto"/>
              <w:jc w:val="both"/>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Количество погибших в результате дорожно-транспортных происшествий на 100 тысяч  человек населения</w:t>
            </w:r>
          </w:p>
        </w:tc>
        <w:tc>
          <w:tcPr>
            <w:tcW w:w="1701"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человек</w:t>
            </w:r>
          </w:p>
        </w:tc>
        <w:tc>
          <w:tcPr>
            <w:tcW w:w="1843"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3,05</w:t>
            </w:r>
          </w:p>
        </w:tc>
        <w:tc>
          <w:tcPr>
            <w:tcW w:w="1559"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не более 6,0</w:t>
            </w:r>
          </w:p>
        </w:tc>
        <w:tc>
          <w:tcPr>
            <w:tcW w:w="1550" w:type="dxa"/>
            <w:shd w:val="clear" w:color="auto" w:fill="auto"/>
            <w:noWrap/>
          </w:tcPr>
          <w:p w:rsidR="007173BF" w:rsidRPr="00577593" w:rsidRDefault="007173BF" w:rsidP="002000D4">
            <w:pPr>
              <w:widowControl w:val="0"/>
              <w:spacing w:after="0" w:line="240" w:lineRule="auto"/>
              <w:jc w:val="both"/>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не более 6,0</w:t>
            </w:r>
          </w:p>
        </w:tc>
      </w:tr>
      <w:tr w:rsidR="0063008D" w:rsidRPr="00577593" w:rsidTr="000F76C4">
        <w:trPr>
          <w:trHeight w:val="399"/>
        </w:trPr>
        <w:tc>
          <w:tcPr>
            <w:tcW w:w="14592" w:type="dxa"/>
            <w:gridSpan w:val="6"/>
          </w:tcPr>
          <w:p w:rsidR="0063008D" w:rsidRPr="00577593" w:rsidRDefault="0063008D" w:rsidP="000F76C4">
            <w:pPr>
              <w:widowControl w:val="0"/>
              <w:spacing w:after="0" w:line="240" w:lineRule="auto"/>
              <w:ind w:left="-113" w:right="-113"/>
              <w:jc w:val="both"/>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lastRenderedPageBreak/>
              <w:t>3.4. Благоустройство</w:t>
            </w:r>
          </w:p>
        </w:tc>
      </w:tr>
      <w:tr w:rsidR="007173BF" w:rsidRPr="00577593" w:rsidTr="000F76C4">
        <w:trPr>
          <w:trHeight w:val="399"/>
        </w:trPr>
        <w:tc>
          <w:tcPr>
            <w:tcW w:w="568" w:type="dxa"/>
          </w:tcPr>
          <w:p w:rsidR="007173BF" w:rsidRPr="00577593" w:rsidRDefault="0063008D" w:rsidP="000F76C4">
            <w:pPr>
              <w:widowControl w:val="0"/>
              <w:spacing w:after="0" w:line="240" w:lineRule="auto"/>
              <w:ind w:left="-113" w:right="-113"/>
              <w:jc w:val="center"/>
              <w:rPr>
                <w:rFonts w:ascii="Times New Roman" w:hAnsi="Times New Roman"/>
                <w:sz w:val="24"/>
                <w:szCs w:val="24"/>
              </w:rPr>
            </w:pPr>
            <w:r w:rsidRPr="00577593">
              <w:rPr>
                <w:rFonts w:ascii="Times New Roman" w:hAnsi="Times New Roman"/>
                <w:sz w:val="24"/>
                <w:szCs w:val="24"/>
              </w:rPr>
              <w:t>3.4.1</w:t>
            </w:r>
          </w:p>
        </w:tc>
        <w:tc>
          <w:tcPr>
            <w:tcW w:w="7371" w:type="dxa"/>
            <w:shd w:val="clear" w:color="auto" w:fill="auto"/>
          </w:tcPr>
          <w:p w:rsidR="007173BF" w:rsidRPr="00577593" w:rsidRDefault="007173BF" w:rsidP="00F25085">
            <w:pPr>
              <w:widowControl w:val="0"/>
              <w:spacing w:after="0" w:line="240" w:lineRule="auto"/>
              <w:jc w:val="both"/>
              <w:rPr>
                <w:rFonts w:ascii="Times New Roman" w:hAnsi="Times New Roman"/>
                <w:sz w:val="24"/>
                <w:szCs w:val="24"/>
              </w:rPr>
            </w:pPr>
            <w:r w:rsidRPr="00577593">
              <w:rPr>
                <w:rFonts w:ascii="Times New Roman" w:hAnsi="Times New Roman"/>
                <w:sz w:val="24"/>
                <w:szCs w:val="24"/>
              </w:rPr>
              <w:t xml:space="preserve">Количество благоустроенных общественных территорий </w:t>
            </w:r>
          </w:p>
        </w:tc>
        <w:tc>
          <w:tcPr>
            <w:tcW w:w="1701" w:type="dxa"/>
            <w:shd w:val="clear" w:color="auto" w:fill="auto"/>
            <w:noWrap/>
          </w:tcPr>
          <w:p w:rsidR="007173BF" w:rsidRPr="00577593" w:rsidRDefault="007173BF" w:rsidP="002000D4">
            <w:pPr>
              <w:widowControl w:val="0"/>
              <w:spacing w:after="0" w:line="240" w:lineRule="auto"/>
              <w:jc w:val="center"/>
              <w:rPr>
                <w:rFonts w:ascii="Times New Roman" w:hAnsi="Times New Roman"/>
                <w:sz w:val="24"/>
                <w:szCs w:val="24"/>
              </w:rPr>
            </w:pPr>
            <w:r w:rsidRPr="00577593">
              <w:rPr>
                <w:rFonts w:ascii="Times New Roman" w:hAnsi="Times New Roman"/>
                <w:sz w:val="24"/>
                <w:szCs w:val="24"/>
              </w:rPr>
              <w:t>единиц ежегодно</w:t>
            </w:r>
          </w:p>
        </w:tc>
        <w:tc>
          <w:tcPr>
            <w:tcW w:w="1843" w:type="dxa"/>
            <w:shd w:val="clear" w:color="auto" w:fill="auto"/>
            <w:noWrap/>
          </w:tcPr>
          <w:p w:rsidR="007173BF" w:rsidRPr="00577593" w:rsidRDefault="007173BF" w:rsidP="002000D4">
            <w:pPr>
              <w:widowControl w:val="0"/>
              <w:spacing w:after="0" w:line="240" w:lineRule="auto"/>
              <w:jc w:val="center"/>
              <w:rPr>
                <w:rFonts w:ascii="Times New Roman" w:hAnsi="Times New Roman"/>
                <w:sz w:val="24"/>
                <w:szCs w:val="24"/>
              </w:rPr>
            </w:pPr>
            <w:r w:rsidRPr="00577593">
              <w:rPr>
                <w:rFonts w:ascii="Times New Roman" w:hAnsi="Times New Roman"/>
                <w:sz w:val="24"/>
                <w:szCs w:val="24"/>
              </w:rPr>
              <w:t>3</w:t>
            </w:r>
          </w:p>
        </w:tc>
        <w:tc>
          <w:tcPr>
            <w:tcW w:w="1559" w:type="dxa"/>
            <w:shd w:val="clear" w:color="auto" w:fill="auto"/>
            <w:noWrap/>
          </w:tcPr>
          <w:p w:rsidR="007173BF" w:rsidRPr="00577593" w:rsidRDefault="007173BF" w:rsidP="002000D4">
            <w:pPr>
              <w:widowControl w:val="0"/>
              <w:spacing w:after="0" w:line="240" w:lineRule="auto"/>
              <w:jc w:val="center"/>
              <w:rPr>
                <w:rFonts w:ascii="Times New Roman" w:hAnsi="Times New Roman"/>
                <w:sz w:val="24"/>
                <w:szCs w:val="24"/>
              </w:rPr>
            </w:pPr>
            <w:r w:rsidRPr="00577593">
              <w:rPr>
                <w:rFonts w:ascii="Times New Roman" w:hAnsi="Times New Roman"/>
                <w:sz w:val="24"/>
                <w:szCs w:val="24"/>
              </w:rPr>
              <w:t>не менее 2</w:t>
            </w:r>
          </w:p>
        </w:tc>
        <w:tc>
          <w:tcPr>
            <w:tcW w:w="1550" w:type="dxa"/>
            <w:shd w:val="clear" w:color="auto" w:fill="auto"/>
            <w:noWrap/>
          </w:tcPr>
          <w:p w:rsidR="007173BF" w:rsidRPr="00577593" w:rsidRDefault="007173BF" w:rsidP="00CA4CA6">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не менее 2</w:t>
            </w:r>
          </w:p>
        </w:tc>
      </w:tr>
      <w:tr w:rsidR="007173BF" w:rsidRPr="00577593" w:rsidTr="000F76C4">
        <w:trPr>
          <w:trHeight w:val="399"/>
        </w:trPr>
        <w:tc>
          <w:tcPr>
            <w:tcW w:w="568" w:type="dxa"/>
          </w:tcPr>
          <w:p w:rsidR="007173BF" w:rsidRPr="00577593" w:rsidRDefault="0063008D" w:rsidP="000F76C4">
            <w:pPr>
              <w:widowControl w:val="0"/>
              <w:spacing w:after="0" w:line="240" w:lineRule="auto"/>
              <w:ind w:left="-113" w:right="-113"/>
              <w:jc w:val="center"/>
              <w:rPr>
                <w:rFonts w:ascii="Times New Roman" w:hAnsi="Times New Roman"/>
                <w:sz w:val="24"/>
                <w:szCs w:val="24"/>
              </w:rPr>
            </w:pPr>
            <w:r w:rsidRPr="00577593">
              <w:rPr>
                <w:rFonts w:ascii="Times New Roman" w:hAnsi="Times New Roman"/>
                <w:sz w:val="24"/>
                <w:szCs w:val="24"/>
              </w:rPr>
              <w:t>3.4.2</w:t>
            </w:r>
          </w:p>
        </w:tc>
        <w:tc>
          <w:tcPr>
            <w:tcW w:w="7371" w:type="dxa"/>
            <w:shd w:val="clear" w:color="auto" w:fill="auto"/>
          </w:tcPr>
          <w:p w:rsidR="007173BF" w:rsidRPr="00577593" w:rsidRDefault="007173BF" w:rsidP="002000D4">
            <w:pPr>
              <w:widowControl w:val="0"/>
              <w:spacing w:after="0" w:line="240" w:lineRule="auto"/>
              <w:jc w:val="both"/>
              <w:rPr>
                <w:rFonts w:ascii="Times New Roman" w:eastAsia="Times New Roman" w:hAnsi="Times New Roman"/>
                <w:sz w:val="24"/>
                <w:szCs w:val="24"/>
                <w:lang w:eastAsia="ru-RU"/>
              </w:rPr>
            </w:pPr>
            <w:r w:rsidRPr="00577593">
              <w:rPr>
                <w:rFonts w:ascii="Times New Roman" w:hAnsi="Times New Roman"/>
                <w:sz w:val="24"/>
                <w:szCs w:val="24"/>
              </w:rPr>
              <w:t>Сохранение площади территории города, на которой проводятся работы по благоустройству</w:t>
            </w:r>
          </w:p>
        </w:tc>
        <w:tc>
          <w:tcPr>
            <w:tcW w:w="1701"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 xml:space="preserve">тыс. </w:t>
            </w:r>
            <w:r w:rsidR="000F76C4">
              <w:rPr>
                <w:rFonts w:ascii="Times New Roman" w:hAnsi="Times New Roman"/>
                <w:sz w:val="24"/>
                <w:szCs w:val="24"/>
              </w:rPr>
              <w:t>кв. м</w:t>
            </w:r>
          </w:p>
        </w:tc>
        <w:tc>
          <w:tcPr>
            <w:tcW w:w="1843"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3496,7</w:t>
            </w:r>
          </w:p>
        </w:tc>
        <w:tc>
          <w:tcPr>
            <w:tcW w:w="1559"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3496,7</w:t>
            </w:r>
          </w:p>
        </w:tc>
        <w:tc>
          <w:tcPr>
            <w:tcW w:w="1550" w:type="dxa"/>
            <w:shd w:val="clear" w:color="auto" w:fill="auto"/>
            <w:noWrap/>
          </w:tcPr>
          <w:p w:rsidR="007173BF" w:rsidRPr="00577593" w:rsidRDefault="007173BF" w:rsidP="00CA4CA6">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3496,7</w:t>
            </w:r>
          </w:p>
        </w:tc>
      </w:tr>
      <w:tr w:rsidR="007173BF" w:rsidRPr="00577593" w:rsidTr="000F76C4">
        <w:trPr>
          <w:trHeight w:val="399"/>
        </w:trPr>
        <w:tc>
          <w:tcPr>
            <w:tcW w:w="568" w:type="dxa"/>
          </w:tcPr>
          <w:p w:rsidR="007173BF" w:rsidRPr="00577593" w:rsidRDefault="0063008D" w:rsidP="000F76C4">
            <w:pPr>
              <w:widowControl w:val="0"/>
              <w:spacing w:after="0" w:line="240" w:lineRule="auto"/>
              <w:ind w:left="-113" w:right="-113"/>
              <w:jc w:val="center"/>
              <w:rPr>
                <w:rFonts w:ascii="Times New Roman" w:hAnsi="Times New Roman"/>
                <w:sz w:val="24"/>
                <w:szCs w:val="24"/>
              </w:rPr>
            </w:pPr>
            <w:r w:rsidRPr="00577593">
              <w:rPr>
                <w:rFonts w:ascii="Times New Roman" w:hAnsi="Times New Roman"/>
                <w:sz w:val="24"/>
                <w:szCs w:val="24"/>
              </w:rPr>
              <w:t>3.4.3</w:t>
            </w:r>
          </w:p>
        </w:tc>
        <w:tc>
          <w:tcPr>
            <w:tcW w:w="7371" w:type="dxa"/>
            <w:shd w:val="clear" w:color="auto" w:fill="auto"/>
          </w:tcPr>
          <w:p w:rsidR="007173BF" w:rsidRPr="00577593" w:rsidRDefault="007173BF" w:rsidP="002000D4">
            <w:pPr>
              <w:widowControl w:val="0"/>
              <w:spacing w:after="0" w:line="240" w:lineRule="auto"/>
              <w:jc w:val="both"/>
              <w:rPr>
                <w:rFonts w:ascii="Times New Roman" w:eastAsia="Times New Roman" w:hAnsi="Times New Roman"/>
                <w:sz w:val="24"/>
                <w:szCs w:val="24"/>
                <w:lang w:eastAsia="ru-RU"/>
              </w:rPr>
            </w:pPr>
            <w:r w:rsidRPr="00577593">
              <w:rPr>
                <w:rFonts w:ascii="Times New Roman" w:hAnsi="Times New Roman"/>
                <w:sz w:val="24"/>
                <w:szCs w:val="24"/>
              </w:rPr>
              <w:t>Увеличение и сохранение площади обслуживаемых зеленых зон на территории города</w:t>
            </w:r>
          </w:p>
        </w:tc>
        <w:tc>
          <w:tcPr>
            <w:tcW w:w="1701"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га</w:t>
            </w:r>
          </w:p>
        </w:tc>
        <w:tc>
          <w:tcPr>
            <w:tcW w:w="1843"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425,9</w:t>
            </w:r>
          </w:p>
        </w:tc>
        <w:tc>
          <w:tcPr>
            <w:tcW w:w="1559"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488,3</w:t>
            </w:r>
          </w:p>
        </w:tc>
        <w:tc>
          <w:tcPr>
            <w:tcW w:w="1550" w:type="dxa"/>
            <w:shd w:val="clear" w:color="auto" w:fill="auto"/>
            <w:noWrap/>
          </w:tcPr>
          <w:p w:rsidR="007173BF" w:rsidRPr="00577593" w:rsidRDefault="007173BF" w:rsidP="00CA4CA6">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488,3</w:t>
            </w:r>
          </w:p>
        </w:tc>
      </w:tr>
      <w:tr w:rsidR="007173BF" w:rsidRPr="00577593" w:rsidTr="000F76C4">
        <w:trPr>
          <w:trHeight w:val="399"/>
        </w:trPr>
        <w:tc>
          <w:tcPr>
            <w:tcW w:w="568" w:type="dxa"/>
          </w:tcPr>
          <w:p w:rsidR="007173BF" w:rsidRPr="00577593" w:rsidRDefault="0063008D" w:rsidP="000F76C4">
            <w:pPr>
              <w:widowControl w:val="0"/>
              <w:spacing w:after="0" w:line="240" w:lineRule="auto"/>
              <w:ind w:left="-113" w:right="-113"/>
              <w:jc w:val="center"/>
              <w:rPr>
                <w:rFonts w:ascii="Times New Roman" w:hAnsi="Times New Roman"/>
                <w:sz w:val="24"/>
                <w:szCs w:val="24"/>
              </w:rPr>
            </w:pPr>
            <w:r w:rsidRPr="00577593">
              <w:rPr>
                <w:rFonts w:ascii="Times New Roman" w:hAnsi="Times New Roman"/>
                <w:sz w:val="24"/>
                <w:szCs w:val="24"/>
              </w:rPr>
              <w:t>3.4.4</w:t>
            </w:r>
          </w:p>
        </w:tc>
        <w:tc>
          <w:tcPr>
            <w:tcW w:w="7371" w:type="dxa"/>
            <w:shd w:val="clear" w:color="auto" w:fill="auto"/>
          </w:tcPr>
          <w:p w:rsidR="007173BF" w:rsidRPr="00577593" w:rsidRDefault="007173BF" w:rsidP="00CB2518">
            <w:pPr>
              <w:widowControl w:val="0"/>
              <w:spacing w:after="0" w:line="240" w:lineRule="auto"/>
              <w:jc w:val="both"/>
              <w:rPr>
                <w:rFonts w:ascii="Times New Roman" w:hAnsi="Times New Roman"/>
                <w:sz w:val="24"/>
                <w:szCs w:val="24"/>
              </w:rPr>
            </w:pPr>
            <w:r w:rsidRPr="00577593">
              <w:rPr>
                <w:rFonts w:ascii="Times New Roman" w:hAnsi="Times New Roman"/>
                <w:sz w:val="24"/>
                <w:szCs w:val="24"/>
              </w:rPr>
              <w:t>Ежегодное участие (подача заявок) в реализации проекта по развитию общественной территории муниципального образования, в том числе мероприятия (результаты) по обустройству туристского центра города на территории муниципального образования в соответствии с туристским кодом центра города, на основании реализации мероприятий субъектами Российской Федерации в рамках предоставления единой субсидии из федерального бюджета бюджетам субъектов Российской Федерации в целях достижения показателя государственной программы «Число туристских поездок»</w:t>
            </w:r>
          </w:p>
        </w:tc>
        <w:tc>
          <w:tcPr>
            <w:tcW w:w="1701" w:type="dxa"/>
            <w:shd w:val="clear" w:color="auto" w:fill="auto"/>
            <w:noWrap/>
          </w:tcPr>
          <w:p w:rsidR="007173BF" w:rsidRPr="00577593" w:rsidRDefault="007173BF" w:rsidP="002000D4">
            <w:pPr>
              <w:widowControl w:val="0"/>
              <w:spacing w:after="0" w:line="240" w:lineRule="auto"/>
              <w:jc w:val="center"/>
              <w:rPr>
                <w:rFonts w:ascii="Times New Roman" w:hAnsi="Times New Roman"/>
                <w:sz w:val="24"/>
                <w:szCs w:val="24"/>
              </w:rPr>
            </w:pPr>
            <w:r w:rsidRPr="00577593">
              <w:rPr>
                <w:rFonts w:ascii="Times New Roman" w:hAnsi="Times New Roman"/>
                <w:sz w:val="24"/>
                <w:szCs w:val="24"/>
              </w:rPr>
              <w:t>заявок ежегодно</w:t>
            </w:r>
          </w:p>
        </w:tc>
        <w:tc>
          <w:tcPr>
            <w:tcW w:w="1843" w:type="dxa"/>
            <w:shd w:val="clear" w:color="auto" w:fill="auto"/>
            <w:noWrap/>
          </w:tcPr>
          <w:p w:rsidR="007173BF" w:rsidRPr="00577593" w:rsidRDefault="007173BF" w:rsidP="002000D4">
            <w:pPr>
              <w:widowControl w:val="0"/>
              <w:spacing w:after="0" w:line="240" w:lineRule="auto"/>
              <w:jc w:val="center"/>
              <w:rPr>
                <w:rFonts w:ascii="Times New Roman" w:hAnsi="Times New Roman"/>
                <w:sz w:val="24"/>
                <w:szCs w:val="24"/>
              </w:rPr>
            </w:pPr>
            <w:r w:rsidRPr="00577593">
              <w:rPr>
                <w:rFonts w:ascii="Times New Roman" w:hAnsi="Times New Roman"/>
                <w:sz w:val="24"/>
                <w:szCs w:val="24"/>
              </w:rPr>
              <w:t>1</w:t>
            </w:r>
          </w:p>
        </w:tc>
        <w:tc>
          <w:tcPr>
            <w:tcW w:w="1559" w:type="dxa"/>
            <w:shd w:val="clear" w:color="auto" w:fill="auto"/>
            <w:noWrap/>
          </w:tcPr>
          <w:p w:rsidR="007173BF" w:rsidRPr="00577593" w:rsidRDefault="007173BF" w:rsidP="002000D4">
            <w:pPr>
              <w:widowControl w:val="0"/>
              <w:spacing w:after="0" w:line="240" w:lineRule="auto"/>
              <w:jc w:val="center"/>
              <w:rPr>
                <w:rFonts w:ascii="Times New Roman" w:hAnsi="Times New Roman"/>
                <w:sz w:val="24"/>
                <w:szCs w:val="24"/>
              </w:rPr>
            </w:pPr>
            <w:r w:rsidRPr="00577593">
              <w:rPr>
                <w:rFonts w:ascii="Times New Roman" w:hAnsi="Times New Roman"/>
                <w:sz w:val="24"/>
                <w:szCs w:val="24"/>
              </w:rPr>
              <w:t>1</w:t>
            </w:r>
          </w:p>
        </w:tc>
        <w:tc>
          <w:tcPr>
            <w:tcW w:w="1550" w:type="dxa"/>
            <w:shd w:val="clear" w:color="auto" w:fill="auto"/>
            <w:noWrap/>
          </w:tcPr>
          <w:p w:rsidR="007173BF" w:rsidRPr="00577593" w:rsidRDefault="007173BF" w:rsidP="00CA4CA6">
            <w:pPr>
              <w:widowControl w:val="0"/>
              <w:spacing w:after="0" w:line="240" w:lineRule="auto"/>
              <w:jc w:val="center"/>
              <w:rPr>
                <w:rFonts w:ascii="Times New Roman" w:hAnsi="Times New Roman"/>
                <w:sz w:val="24"/>
                <w:szCs w:val="24"/>
              </w:rPr>
            </w:pPr>
            <w:r w:rsidRPr="00577593">
              <w:rPr>
                <w:rFonts w:ascii="Times New Roman" w:hAnsi="Times New Roman"/>
                <w:sz w:val="24"/>
                <w:szCs w:val="24"/>
              </w:rPr>
              <w:t>1</w:t>
            </w:r>
          </w:p>
        </w:tc>
      </w:tr>
      <w:tr w:rsidR="0063008D" w:rsidRPr="00577593" w:rsidTr="000F76C4">
        <w:trPr>
          <w:trHeight w:val="399"/>
        </w:trPr>
        <w:tc>
          <w:tcPr>
            <w:tcW w:w="14592" w:type="dxa"/>
            <w:gridSpan w:val="6"/>
          </w:tcPr>
          <w:p w:rsidR="0063008D" w:rsidRPr="00577593" w:rsidRDefault="0063008D" w:rsidP="000F76C4">
            <w:pPr>
              <w:widowControl w:val="0"/>
              <w:spacing w:after="0" w:line="240" w:lineRule="auto"/>
              <w:ind w:left="-113" w:right="-113"/>
              <w:jc w:val="both"/>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3.5. Защита окружающей среды</w:t>
            </w:r>
          </w:p>
        </w:tc>
      </w:tr>
      <w:tr w:rsidR="007173BF" w:rsidRPr="00577593" w:rsidTr="000F76C4">
        <w:trPr>
          <w:trHeight w:val="399"/>
        </w:trPr>
        <w:tc>
          <w:tcPr>
            <w:tcW w:w="568" w:type="dxa"/>
          </w:tcPr>
          <w:p w:rsidR="007173BF" w:rsidRPr="00577593" w:rsidRDefault="0063008D" w:rsidP="000F76C4">
            <w:pPr>
              <w:widowControl w:val="0"/>
              <w:spacing w:after="0" w:line="240" w:lineRule="auto"/>
              <w:ind w:left="-113" w:right="-113"/>
              <w:jc w:val="center"/>
              <w:rPr>
                <w:rFonts w:ascii="Times New Roman" w:hAnsi="Times New Roman"/>
                <w:sz w:val="24"/>
                <w:szCs w:val="24"/>
              </w:rPr>
            </w:pPr>
            <w:r w:rsidRPr="00577593">
              <w:rPr>
                <w:rFonts w:ascii="Times New Roman" w:hAnsi="Times New Roman"/>
                <w:sz w:val="24"/>
                <w:szCs w:val="24"/>
              </w:rPr>
              <w:t>3.5.1</w:t>
            </w:r>
          </w:p>
        </w:tc>
        <w:tc>
          <w:tcPr>
            <w:tcW w:w="7371" w:type="dxa"/>
            <w:shd w:val="clear" w:color="auto" w:fill="auto"/>
          </w:tcPr>
          <w:p w:rsidR="007173BF" w:rsidRPr="00577593" w:rsidRDefault="007173BF" w:rsidP="002000D4">
            <w:pPr>
              <w:widowControl w:val="0"/>
              <w:spacing w:after="0" w:line="240" w:lineRule="auto"/>
              <w:jc w:val="both"/>
              <w:rPr>
                <w:rFonts w:ascii="Times New Roman" w:eastAsia="Times New Roman" w:hAnsi="Times New Roman"/>
                <w:sz w:val="24"/>
                <w:szCs w:val="24"/>
                <w:lang w:eastAsia="ru-RU"/>
              </w:rPr>
            </w:pPr>
            <w:r w:rsidRPr="00577593">
              <w:rPr>
                <w:rFonts w:ascii="Times New Roman" w:hAnsi="Times New Roman"/>
                <w:sz w:val="24"/>
                <w:szCs w:val="24"/>
              </w:rPr>
              <w:t>Ежегодная площадь очистки территории от несанкционированного складирования отходов территорий городского округа-города Барнаула Алтайского края</w:t>
            </w:r>
          </w:p>
        </w:tc>
        <w:tc>
          <w:tcPr>
            <w:tcW w:w="1701"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 xml:space="preserve">тыс. </w:t>
            </w:r>
            <w:r w:rsidR="000F76C4">
              <w:rPr>
                <w:rFonts w:ascii="Times New Roman" w:hAnsi="Times New Roman"/>
                <w:sz w:val="24"/>
                <w:szCs w:val="24"/>
              </w:rPr>
              <w:t>кв. м</w:t>
            </w:r>
          </w:p>
        </w:tc>
        <w:tc>
          <w:tcPr>
            <w:tcW w:w="1843"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72,6</w:t>
            </w:r>
          </w:p>
        </w:tc>
        <w:tc>
          <w:tcPr>
            <w:tcW w:w="1559"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63,3</w:t>
            </w:r>
          </w:p>
        </w:tc>
        <w:tc>
          <w:tcPr>
            <w:tcW w:w="1550" w:type="dxa"/>
            <w:shd w:val="clear" w:color="auto" w:fill="auto"/>
            <w:noWrap/>
          </w:tcPr>
          <w:p w:rsidR="007173BF" w:rsidRPr="00577593" w:rsidRDefault="007173BF" w:rsidP="00CA4CA6">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63,3</w:t>
            </w:r>
          </w:p>
        </w:tc>
      </w:tr>
      <w:tr w:rsidR="007173BF" w:rsidRPr="00577593" w:rsidTr="000F76C4">
        <w:trPr>
          <w:trHeight w:val="399"/>
        </w:trPr>
        <w:tc>
          <w:tcPr>
            <w:tcW w:w="568" w:type="dxa"/>
          </w:tcPr>
          <w:p w:rsidR="007173BF" w:rsidRPr="00577593" w:rsidRDefault="0063008D" w:rsidP="000F76C4">
            <w:pPr>
              <w:widowControl w:val="0"/>
              <w:spacing w:after="0" w:line="240" w:lineRule="auto"/>
              <w:ind w:left="-113" w:right="-113"/>
              <w:jc w:val="center"/>
              <w:rPr>
                <w:rFonts w:ascii="Times New Roman" w:hAnsi="Times New Roman"/>
                <w:sz w:val="24"/>
                <w:szCs w:val="24"/>
              </w:rPr>
            </w:pPr>
            <w:r w:rsidRPr="00577593">
              <w:rPr>
                <w:rFonts w:ascii="Times New Roman" w:hAnsi="Times New Roman"/>
                <w:sz w:val="24"/>
                <w:szCs w:val="24"/>
              </w:rPr>
              <w:t>3.5.2</w:t>
            </w:r>
          </w:p>
        </w:tc>
        <w:tc>
          <w:tcPr>
            <w:tcW w:w="7371" w:type="dxa"/>
            <w:shd w:val="clear" w:color="auto" w:fill="auto"/>
          </w:tcPr>
          <w:p w:rsidR="007173BF" w:rsidRPr="00577593" w:rsidRDefault="007173BF" w:rsidP="002000D4">
            <w:pPr>
              <w:widowControl w:val="0"/>
              <w:spacing w:after="0" w:line="240" w:lineRule="auto"/>
              <w:jc w:val="both"/>
              <w:rPr>
                <w:rFonts w:ascii="Times New Roman" w:eastAsia="Times New Roman" w:hAnsi="Times New Roman"/>
                <w:sz w:val="24"/>
                <w:szCs w:val="24"/>
                <w:lang w:eastAsia="ru-RU"/>
              </w:rPr>
            </w:pPr>
            <w:r w:rsidRPr="00577593">
              <w:rPr>
                <w:rFonts w:ascii="Times New Roman" w:hAnsi="Times New Roman"/>
                <w:sz w:val="24"/>
                <w:szCs w:val="24"/>
              </w:rPr>
              <w:t xml:space="preserve">Снижение совокупного объема выбросов опасных загрязняющих веществ к уровню 2020 года </w:t>
            </w:r>
          </w:p>
        </w:tc>
        <w:tc>
          <w:tcPr>
            <w:tcW w:w="1701"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w:t>
            </w:r>
          </w:p>
        </w:tc>
        <w:tc>
          <w:tcPr>
            <w:tcW w:w="1843"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86,05</w:t>
            </w:r>
          </w:p>
        </w:tc>
        <w:tc>
          <w:tcPr>
            <w:tcW w:w="1559"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80,00</w:t>
            </w:r>
          </w:p>
        </w:tc>
        <w:tc>
          <w:tcPr>
            <w:tcW w:w="1550" w:type="dxa"/>
            <w:shd w:val="clear" w:color="auto" w:fill="auto"/>
            <w:noWrap/>
          </w:tcPr>
          <w:p w:rsidR="007173BF" w:rsidRPr="00577593" w:rsidRDefault="007173BF" w:rsidP="00CA4CA6">
            <w:pPr>
              <w:widowControl w:val="0"/>
              <w:spacing w:after="0" w:line="240" w:lineRule="auto"/>
              <w:jc w:val="center"/>
              <w:rPr>
                <w:rFonts w:ascii="Times New Roman" w:eastAsia="Times New Roman" w:hAnsi="Times New Roman"/>
                <w:sz w:val="24"/>
                <w:szCs w:val="24"/>
                <w:lang w:eastAsia="ru-RU"/>
              </w:rPr>
            </w:pPr>
            <w:r w:rsidRPr="00577593">
              <w:rPr>
                <w:rFonts w:ascii="Times New Roman" w:hAnsi="Times New Roman"/>
                <w:sz w:val="24"/>
                <w:szCs w:val="24"/>
              </w:rPr>
              <w:t>50,00</w:t>
            </w:r>
          </w:p>
        </w:tc>
      </w:tr>
      <w:tr w:rsidR="0063008D" w:rsidRPr="00577593" w:rsidTr="000F76C4">
        <w:trPr>
          <w:trHeight w:val="399"/>
        </w:trPr>
        <w:tc>
          <w:tcPr>
            <w:tcW w:w="14592" w:type="dxa"/>
            <w:gridSpan w:val="6"/>
          </w:tcPr>
          <w:p w:rsidR="0063008D" w:rsidRPr="00577593" w:rsidRDefault="0063008D" w:rsidP="000F76C4">
            <w:pPr>
              <w:widowControl w:val="0"/>
              <w:spacing w:after="0" w:line="240" w:lineRule="auto"/>
              <w:ind w:left="-113" w:right="-113"/>
              <w:jc w:val="both"/>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Цель 4. Развитие межмуниципальных и международных связей</w:t>
            </w:r>
          </w:p>
        </w:tc>
      </w:tr>
      <w:tr w:rsidR="00BE61A1" w:rsidRPr="00577593" w:rsidTr="000F76C4">
        <w:trPr>
          <w:trHeight w:val="393"/>
        </w:trPr>
        <w:tc>
          <w:tcPr>
            <w:tcW w:w="14592" w:type="dxa"/>
            <w:gridSpan w:val="6"/>
          </w:tcPr>
          <w:p w:rsidR="00BE61A1" w:rsidRPr="00577593" w:rsidRDefault="00BE61A1" w:rsidP="000F76C4">
            <w:pPr>
              <w:widowControl w:val="0"/>
              <w:spacing w:after="0" w:line="240" w:lineRule="auto"/>
              <w:ind w:left="-113" w:right="-113"/>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4.1. Развитие в рамках Ассоциации «Барнаульская агломерация интеграционного развития территорий»</w:t>
            </w:r>
          </w:p>
        </w:tc>
      </w:tr>
      <w:tr w:rsidR="007173BF" w:rsidRPr="00577593" w:rsidTr="000F76C4">
        <w:trPr>
          <w:trHeight w:val="393"/>
        </w:trPr>
        <w:tc>
          <w:tcPr>
            <w:tcW w:w="568" w:type="dxa"/>
          </w:tcPr>
          <w:p w:rsidR="007173BF" w:rsidRPr="00577593" w:rsidRDefault="00E36075" w:rsidP="000F76C4">
            <w:pPr>
              <w:widowControl w:val="0"/>
              <w:spacing w:after="0" w:line="240" w:lineRule="auto"/>
              <w:ind w:left="-113" w:right="-113"/>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4.1.1</w:t>
            </w:r>
          </w:p>
        </w:tc>
        <w:tc>
          <w:tcPr>
            <w:tcW w:w="7371" w:type="dxa"/>
            <w:shd w:val="clear" w:color="auto" w:fill="auto"/>
            <w:noWrap/>
          </w:tcPr>
          <w:p w:rsidR="007173BF" w:rsidRPr="00577593" w:rsidRDefault="007173BF" w:rsidP="00C9768D">
            <w:pPr>
              <w:widowControl w:val="0"/>
              <w:spacing w:after="0" w:line="240" w:lineRule="auto"/>
              <w:jc w:val="both"/>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 xml:space="preserve">Количество реализованных агломерационных проектов </w:t>
            </w:r>
            <w:r w:rsidRPr="00577593">
              <w:rPr>
                <w:rFonts w:ascii="Times New Roman" w:eastAsia="Times New Roman" w:hAnsi="Times New Roman"/>
                <w:sz w:val="24"/>
                <w:szCs w:val="24"/>
                <w:vertAlign w:val="superscript"/>
                <w:lang w:eastAsia="ru-RU"/>
              </w:rPr>
              <w:t>13</w:t>
            </w:r>
          </w:p>
        </w:tc>
        <w:tc>
          <w:tcPr>
            <w:tcW w:w="1701"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единиц</w:t>
            </w:r>
          </w:p>
        </w:tc>
        <w:tc>
          <w:tcPr>
            <w:tcW w:w="1843"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2</w:t>
            </w:r>
          </w:p>
        </w:tc>
        <w:tc>
          <w:tcPr>
            <w:tcW w:w="1559"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3</w:t>
            </w:r>
          </w:p>
        </w:tc>
        <w:tc>
          <w:tcPr>
            <w:tcW w:w="1550" w:type="dxa"/>
            <w:shd w:val="clear" w:color="auto" w:fill="auto"/>
            <w:noWrap/>
          </w:tcPr>
          <w:p w:rsidR="007173BF" w:rsidRPr="00577593" w:rsidRDefault="007173BF" w:rsidP="000F76C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4</w:t>
            </w:r>
          </w:p>
        </w:tc>
      </w:tr>
      <w:tr w:rsidR="00E36075" w:rsidRPr="00577593" w:rsidTr="000F76C4">
        <w:trPr>
          <w:trHeight w:val="399"/>
        </w:trPr>
        <w:tc>
          <w:tcPr>
            <w:tcW w:w="14592" w:type="dxa"/>
            <w:gridSpan w:val="6"/>
          </w:tcPr>
          <w:p w:rsidR="00E36075" w:rsidRPr="00577593" w:rsidRDefault="00E36075" w:rsidP="000F76C4">
            <w:pPr>
              <w:widowControl w:val="0"/>
              <w:spacing w:after="0" w:line="240" w:lineRule="auto"/>
              <w:ind w:left="-113" w:right="-113"/>
              <w:jc w:val="both"/>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Цель 5. Эффективное управление</w:t>
            </w:r>
          </w:p>
        </w:tc>
      </w:tr>
      <w:tr w:rsidR="00BE61A1" w:rsidRPr="00577593" w:rsidTr="000F76C4">
        <w:trPr>
          <w:trHeight w:val="279"/>
        </w:trPr>
        <w:tc>
          <w:tcPr>
            <w:tcW w:w="14592" w:type="dxa"/>
            <w:gridSpan w:val="6"/>
          </w:tcPr>
          <w:p w:rsidR="00BE61A1" w:rsidRPr="00577593" w:rsidRDefault="00BE61A1" w:rsidP="000F76C4">
            <w:pPr>
              <w:widowControl w:val="0"/>
              <w:spacing w:after="0" w:line="240" w:lineRule="auto"/>
              <w:ind w:left="-113" w:right="-113"/>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 xml:space="preserve">5.1. </w:t>
            </w:r>
            <w:r w:rsidR="00195D10" w:rsidRPr="00577593">
              <w:rPr>
                <w:rFonts w:ascii="Times New Roman" w:eastAsia="Times New Roman" w:hAnsi="Times New Roman"/>
                <w:sz w:val="24"/>
                <w:szCs w:val="24"/>
              </w:rPr>
              <w:t>Совершенствование системы управления муниципальными финансами и муниципальным имуществом</w:t>
            </w:r>
          </w:p>
        </w:tc>
      </w:tr>
      <w:tr w:rsidR="007173BF" w:rsidRPr="00577593" w:rsidTr="000F76C4">
        <w:trPr>
          <w:trHeight w:val="612"/>
        </w:trPr>
        <w:tc>
          <w:tcPr>
            <w:tcW w:w="568" w:type="dxa"/>
          </w:tcPr>
          <w:p w:rsidR="007173BF" w:rsidRPr="00577593" w:rsidRDefault="00E36075" w:rsidP="000F76C4">
            <w:pPr>
              <w:widowControl w:val="0"/>
              <w:spacing w:after="0" w:line="240" w:lineRule="auto"/>
              <w:ind w:left="-113" w:right="-113"/>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lastRenderedPageBreak/>
              <w:t>5.1.1</w:t>
            </w:r>
          </w:p>
        </w:tc>
        <w:tc>
          <w:tcPr>
            <w:tcW w:w="7371" w:type="dxa"/>
            <w:shd w:val="clear" w:color="auto" w:fill="auto"/>
          </w:tcPr>
          <w:p w:rsidR="007173BF" w:rsidRPr="00577593" w:rsidRDefault="007173BF" w:rsidP="002000D4">
            <w:pPr>
              <w:widowControl w:val="0"/>
              <w:spacing w:after="0" w:line="240" w:lineRule="auto"/>
              <w:jc w:val="both"/>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Доля расходов, сформированных в рамках муниципальных программ, в общем объеме бюджета города</w:t>
            </w:r>
          </w:p>
        </w:tc>
        <w:tc>
          <w:tcPr>
            <w:tcW w:w="1701"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w:t>
            </w:r>
          </w:p>
        </w:tc>
        <w:tc>
          <w:tcPr>
            <w:tcW w:w="1843"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92,0</w:t>
            </w:r>
          </w:p>
        </w:tc>
        <w:tc>
          <w:tcPr>
            <w:tcW w:w="1559"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 xml:space="preserve">не менее </w:t>
            </w:r>
          </w:p>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85,0</w:t>
            </w:r>
          </w:p>
        </w:tc>
        <w:tc>
          <w:tcPr>
            <w:tcW w:w="1550" w:type="dxa"/>
            <w:shd w:val="clear" w:color="auto" w:fill="auto"/>
            <w:noWrap/>
          </w:tcPr>
          <w:p w:rsidR="007173BF" w:rsidRPr="00577593" w:rsidRDefault="007173BF" w:rsidP="00CA4CA6">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не менее 85,0</w:t>
            </w:r>
          </w:p>
        </w:tc>
      </w:tr>
      <w:tr w:rsidR="007173BF" w:rsidRPr="00577593" w:rsidTr="000F76C4">
        <w:trPr>
          <w:trHeight w:val="399"/>
        </w:trPr>
        <w:tc>
          <w:tcPr>
            <w:tcW w:w="568" w:type="dxa"/>
          </w:tcPr>
          <w:p w:rsidR="007173BF" w:rsidRPr="00577593" w:rsidRDefault="00E36075" w:rsidP="000F76C4">
            <w:pPr>
              <w:widowControl w:val="0"/>
              <w:spacing w:after="0" w:line="240" w:lineRule="auto"/>
              <w:ind w:left="-113" w:right="-113"/>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5.</w:t>
            </w:r>
            <w:r w:rsidR="00195D10" w:rsidRPr="00577593">
              <w:rPr>
                <w:rFonts w:ascii="Times New Roman" w:eastAsia="Times New Roman" w:hAnsi="Times New Roman"/>
                <w:sz w:val="24"/>
                <w:szCs w:val="24"/>
                <w:lang w:eastAsia="ru-RU"/>
              </w:rPr>
              <w:t>1</w:t>
            </w:r>
            <w:r w:rsidRPr="00577593">
              <w:rPr>
                <w:rFonts w:ascii="Times New Roman" w:eastAsia="Times New Roman" w:hAnsi="Times New Roman"/>
                <w:sz w:val="24"/>
                <w:szCs w:val="24"/>
                <w:lang w:eastAsia="ru-RU"/>
              </w:rPr>
              <w:t>.2</w:t>
            </w:r>
          </w:p>
        </w:tc>
        <w:tc>
          <w:tcPr>
            <w:tcW w:w="7371" w:type="dxa"/>
            <w:shd w:val="clear" w:color="auto" w:fill="auto"/>
          </w:tcPr>
          <w:p w:rsidR="007173BF" w:rsidRPr="00577593" w:rsidRDefault="007173BF" w:rsidP="002000D4">
            <w:pPr>
              <w:widowControl w:val="0"/>
              <w:spacing w:after="0" w:line="240" w:lineRule="auto"/>
              <w:jc w:val="both"/>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Дефицит местного бюджета</w:t>
            </w:r>
          </w:p>
        </w:tc>
        <w:tc>
          <w:tcPr>
            <w:tcW w:w="1701"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w:t>
            </w:r>
          </w:p>
        </w:tc>
        <w:tc>
          <w:tcPr>
            <w:tcW w:w="1843"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10</w:t>
            </w:r>
          </w:p>
        </w:tc>
        <w:tc>
          <w:tcPr>
            <w:tcW w:w="1559"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не более 10</w:t>
            </w:r>
          </w:p>
        </w:tc>
        <w:tc>
          <w:tcPr>
            <w:tcW w:w="1550" w:type="dxa"/>
            <w:shd w:val="clear" w:color="auto" w:fill="auto"/>
            <w:noWrap/>
          </w:tcPr>
          <w:p w:rsidR="007173BF" w:rsidRPr="00577593" w:rsidRDefault="007173BF" w:rsidP="00CA4CA6">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не более 10</w:t>
            </w:r>
          </w:p>
        </w:tc>
      </w:tr>
      <w:tr w:rsidR="00195D10" w:rsidRPr="00577593" w:rsidTr="000F76C4">
        <w:trPr>
          <w:trHeight w:val="427"/>
        </w:trPr>
        <w:tc>
          <w:tcPr>
            <w:tcW w:w="14592" w:type="dxa"/>
            <w:gridSpan w:val="6"/>
          </w:tcPr>
          <w:p w:rsidR="00195D10" w:rsidRPr="00577593" w:rsidRDefault="00195D10" w:rsidP="000F76C4">
            <w:pPr>
              <w:widowControl w:val="0"/>
              <w:spacing w:after="0" w:line="240" w:lineRule="auto"/>
              <w:ind w:left="-113" w:right="-113"/>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 xml:space="preserve">5.2. </w:t>
            </w:r>
            <w:r w:rsidRPr="00577593">
              <w:rPr>
                <w:rFonts w:ascii="Times New Roman" w:eastAsia="Times New Roman" w:hAnsi="Times New Roman"/>
                <w:sz w:val="24"/>
                <w:szCs w:val="24"/>
              </w:rPr>
              <w:t>Повышение эффективности и открытости деятельности органов местного самоуправления</w:t>
            </w:r>
          </w:p>
        </w:tc>
      </w:tr>
      <w:tr w:rsidR="007173BF" w:rsidRPr="00577593" w:rsidTr="000F76C4">
        <w:trPr>
          <w:trHeight w:val="987"/>
        </w:trPr>
        <w:tc>
          <w:tcPr>
            <w:tcW w:w="568" w:type="dxa"/>
          </w:tcPr>
          <w:p w:rsidR="007173BF" w:rsidRPr="00577593" w:rsidRDefault="00E36075" w:rsidP="000F76C4">
            <w:pPr>
              <w:widowControl w:val="0"/>
              <w:spacing w:after="0" w:line="240" w:lineRule="auto"/>
              <w:ind w:left="-113" w:right="-113"/>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5.2.</w:t>
            </w:r>
            <w:r w:rsidR="00195D10" w:rsidRPr="00577593">
              <w:rPr>
                <w:rFonts w:ascii="Times New Roman" w:eastAsia="Times New Roman" w:hAnsi="Times New Roman"/>
                <w:sz w:val="24"/>
                <w:szCs w:val="24"/>
                <w:lang w:eastAsia="ru-RU"/>
              </w:rPr>
              <w:t>1</w:t>
            </w:r>
          </w:p>
        </w:tc>
        <w:tc>
          <w:tcPr>
            <w:tcW w:w="7371" w:type="dxa"/>
            <w:shd w:val="clear" w:color="auto" w:fill="auto"/>
          </w:tcPr>
          <w:p w:rsidR="007173BF" w:rsidRPr="00577593" w:rsidRDefault="007173BF" w:rsidP="002000D4">
            <w:pPr>
              <w:widowControl w:val="0"/>
              <w:spacing w:after="0" w:line="240" w:lineRule="auto"/>
              <w:jc w:val="both"/>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Уровень удовлетворенности граждан города Барнаула качеством предоставления муниципальных услуг, определяемый по результатам соответствующего мониторинга</w:t>
            </w:r>
          </w:p>
        </w:tc>
        <w:tc>
          <w:tcPr>
            <w:tcW w:w="1701"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w:t>
            </w:r>
          </w:p>
        </w:tc>
        <w:tc>
          <w:tcPr>
            <w:tcW w:w="1843"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99,7</w:t>
            </w:r>
          </w:p>
        </w:tc>
        <w:tc>
          <w:tcPr>
            <w:tcW w:w="1559"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 xml:space="preserve">не менее </w:t>
            </w:r>
          </w:p>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99,0</w:t>
            </w:r>
          </w:p>
        </w:tc>
        <w:tc>
          <w:tcPr>
            <w:tcW w:w="1550" w:type="dxa"/>
            <w:shd w:val="clear" w:color="auto" w:fill="auto"/>
            <w:noWrap/>
          </w:tcPr>
          <w:p w:rsidR="007173BF" w:rsidRPr="00577593" w:rsidRDefault="007173BF" w:rsidP="00CA4CA6">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не менее 99,0</w:t>
            </w:r>
          </w:p>
        </w:tc>
      </w:tr>
      <w:tr w:rsidR="007173BF" w:rsidRPr="00577593" w:rsidTr="000F76C4">
        <w:trPr>
          <w:trHeight w:val="799"/>
        </w:trPr>
        <w:tc>
          <w:tcPr>
            <w:tcW w:w="568" w:type="dxa"/>
          </w:tcPr>
          <w:p w:rsidR="007173BF" w:rsidRPr="00577593" w:rsidRDefault="00E36075" w:rsidP="000F76C4">
            <w:pPr>
              <w:widowControl w:val="0"/>
              <w:spacing w:after="0" w:line="240" w:lineRule="auto"/>
              <w:ind w:left="-113" w:right="-113"/>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5.2.</w:t>
            </w:r>
            <w:r w:rsidR="00195D10" w:rsidRPr="00577593">
              <w:rPr>
                <w:rFonts w:ascii="Times New Roman" w:eastAsia="Times New Roman" w:hAnsi="Times New Roman"/>
                <w:sz w:val="24"/>
                <w:szCs w:val="24"/>
                <w:lang w:eastAsia="ru-RU"/>
              </w:rPr>
              <w:t>2</w:t>
            </w:r>
          </w:p>
        </w:tc>
        <w:tc>
          <w:tcPr>
            <w:tcW w:w="7371" w:type="dxa"/>
            <w:shd w:val="clear" w:color="auto" w:fill="auto"/>
          </w:tcPr>
          <w:p w:rsidR="00F407CF" w:rsidRPr="00577593" w:rsidRDefault="007173BF" w:rsidP="000F76C4">
            <w:pPr>
              <w:widowControl w:val="0"/>
              <w:spacing w:after="0" w:line="240" w:lineRule="auto"/>
              <w:jc w:val="both"/>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 xml:space="preserve">Обеспечение степени вовлеченности населения через институты гражданского общества в решение вопросов местного значения на уровне не менее 1/4 от численности населения </w:t>
            </w:r>
          </w:p>
        </w:tc>
        <w:tc>
          <w:tcPr>
            <w:tcW w:w="1701"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w:t>
            </w:r>
          </w:p>
        </w:tc>
        <w:tc>
          <w:tcPr>
            <w:tcW w:w="1843"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25,0</w:t>
            </w:r>
          </w:p>
        </w:tc>
        <w:tc>
          <w:tcPr>
            <w:tcW w:w="1559"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 xml:space="preserve">не менее </w:t>
            </w:r>
          </w:p>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25,0</w:t>
            </w:r>
          </w:p>
        </w:tc>
        <w:tc>
          <w:tcPr>
            <w:tcW w:w="1550" w:type="dxa"/>
            <w:shd w:val="clear" w:color="auto" w:fill="auto"/>
            <w:noWrap/>
          </w:tcPr>
          <w:p w:rsidR="007173BF" w:rsidRPr="00577593" w:rsidRDefault="007173BF" w:rsidP="00CA4CA6">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не менее 25,0</w:t>
            </w:r>
          </w:p>
        </w:tc>
      </w:tr>
      <w:tr w:rsidR="00F407CF" w:rsidRPr="00577593" w:rsidTr="000F76C4">
        <w:trPr>
          <w:trHeight w:val="431"/>
        </w:trPr>
        <w:tc>
          <w:tcPr>
            <w:tcW w:w="14592" w:type="dxa"/>
            <w:gridSpan w:val="6"/>
          </w:tcPr>
          <w:p w:rsidR="00F407CF" w:rsidRPr="00577593" w:rsidRDefault="00F407CF" w:rsidP="000F76C4">
            <w:pPr>
              <w:widowControl w:val="0"/>
              <w:spacing w:after="0" w:line="240" w:lineRule="auto"/>
              <w:ind w:left="-113" w:right="-113"/>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 xml:space="preserve">5.3. </w:t>
            </w:r>
            <w:r w:rsidRPr="00577593">
              <w:rPr>
                <w:rFonts w:ascii="Times New Roman" w:eastAsia="Times New Roman" w:hAnsi="Times New Roman"/>
                <w:sz w:val="24"/>
                <w:szCs w:val="24"/>
              </w:rPr>
              <w:t>Совершенствование системы оказания муниципальных услуг, в том числе в электронном виде</w:t>
            </w:r>
          </w:p>
        </w:tc>
      </w:tr>
      <w:tr w:rsidR="007173BF" w:rsidRPr="00577593" w:rsidTr="000F76C4">
        <w:trPr>
          <w:trHeight w:val="799"/>
        </w:trPr>
        <w:tc>
          <w:tcPr>
            <w:tcW w:w="568" w:type="dxa"/>
          </w:tcPr>
          <w:p w:rsidR="007173BF" w:rsidRPr="00577593" w:rsidRDefault="00E36075" w:rsidP="000F76C4">
            <w:pPr>
              <w:widowControl w:val="0"/>
              <w:spacing w:after="0" w:line="240" w:lineRule="auto"/>
              <w:ind w:left="-113" w:right="-113"/>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5.</w:t>
            </w:r>
            <w:r w:rsidR="00F407CF" w:rsidRPr="00577593">
              <w:rPr>
                <w:rFonts w:ascii="Times New Roman" w:eastAsia="Times New Roman" w:hAnsi="Times New Roman"/>
                <w:sz w:val="24"/>
                <w:szCs w:val="24"/>
                <w:lang w:eastAsia="ru-RU"/>
              </w:rPr>
              <w:t>3</w:t>
            </w:r>
            <w:r w:rsidRPr="00577593">
              <w:rPr>
                <w:rFonts w:ascii="Times New Roman" w:eastAsia="Times New Roman" w:hAnsi="Times New Roman"/>
                <w:sz w:val="24"/>
                <w:szCs w:val="24"/>
                <w:lang w:eastAsia="ru-RU"/>
              </w:rPr>
              <w:t>.</w:t>
            </w:r>
            <w:r w:rsidR="00F407CF" w:rsidRPr="00577593">
              <w:rPr>
                <w:rFonts w:ascii="Times New Roman" w:eastAsia="Times New Roman" w:hAnsi="Times New Roman"/>
                <w:sz w:val="24"/>
                <w:szCs w:val="24"/>
                <w:lang w:eastAsia="ru-RU"/>
              </w:rPr>
              <w:t>1</w:t>
            </w:r>
          </w:p>
        </w:tc>
        <w:tc>
          <w:tcPr>
            <w:tcW w:w="7371" w:type="dxa"/>
            <w:shd w:val="clear" w:color="auto" w:fill="auto"/>
          </w:tcPr>
          <w:p w:rsidR="007173BF" w:rsidRPr="00577593" w:rsidRDefault="007173BF" w:rsidP="002000D4">
            <w:pPr>
              <w:widowControl w:val="0"/>
              <w:spacing w:after="0" w:line="240" w:lineRule="auto"/>
              <w:jc w:val="both"/>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Доля обращений за получением государственных и муниципальных услуг в электронной форме, от общего количества обращений</w:t>
            </w:r>
          </w:p>
        </w:tc>
        <w:tc>
          <w:tcPr>
            <w:tcW w:w="1701"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w:t>
            </w:r>
          </w:p>
        </w:tc>
        <w:tc>
          <w:tcPr>
            <w:tcW w:w="1843"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71,2</w:t>
            </w:r>
          </w:p>
        </w:tc>
        <w:tc>
          <w:tcPr>
            <w:tcW w:w="1559" w:type="dxa"/>
            <w:shd w:val="clear" w:color="auto" w:fill="auto"/>
            <w:noWrap/>
          </w:tcPr>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 xml:space="preserve">не менее </w:t>
            </w:r>
          </w:p>
          <w:p w:rsidR="007173BF" w:rsidRPr="00577593" w:rsidRDefault="007173BF" w:rsidP="002000D4">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70,0</w:t>
            </w:r>
          </w:p>
        </w:tc>
        <w:tc>
          <w:tcPr>
            <w:tcW w:w="1550" w:type="dxa"/>
            <w:shd w:val="clear" w:color="auto" w:fill="auto"/>
            <w:noWrap/>
          </w:tcPr>
          <w:p w:rsidR="007173BF" w:rsidRPr="00577593" w:rsidRDefault="007173BF" w:rsidP="00CA4CA6">
            <w:pPr>
              <w:widowControl w:val="0"/>
              <w:spacing w:after="0" w:line="240" w:lineRule="auto"/>
              <w:jc w:val="center"/>
              <w:rPr>
                <w:rFonts w:ascii="Times New Roman" w:eastAsia="Times New Roman" w:hAnsi="Times New Roman"/>
                <w:sz w:val="24"/>
                <w:szCs w:val="24"/>
                <w:lang w:eastAsia="ru-RU"/>
              </w:rPr>
            </w:pPr>
            <w:r w:rsidRPr="00577593">
              <w:rPr>
                <w:rFonts w:ascii="Times New Roman" w:eastAsia="Times New Roman" w:hAnsi="Times New Roman"/>
                <w:sz w:val="24"/>
                <w:szCs w:val="24"/>
                <w:lang w:eastAsia="ru-RU"/>
              </w:rPr>
              <w:t>не менее 70,0</w:t>
            </w:r>
          </w:p>
        </w:tc>
      </w:tr>
    </w:tbl>
    <w:p w:rsidR="00FC41F4" w:rsidRPr="00577593" w:rsidRDefault="00FC41F4" w:rsidP="002000D4">
      <w:pPr>
        <w:widowControl w:val="0"/>
        <w:spacing w:after="0" w:line="240" w:lineRule="auto"/>
        <w:jc w:val="both"/>
        <w:rPr>
          <w:rFonts w:ascii="Times New Roman" w:eastAsia="Times New Roman" w:hAnsi="Times New Roman"/>
          <w:sz w:val="24"/>
          <w:szCs w:val="24"/>
          <w:lang w:eastAsia="ru-RU"/>
        </w:rPr>
      </w:pPr>
    </w:p>
    <w:p w:rsidR="00FC41F4" w:rsidRPr="00577593" w:rsidRDefault="00FC41F4" w:rsidP="002000D4">
      <w:pPr>
        <w:widowControl w:val="0"/>
        <w:spacing w:after="0" w:line="240" w:lineRule="auto"/>
        <w:jc w:val="both"/>
        <w:rPr>
          <w:rFonts w:ascii="Times New Roman" w:eastAsia="Times New Roman" w:hAnsi="Times New Roman"/>
          <w:sz w:val="24"/>
          <w:szCs w:val="24"/>
          <w:lang w:eastAsia="ru-RU"/>
        </w:rPr>
        <w:sectPr w:rsidR="00FC41F4" w:rsidRPr="00577593" w:rsidSect="00960A10">
          <w:pgSz w:w="16838" w:h="11906" w:orient="landscape"/>
          <w:pgMar w:top="1134" w:right="737" w:bottom="1134" w:left="1985" w:header="709" w:footer="709" w:gutter="0"/>
          <w:cols w:space="708"/>
          <w:titlePg/>
        </w:sectPr>
      </w:pPr>
    </w:p>
    <w:p w:rsidR="000F76C4" w:rsidRPr="00577593" w:rsidRDefault="000F76C4" w:rsidP="000F76C4">
      <w:pPr>
        <w:keepNext/>
        <w:pageBreakBefore/>
        <w:spacing w:after="0" w:line="240" w:lineRule="auto"/>
        <w:jc w:val="center"/>
        <w:outlineLvl w:val="0"/>
        <w:rPr>
          <w:rFonts w:ascii="Times New Roman" w:eastAsia="Times New Roman" w:hAnsi="Times New Roman"/>
          <w:b/>
          <w:bCs/>
          <w:sz w:val="28"/>
          <w:szCs w:val="28"/>
          <w:lang w:eastAsia="ru-RU"/>
        </w:rPr>
      </w:pPr>
      <w:r w:rsidRPr="00577593">
        <w:rPr>
          <w:rFonts w:ascii="Times New Roman" w:eastAsia="Times New Roman" w:hAnsi="Times New Roman"/>
          <w:b/>
          <w:bCs/>
          <w:sz w:val="28"/>
          <w:szCs w:val="28"/>
          <w:lang w:eastAsia="ru-RU"/>
        </w:rPr>
        <w:lastRenderedPageBreak/>
        <w:t>ПЕРЕЧЕНЬ СОКРАЩЕНИЙ И ОБОЗНАЧЕНИЙ</w:t>
      </w:r>
    </w:p>
    <w:p w:rsidR="000F76C4" w:rsidRPr="00577593" w:rsidRDefault="000F76C4" w:rsidP="000F76C4">
      <w:pPr>
        <w:tabs>
          <w:tab w:val="left" w:pos="1080"/>
        </w:tabs>
        <w:spacing w:after="0" w:line="240" w:lineRule="auto"/>
        <w:ind w:firstLine="709"/>
        <w:jc w:val="center"/>
        <w:rPr>
          <w:rFonts w:ascii="Times New Roman" w:eastAsia="Times New Roman" w:hAnsi="Times New Roman"/>
          <w:sz w:val="28"/>
          <w:szCs w:val="28"/>
          <w:lang w:eastAsia="ru-RU"/>
        </w:rPr>
      </w:pPr>
      <w:r w:rsidRPr="00577593">
        <w:rPr>
          <w:rFonts w:ascii="Times New Roman" w:eastAsia="Times New Roman" w:hAnsi="Times New Roman"/>
          <w:sz w:val="28"/>
          <w:szCs w:val="28"/>
          <w:lang w:eastAsia="ru-RU"/>
        </w:rPr>
        <w:t xml:space="preserve">В </w:t>
      </w:r>
      <w:r>
        <w:rPr>
          <w:rFonts w:ascii="Times New Roman" w:eastAsia="Times New Roman" w:hAnsi="Times New Roman"/>
          <w:sz w:val="28"/>
          <w:szCs w:val="28"/>
          <w:lang w:eastAsia="ru-RU"/>
        </w:rPr>
        <w:t>документе</w:t>
      </w:r>
      <w:r w:rsidRPr="00577593">
        <w:rPr>
          <w:rFonts w:ascii="Times New Roman" w:eastAsia="Times New Roman" w:hAnsi="Times New Roman"/>
          <w:sz w:val="28"/>
          <w:szCs w:val="28"/>
          <w:lang w:eastAsia="ru-RU"/>
        </w:rPr>
        <w:t xml:space="preserve"> применяются следующие сокращения и обозначения:</w:t>
      </w:r>
    </w:p>
    <w:tbl>
      <w:tblPr>
        <w:tblW w:w="0" w:type="auto"/>
        <w:tblLook w:val="04A0" w:firstRow="1" w:lastRow="0" w:firstColumn="1" w:lastColumn="0" w:noHBand="0" w:noVBand="1"/>
      </w:tblPr>
      <w:tblGrid>
        <w:gridCol w:w="2211"/>
        <w:gridCol w:w="7144"/>
      </w:tblGrid>
      <w:tr w:rsidR="000F76C4" w:rsidRPr="00577593" w:rsidTr="00D678EE">
        <w:tc>
          <w:tcPr>
            <w:tcW w:w="2211" w:type="dxa"/>
          </w:tcPr>
          <w:p w:rsidR="000F76C4" w:rsidRPr="00577593" w:rsidRDefault="000F76C4" w:rsidP="00D678EE">
            <w:pPr>
              <w:tabs>
                <w:tab w:val="left" w:pos="1080"/>
              </w:tabs>
              <w:spacing w:after="0" w:line="240" w:lineRule="auto"/>
              <w:jc w:val="both"/>
              <w:rPr>
                <w:rFonts w:ascii="Times New Roman" w:eastAsia="Calibri" w:hAnsi="Times New Roman"/>
                <w:sz w:val="28"/>
                <w:szCs w:val="28"/>
                <w:lang w:eastAsia="ru-RU"/>
              </w:rPr>
            </w:pPr>
            <w:r w:rsidRPr="00577593">
              <w:rPr>
                <w:rFonts w:ascii="Times New Roman" w:eastAsia="Calibri" w:hAnsi="Times New Roman"/>
                <w:sz w:val="28"/>
                <w:szCs w:val="28"/>
                <w:lang w:eastAsia="ru-RU"/>
              </w:rPr>
              <w:t>АГМУ</w:t>
            </w:r>
          </w:p>
        </w:tc>
        <w:tc>
          <w:tcPr>
            <w:tcW w:w="7144" w:type="dxa"/>
          </w:tcPr>
          <w:p w:rsidR="000F76C4" w:rsidRPr="00577593" w:rsidRDefault="000F76C4" w:rsidP="00D678EE">
            <w:pPr>
              <w:tabs>
                <w:tab w:val="left" w:pos="1080"/>
              </w:tabs>
              <w:spacing w:after="0" w:line="240" w:lineRule="auto"/>
              <w:rPr>
                <w:rFonts w:ascii="Times New Roman" w:eastAsia="Calibri" w:hAnsi="Times New Roman"/>
                <w:sz w:val="28"/>
                <w:szCs w:val="28"/>
                <w:lang w:eastAsia="ru-RU"/>
              </w:rPr>
            </w:pPr>
            <w:r>
              <w:rPr>
                <w:rFonts w:ascii="Times New Roman" w:eastAsia="Calibri" w:hAnsi="Times New Roman"/>
                <w:sz w:val="28"/>
                <w:szCs w:val="28"/>
                <w:lang w:eastAsia="ru-RU"/>
              </w:rPr>
              <w:t>–</w:t>
            </w:r>
            <w:r w:rsidRPr="00577593">
              <w:rPr>
                <w:rFonts w:ascii="Times New Roman" w:eastAsia="Calibri" w:hAnsi="Times New Roman"/>
                <w:sz w:val="28"/>
                <w:szCs w:val="28"/>
                <w:lang w:eastAsia="ru-RU"/>
              </w:rPr>
              <w:t xml:space="preserve"> ФГБОУ ВО «Алтайский государственный медицинский университет» Министерства здравоохранения Российской Федерации</w:t>
            </w:r>
          </w:p>
        </w:tc>
      </w:tr>
      <w:tr w:rsidR="000F76C4" w:rsidRPr="00577593" w:rsidTr="00D678EE">
        <w:tc>
          <w:tcPr>
            <w:tcW w:w="2211" w:type="dxa"/>
          </w:tcPr>
          <w:p w:rsidR="000F76C4" w:rsidRPr="00577593" w:rsidRDefault="000F76C4" w:rsidP="00D678EE">
            <w:pPr>
              <w:tabs>
                <w:tab w:val="left" w:pos="1080"/>
              </w:tabs>
              <w:spacing w:after="0" w:line="240" w:lineRule="auto"/>
              <w:jc w:val="both"/>
              <w:rPr>
                <w:rFonts w:ascii="Times New Roman" w:eastAsia="Calibri" w:hAnsi="Times New Roman"/>
                <w:sz w:val="28"/>
                <w:szCs w:val="28"/>
                <w:lang w:eastAsia="ru-RU"/>
              </w:rPr>
            </w:pPr>
            <w:r w:rsidRPr="00577593">
              <w:rPr>
                <w:rFonts w:ascii="Times New Roman" w:eastAsia="Calibri" w:hAnsi="Times New Roman"/>
                <w:sz w:val="28"/>
                <w:szCs w:val="28"/>
                <w:lang w:eastAsia="ru-RU"/>
              </w:rPr>
              <w:t>АИС</w:t>
            </w:r>
          </w:p>
        </w:tc>
        <w:tc>
          <w:tcPr>
            <w:tcW w:w="7144" w:type="dxa"/>
          </w:tcPr>
          <w:p w:rsidR="000F76C4" w:rsidRPr="00577593" w:rsidRDefault="000F76C4" w:rsidP="00D678EE">
            <w:pPr>
              <w:tabs>
                <w:tab w:val="left" w:pos="1080"/>
              </w:tabs>
              <w:spacing w:after="0" w:line="240" w:lineRule="auto"/>
              <w:rPr>
                <w:rFonts w:ascii="Times New Roman" w:eastAsia="Calibri" w:hAnsi="Times New Roman"/>
                <w:sz w:val="28"/>
                <w:szCs w:val="28"/>
                <w:lang w:eastAsia="ru-RU"/>
              </w:rPr>
            </w:pPr>
            <w:r w:rsidRPr="00577593">
              <w:rPr>
                <w:rFonts w:ascii="Times New Roman" w:eastAsia="Calibri" w:hAnsi="Times New Roman"/>
                <w:sz w:val="28"/>
                <w:szCs w:val="28"/>
                <w:lang w:eastAsia="ru-RU"/>
              </w:rPr>
              <w:t>– автоматическая информационная система</w:t>
            </w:r>
          </w:p>
        </w:tc>
      </w:tr>
      <w:tr w:rsidR="000F76C4" w:rsidRPr="00577593" w:rsidTr="00D678EE">
        <w:tc>
          <w:tcPr>
            <w:tcW w:w="2211" w:type="dxa"/>
          </w:tcPr>
          <w:p w:rsidR="000F76C4" w:rsidRPr="00577593" w:rsidRDefault="000F76C4" w:rsidP="00D678EE">
            <w:pPr>
              <w:tabs>
                <w:tab w:val="left" w:pos="1080"/>
              </w:tabs>
              <w:spacing w:after="0" w:line="240" w:lineRule="auto"/>
              <w:jc w:val="both"/>
              <w:rPr>
                <w:rFonts w:ascii="Times New Roman" w:eastAsia="Calibri" w:hAnsi="Times New Roman"/>
                <w:sz w:val="28"/>
                <w:szCs w:val="28"/>
                <w:lang w:eastAsia="ru-RU"/>
              </w:rPr>
            </w:pPr>
            <w:r w:rsidRPr="00577593">
              <w:rPr>
                <w:rFonts w:ascii="Times New Roman" w:eastAsia="Calibri" w:hAnsi="Times New Roman"/>
                <w:sz w:val="28"/>
                <w:szCs w:val="28"/>
                <w:lang w:eastAsia="ru-RU"/>
              </w:rPr>
              <w:t>АлтГПУ</w:t>
            </w:r>
          </w:p>
        </w:tc>
        <w:tc>
          <w:tcPr>
            <w:tcW w:w="7144" w:type="dxa"/>
          </w:tcPr>
          <w:p w:rsidR="000F76C4" w:rsidRPr="00577593" w:rsidRDefault="000F76C4" w:rsidP="00D678EE">
            <w:pPr>
              <w:tabs>
                <w:tab w:val="left" w:pos="1080"/>
              </w:tabs>
              <w:spacing w:after="0" w:line="240" w:lineRule="auto"/>
              <w:rPr>
                <w:rFonts w:ascii="Times New Roman" w:eastAsia="Calibri" w:hAnsi="Times New Roman"/>
                <w:sz w:val="28"/>
                <w:szCs w:val="28"/>
                <w:lang w:eastAsia="ru-RU"/>
              </w:rPr>
            </w:pPr>
            <w:r w:rsidRPr="00577593">
              <w:rPr>
                <w:rFonts w:ascii="Times New Roman" w:eastAsia="Calibri" w:hAnsi="Times New Roman"/>
                <w:sz w:val="28"/>
                <w:szCs w:val="28"/>
                <w:lang w:eastAsia="ru-RU"/>
              </w:rPr>
              <w:t xml:space="preserve">– ФГБОУ ВО «Алтайский государственный педагогический университет»  </w:t>
            </w:r>
          </w:p>
        </w:tc>
      </w:tr>
      <w:tr w:rsidR="000F76C4" w:rsidRPr="00577593" w:rsidTr="00D678EE">
        <w:tc>
          <w:tcPr>
            <w:tcW w:w="2211" w:type="dxa"/>
          </w:tcPr>
          <w:p w:rsidR="000F76C4" w:rsidRPr="00577593" w:rsidRDefault="000F76C4" w:rsidP="00D678EE">
            <w:pPr>
              <w:tabs>
                <w:tab w:val="left" w:pos="1080"/>
              </w:tabs>
              <w:spacing w:after="0" w:line="240" w:lineRule="auto"/>
              <w:rPr>
                <w:rFonts w:ascii="Times New Roman" w:eastAsia="Calibri" w:hAnsi="Times New Roman"/>
                <w:sz w:val="28"/>
                <w:szCs w:val="28"/>
                <w:lang w:eastAsia="ru-RU"/>
              </w:rPr>
            </w:pPr>
            <w:r w:rsidRPr="00577593">
              <w:rPr>
                <w:rFonts w:ascii="Times New Roman" w:eastAsia="Calibri" w:hAnsi="Times New Roman"/>
                <w:sz w:val="28"/>
                <w:szCs w:val="28"/>
                <w:lang w:eastAsia="ru-RU"/>
              </w:rPr>
              <w:t>АлтГТУ им. И.И. Ползунова</w:t>
            </w:r>
          </w:p>
        </w:tc>
        <w:tc>
          <w:tcPr>
            <w:tcW w:w="7144" w:type="dxa"/>
          </w:tcPr>
          <w:p w:rsidR="000F76C4" w:rsidRPr="00577593" w:rsidRDefault="000F76C4" w:rsidP="00D678EE">
            <w:pPr>
              <w:tabs>
                <w:tab w:val="left" w:pos="1080"/>
              </w:tabs>
              <w:spacing w:after="0" w:line="240" w:lineRule="auto"/>
              <w:rPr>
                <w:rFonts w:ascii="Times New Roman" w:eastAsia="Calibri" w:hAnsi="Times New Roman"/>
                <w:sz w:val="28"/>
                <w:szCs w:val="28"/>
                <w:lang w:eastAsia="ru-RU"/>
              </w:rPr>
            </w:pPr>
            <w:r w:rsidRPr="00577593">
              <w:rPr>
                <w:rFonts w:ascii="Times New Roman" w:eastAsia="Calibri" w:hAnsi="Times New Roman"/>
                <w:sz w:val="28"/>
                <w:szCs w:val="28"/>
                <w:lang w:eastAsia="ru-RU"/>
              </w:rPr>
              <w:t>– ФГБОУ ВО «Алтайский государственный технический университет им. И.И. Ползунова»</w:t>
            </w:r>
          </w:p>
        </w:tc>
      </w:tr>
      <w:tr w:rsidR="000F76C4" w:rsidRPr="00577593" w:rsidTr="00D678EE">
        <w:tc>
          <w:tcPr>
            <w:tcW w:w="2211" w:type="dxa"/>
          </w:tcPr>
          <w:p w:rsidR="000F76C4" w:rsidRPr="00577593" w:rsidRDefault="000F76C4" w:rsidP="00D678EE">
            <w:pPr>
              <w:tabs>
                <w:tab w:val="left" w:pos="1080"/>
              </w:tabs>
              <w:spacing w:after="0" w:line="240" w:lineRule="auto"/>
              <w:jc w:val="both"/>
              <w:rPr>
                <w:rFonts w:ascii="Times New Roman" w:eastAsia="Calibri" w:hAnsi="Times New Roman"/>
                <w:sz w:val="28"/>
                <w:szCs w:val="28"/>
                <w:lang w:eastAsia="ru-RU"/>
              </w:rPr>
            </w:pPr>
            <w:r w:rsidRPr="00577593">
              <w:rPr>
                <w:rFonts w:ascii="Times New Roman" w:eastAsia="Calibri" w:hAnsi="Times New Roman"/>
                <w:sz w:val="28"/>
                <w:szCs w:val="28"/>
                <w:lang w:eastAsia="ru-RU"/>
              </w:rPr>
              <w:t>АлтГУ</w:t>
            </w:r>
          </w:p>
        </w:tc>
        <w:tc>
          <w:tcPr>
            <w:tcW w:w="7144" w:type="dxa"/>
          </w:tcPr>
          <w:p w:rsidR="000F76C4" w:rsidRPr="00577593" w:rsidRDefault="000F76C4" w:rsidP="00D678EE">
            <w:pPr>
              <w:tabs>
                <w:tab w:val="left" w:pos="1080"/>
              </w:tabs>
              <w:spacing w:after="0" w:line="240" w:lineRule="auto"/>
              <w:rPr>
                <w:rFonts w:ascii="Times New Roman" w:eastAsia="Calibri" w:hAnsi="Times New Roman"/>
                <w:sz w:val="28"/>
                <w:szCs w:val="28"/>
                <w:lang w:eastAsia="ru-RU"/>
              </w:rPr>
            </w:pPr>
            <w:r w:rsidRPr="00577593">
              <w:rPr>
                <w:rFonts w:ascii="Times New Roman" w:eastAsia="Calibri" w:hAnsi="Times New Roman"/>
                <w:sz w:val="28"/>
                <w:szCs w:val="28"/>
                <w:lang w:eastAsia="ru-RU"/>
              </w:rPr>
              <w:t>– ФГБОУ ВО «Алтайский государственный университет»</w:t>
            </w:r>
          </w:p>
        </w:tc>
      </w:tr>
      <w:tr w:rsidR="000F76C4" w:rsidRPr="00577593" w:rsidTr="00D678EE">
        <w:tc>
          <w:tcPr>
            <w:tcW w:w="2211" w:type="dxa"/>
          </w:tcPr>
          <w:p w:rsidR="000F76C4" w:rsidRPr="00577593" w:rsidRDefault="000F76C4" w:rsidP="00D678EE">
            <w:pPr>
              <w:tabs>
                <w:tab w:val="left" w:pos="1080"/>
              </w:tabs>
              <w:spacing w:after="0" w:line="240" w:lineRule="auto"/>
              <w:jc w:val="both"/>
              <w:rPr>
                <w:rFonts w:ascii="Times New Roman" w:eastAsia="Calibri" w:hAnsi="Times New Roman"/>
                <w:sz w:val="28"/>
                <w:szCs w:val="28"/>
                <w:lang w:eastAsia="ru-RU"/>
              </w:rPr>
            </w:pPr>
            <w:r w:rsidRPr="00577593">
              <w:rPr>
                <w:rFonts w:ascii="Times New Roman" w:eastAsia="Calibri" w:hAnsi="Times New Roman"/>
                <w:sz w:val="28"/>
                <w:szCs w:val="28"/>
                <w:lang w:eastAsia="ru-RU"/>
              </w:rPr>
              <w:t>БАД</w:t>
            </w:r>
          </w:p>
        </w:tc>
        <w:tc>
          <w:tcPr>
            <w:tcW w:w="7144" w:type="dxa"/>
          </w:tcPr>
          <w:p w:rsidR="000F76C4" w:rsidRPr="00577593" w:rsidRDefault="000F76C4" w:rsidP="00D678EE">
            <w:pPr>
              <w:tabs>
                <w:tab w:val="left" w:pos="1080"/>
              </w:tabs>
              <w:spacing w:after="0" w:line="240" w:lineRule="auto"/>
              <w:rPr>
                <w:rFonts w:ascii="Times New Roman" w:eastAsia="Calibri" w:hAnsi="Times New Roman"/>
                <w:sz w:val="28"/>
                <w:szCs w:val="28"/>
                <w:lang w:eastAsia="ru-RU"/>
              </w:rPr>
            </w:pPr>
            <w:r w:rsidRPr="00577593">
              <w:rPr>
                <w:rFonts w:ascii="Times New Roman" w:eastAsia="Calibri" w:hAnsi="Times New Roman"/>
                <w:sz w:val="28"/>
                <w:szCs w:val="28"/>
                <w:lang w:eastAsia="ru-RU"/>
              </w:rPr>
              <w:t>– биологически активные добавки</w:t>
            </w:r>
          </w:p>
        </w:tc>
      </w:tr>
      <w:tr w:rsidR="000F76C4" w:rsidRPr="00577593" w:rsidTr="00D678EE">
        <w:tc>
          <w:tcPr>
            <w:tcW w:w="2211" w:type="dxa"/>
          </w:tcPr>
          <w:p w:rsidR="000F76C4" w:rsidRPr="00577593" w:rsidRDefault="000F76C4" w:rsidP="00D678EE">
            <w:pPr>
              <w:tabs>
                <w:tab w:val="left" w:pos="1080"/>
              </w:tabs>
              <w:spacing w:after="0" w:line="240" w:lineRule="auto"/>
              <w:jc w:val="both"/>
              <w:rPr>
                <w:rFonts w:ascii="Times New Roman" w:eastAsia="Calibri" w:hAnsi="Times New Roman"/>
                <w:sz w:val="28"/>
                <w:szCs w:val="28"/>
                <w:lang w:eastAsia="ru-RU"/>
              </w:rPr>
            </w:pPr>
            <w:r w:rsidRPr="00577593">
              <w:rPr>
                <w:rFonts w:ascii="Times New Roman" w:eastAsia="Calibri" w:hAnsi="Times New Roman"/>
                <w:sz w:val="28"/>
                <w:szCs w:val="28"/>
                <w:lang w:eastAsia="ru-RU"/>
              </w:rPr>
              <w:t>ВГП</w:t>
            </w:r>
          </w:p>
        </w:tc>
        <w:tc>
          <w:tcPr>
            <w:tcW w:w="7144" w:type="dxa"/>
          </w:tcPr>
          <w:p w:rsidR="000F76C4" w:rsidRPr="00577593" w:rsidRDefault="000F76C4" w:rsidP="00D678EE">
            <w:pPr>
              <w:tabs>
                <w:tab w:val="left" w:pos="1080"/>
              </w:tabs>
              <w:spacing w:after="0" w:line="240" w:lineRule="auto"/>
              <w:rPr>
                <w:rFonts w:ascii="Times New Roman" w:eastAsia="Calibri" w:hAnsi="Times New Roman"/>
                <w:sz w:val="28"/>
                <w:szCs w:val="28"/>
                <w:lang w:eastAsia="ru-RU"/>
              </w:rPr>
            </w:pPr>
            <w:r w:rsidRPr="00577593">
              <w:rPr>
                <w:rFonts w:ascii="Times New Roman" w:eastAsia="Calibri" w:hAnsi="Times New Roman"/>
                <w:sz w:val="28"/>
                <w:szCs w:val="28"/>
                <w:lang w:eastAsia="ru-RU"/>
              </w:rPr>
              <w:t>– валовый городской продукт</w:t>
            </w:r>
          </w:p>
        </w:tc>
      </w:tr>
      <w:tr w:rsidR="000F76C4" w:rsidRPr="00577593" w:rsidTr="00D678EE">
        <w:tc>
          <w:tcPr>
            <w:tcW w:w="2211" w:type="dxa"/>
          </w:tcPr>
          <w:p w:rsidR="000F76C4" w:rsidRPr="00577593" w:rsidRDefault="000F76C4" w:rsidP="00D678EE">
            <w:pPr>
              <w:tabs>
                <w:tab w:val="left" w:pos="1080"/>
              </w:tabs>
              <w:spacing w:after="0" w:line="240" w:lineRule="auto"/>
              <w:jc w:val="both"/>
              <w:rPr>
                <w:rFonts w:ascii="Times New Roman" w:eastAsia="Calibri" w:hAnsi="Times New Roman"/>
                <w:sz w:val="28"/>
                <w:szCs w:val="28"/>
                <w:lang w:eastAsia="ru-RU"/>
              </w:rPr>
            </w:pPr>
            <w:r w:rsidRPr="00577593">
              <w:rPr>
                <w:rFonts w:ascii="Times New Roman" w:eastAsia="Calibri" w:hAnsi="Times New Roman"/>
                <w:sz w:val="28"/>
                <w:szCs w:val="28"/>
                <w:lang w:eastAsia="ru-RU"/>
              </w:rPr>
              <w:t>ВОС</w:t>
            </w:r>
          </w:p>
        </w:tc>
        <w:tc>
          <w:tcPr>
            <w:tcW w:w="7144" w:type="dxa"/>
          </w:tcPr>
          <w:p w:rsidR="000F76C4" w:rsidRPr="00577593" w:rsidRDefault="000F76C4" w:rsidP="00D678EE">
            <w:pPr>
              <w:tabs>
                <w:tab w:val="left" w:pos="1080"/>
              </w:tabs>
              <w:spacing w:after="0" w:line="240" w:lineRule="auto"/>
              <w:rPr>
                <w:rFonts w:ascii="Times New Roman" w:eastAsia="Calibri" w:hAnsi="Times New Roman"/>
                <w:sz w:val="28"/>
                <w:szCs w:val="28"/>
                <w:lang w:eastAsia="ru-RU"/>
              </w:rPr>
            </w:pPr>
            <w:r w:rsidRPr="00577593">
              <w:rPr>
                <w:rFonts w:ascii="Times New Roman" w:eastAsia="Calibri" w:hAnsi="Times New Roman"/>
                <w:sz w:val="28"/>
                <w:szCs w:val="28"/>
                <w:lang w:eastAsia="ru-RU"/>
              </w:rPr>
              <w:t>– водопроводные очистные сооружения</w:t>
            </w:r>
          </w:p>
        </w:tc>
      </w:tr>
      <w:tr w:rsidR="000F76C4" w:rsidRPr="00577593" w:rsidTr="00D678EE">
        <w:tc>
          <w:tcPr>
            <w:tcW w:w="2211" w:type="dxa"/>
          </w:tcPr>
          <w:p w:rsidR="000F76C4" w:rsidRPr="00577593" w:rsidRDefault="000F76C4" w:rsidP="00D678EE">
            <w:pPr>
              <w:tabs>
                <w:tab w:val="left" w:pos="1080"/>
              </w:tabs>
              <w:spacing w:after="0" w:line="240" w:lineRule="auto"/>
              <w:jc w:val="both"/>
              <w:rPr>
                <w:rFonts w:ascii="Times New Roman" w:eastAsia="Calibri" w:hAnsi="Times New Roman"/>
                <w:sz w:val="28"/>
                <w:szCs w:val="28"/>
                <w:lang w:eastAsia="ru-RU"/>
              </w:rPr>
            </w:pPr>
            <w:r w:rsidRPr="00577593">
              <w:rPr>
                <w:rFonts w:ascii="Times New Roman" w:eastAsia="Calibri" w:hAnsi="Times New Roman"/>
                <w:sz w:val="28"/>
                <w:szCs w:val="28"/>
                <w:lang w:eastAsia="ru-RU"/>
              </w:rPr>
              <w:t>ВРП</w:t>
            </w:r>
          </w:p>
        </w:tc>
        <w:tc>
          <w:tcPr>
            <w:tcW w:w="7144" w:type="dxa"/>
          </w:tcPr>
          <w:p w:rsidR="000F76C4" w:rsidRPr="00577593" w:rsidRDefault="000F76C4" w:rsidP="00D678EE">
            <w:pPr>
              <w:tabs>
                <w:tab w:val="left" w:pos="1080"/>
              </w:tabs>
              <w:spacing w:after="0" w:line="240" w:lineRule="auto"/>
              <w:rPr>
                <w:rFonts w:ascii="Times New Roman" w:eastAsia="Calibri" w:hAnsi="Times New Roman"/>
                <w:sz w:val="28"/>
                <w:szCs w:val="28"/>
                <w:lang w:eastAsia="ru-RU"/>
              </w:rPr>
            </w:pPr>
            <w:r w:rsidRPr="00577593">
              <w:rPr>
                <w:rFonts w:ascii="Times New Roman" w:eastAsia="Calibri" w:hAnsi="Times New Roman"/>
                <w:sz w:val="28"/>
                <w:szCs w:val="28"/>
                <w:lang w:eastAsia="ru-RU"/>
              </w:rPr>
              <w:t>– валовый региональный продукт</w:t>
            </w:r>
          </w:p>
        </w:tc>
      </w:tr>
      <w:tr w:rsidR="000F76C4" w:rsidRPr="00577593" w:rsidTr="00D678EE">
        <w:tc>
          <w:tcPr>
            <w:tcW w:w="2211" w:type="dxa"/>
          </w:tcPr>
          <w:p w:rsidR="000F76C4" w:rsidRPr="00577593" w:rsidRDefault="000F76C4" w:rsidP="00D678EE">
            <w:pPr>
              <w:tabs>
                <w:tab w:val="left" w:pos="1080"/>
              </w:tabs>
              <w:spacing w:after="0" w:line="240" w:lineRule="auto"/>
              <w:jc w:val="both"/>
              <w:rPr>
                <w:rFonts w:ascii="Times New Roman" w:eastAsia="Calibri" w:hAnsi="Times New Roman"/>
                <w:sz w:val="28"/>
                <w:szCs w:val="28"/>
                <w:lang w:eastAsia="ru-RU"/>
              </w:rPr>
            </w:pPr>
            <w:r w:rsidRPr="00577593">
              <w:rPr>
                <w:rFonts w:ascii="Times New Roman" w:eastAsia="Calibri" w:hAnsi="Times New Roman"/>
                <w:sz w:val="28"/>
                <w:szCs w:val="28"/>
                <w:lang w:eastAsia="ru-RU"/>
              </w:rPr>
              <w:t>ГРП</w:t>
            </w:r>
          </w:p>
        </w:tc>
        <w:tc>
          <w:tcPr>
            <w:tcW w:w="7144" w:type="dxa"/>
          </w:tcPr>
          <w:p w:rsidR="000F76C4" w:rsidRPr="00577593" w:rsidRDefault="000F76C4" w:rsidP="00D678EE">
            <w:pPr>
              <w:tabs>
                <w:tab w:val="left" w:pos="1080"/>
              </w:tabs>
              <w:spacing w:after="0" w:line="240" w:lineRule="auto"/>
              <w:rPr>
                <w:rFonts w:ascii="Times New Roman" w:eastAsia="Calibri" w:hAnsi="Times New Roman"/>
                <w:sz w:val="28"/>
                <w:szCs w:val="28"/>
                <w:lang w:eastAsia="ru-RU"/>
              </w:rPr>
            </w:pPr>
            <w:r w:rsidRPr="00577593">
              <w:rPr>
                <w:rFonts w:ascii="Times New Roman" w:eastAsia="Calibri" w:hAnsi="Times New Roman"/>
                <w:sz w:val="28"/>
                <w:szCs w:val="28"/>
                <w:lang w:eastAsia="ru-RU"/>
              </w:rPr>
              <w:t>– газорегуляторный пункт</w:t>
            </w:r>
          </w:p>
        </w:tc>
      </w:tr>
      <w:tr w:rsidR="000F76C4" w:rsidRPr="00577593" w:rsidTr="00D678EE">
        <w:tc>
          <w:tcPr>
            <w:tcW w:w="2211" w:type="dxa"/>
          </w:tcPr>
          <w:p w:rsidR="000F76C4" w:rsidRPr="00577593" w:rsidRDefault="000F76C4" w:rsidP="00D678EE">
            <w:pPr>
              <w:tabs>
                <w:tab w:val="left" w:pos="1080"/>
              </w:tabs>
              <w:spacing w:after="0" w:line="240" w:lineRule="auto"/>
              <w:jc w:val="both"/>
              <w:rPr>
                <w:rFonts w:ascii="Times New Roman" w:eastAsia="Calibri" w:hAnsi="Times New Roman"/>
                <w:sz w:val="28"/>
                <w:szCs w:val="28"/>
                <w:lang w:eastAsia="ru-RU"/>
              </w:rPr>
            </w:pPr>
            <w:r w:rsidRPr="00577593">
              <w:rPr>
                <w:rFonts w:ascii="Times New Roman" w:eastAsia="Calibri" w:hAnsi="Times New Roman"/>
                <w:sz w:val="28"/>
                <w:szCs w:val="28"/>
                <w:lang w:eastAsia="ru-RU"/>
              </w:rPr>
              <w:t>ГЭТ</w:t>
            </w:r>
          </w:p>
        </w:tc>
        <w:tc>
          <w:tcPr>
            <w:tcW w:w="7144" w:type="dxa"/>
          </w:tcPr>
          <w:p w:rsidR="000F76C4" w:rsidRPr="00577593" w:rsidRDefault="000F76C4" w:rsidP="00D678EE">
            <w:pPr>
              <w:tabs>
                <w:tab w:val="left" w:pos="1080"/>
              </w:tabs>
              <w:spacing w:after="0" w:line="240" w:lineRule="auto"/>
              <w:rPr>
                <w:rFonts w:ascii="Times New Roman" w:eastAsia="Calibri" w:hAnsi="Times New Roman"/>
                <w:sz w:val="28"/>
                <w:szCs w:val="28"/>
                <w:lang w:eastAsia="ru-RU"/>
              </w:rPr>
            </w:pPr>
            <w:r w:rsidRPr="00577593">
              <w:rPr>
                <w:rFonts w:ascii="Times New Roman" w:eastAsia="Calibri" w:hAnsi="Times New Roman"/>
                <w:sz w:val="28"/>
                <w:szCs w:val="28"/>
                <w:lang w:eastAsia="ru-RU"/>
              </w:rPr>
              <w:t>– городской электрический транспорт</w:t>
            </w:r>
          </w:p>
        </w:tc>
      </w:tr>
      <w:tr w:rsidR="000F76C4" w:rsidRPr="00577593" w:rsidTr="00D678EE">
        <w:tc>
          <w:tcPr>
            <w:tcW w:w="2211" w:type="dxa"/>
          </w:tcPr>
          <w:p w:rsidR="000F76C4" w:rsidRPr="00577593" w:rsidRDefault="000F76C4" w:rsidP="00D678EE">
            <w:pPr>
              <w:tabs>
                <w:tab w:val="left" w:pos="1080"/>
              </w:tabs>
              <w:spacing w:after="0" w:line="240" w:lineRule="auto"/>
              <w:jc w:val="both"/>
              <w:rPr>
                <w:rFonts w:ascii="Times New Roman" w:eastAsia="Calibri" w:hAnsi="Times New Roman"/>
                <w:sz w:val="28"/>
                <w:szCs w:val="28"/>
                <w:lang w:eastAsia="ru-RU"/>
              </w:rPr>
            </w:pPr>
            <w:r w:rsidRPr="00577593">
              <w:rPr>
                <w:rFonts w:ascii="Times New Roman" w:eastAsia="Calibri" w:hAnsi="Times New Roman"/>
                <w:sz w:val="28"/>
                <w:szCs w:val="28"/>
                <w:lang w:eastAsia="ru-RU"/>
              </w:rPr>
              <w:t>ЕТО</w:t>
            </w:r>
          </w:p>
        </w:tc>
        <w:tc>
          <w:tcPr>
            <w:tcW w:w="7144" w:type="dxa"/>
          </w:tcPr>
          <w:p w:rsidR="000F76C4" w:rsidRPr="00577593" w:rsidRDefault="000F76C4" w:rsidP="00D678EE">
            <w:pPr>
              <w:tabs>
                <w:tab w:val="left" w:pos="1080"/>
              </w:tabs>
              <w:spacing w:after="0" w:line="240" w:lineRule="auto"/>
              <w:rPr>
                <w:rFonts w:ascii="Times New Roman" w:eastAsia="Calibri" w:hAnsi="Times New Roman"/>
                <w:sz w:val="28"/>
                <w:szCs w:val="28"/>
                <w:lang w:eastAsia="ru-RU"/>
              </w:rPr>
            </w:pPr>
            <w:r w:rsidRPr="00577593">
              <w:rPr>
                <w:rFonts w:ascii="Times New Roman" w:eastAsia="Calibri" w:hAnsi="Times New Roman"/>
                <w:sz w:val="28"/>
                <w:szCs w:val="28"/>
                <w:lang w:eastAsia="ru-RU"/>
              </w:rPr>
              <w:t>– единая теплоснабжающая организация</w:t>
            </w:r>
          </w:p>
        </w:tc>
      </w:tr>
      <w:tr w:rsidR="000F76C4" w:rsidRPr="00577593" w:rsidTr="00D678EE">
        <w:trPr>
          <w:trHeight w:val="483"/>
        </w:trPr>
        <w:tc>
          <w:tcPr>
            <w:tcW w:w="2211" w:type="dxa"/>
            <w:vMerge w:val="restart"/>
          </w:tcPr>
          <w:p w:rsidR="000F76C4" w:rsidRPr="00577593" w:rsidRDefault="000F76C4" w:rsidP="00D678EE">
            <w:pPr>
              <w:tabs>
                <w:tab w:val="left" w:pos="1080"/>
              </w:tabs>
              <w:spacing w:after="0" w:line="240" w:lineRule="auto"/>
              <w:jc w:val="both"/>
              <w:rPr>
                <w:rFonts w:ascii="Times New Roman" w:eastAsia="Calibri" w:hAnsi="Times New Roman"/>
                <w:sz w:val="28"/>
                <w:szCs w:val="28"/>
                <w:lang w:eastAsia="ru-RU"/>
              </w:rPr>
            </w:pPr>
            <w:r w:rsidRPr="00577593">
              <w:rPr>
                <w:rFonts w:ascii="Times New Roman" w:eastAsia="Calibri" w:hAnsi="Times New Roman"/>
                <w:sz w:val="28"/>
                <w:szCs w:val="28"/>
                <w:lang w:eastAsia="ru-RU"/>
              </w:rPr>
              <w:t>ЖКУ</w:t>
            </w:r>
          </w:p>
        </w:tc>
        <w:tc>
          <w:tcPr>
            <w:tcW w:w="7144" w:type="dxa"/>
            <w:vMerge w:val="restart"/>
          </w:tcPr>
          <w:p w:rsidR="000F76C4" w:rsidRPr="00577593" w:rsidRDefault="000F76C4" w:rsidP="00D678EE">
            <w:pPr>
              <w:tabs>
                <w:tab w:val="left" w:pos="1080"/>
              </w:tabs>
              <w:spacing w:after="0" w:line="240" w:lineRule="auto"/>
              <w:rPr>
                <w:rFonts w:ascii="Times New Roman" w:eastAsia="Calibri" w:hAnsi="Times New Roman"/>
                <w:sz w:val="28"/>
                <w:szCs w:val="28"/>
                <w:lang w:eastAsia="ru-RU"/>
              </w:rPr>
            </w:pPr>
            <w:r w:rsidRPr="00577593">
              <w:rPr>
                <w:rFonts w:ascii="Times New Roman" w:eastAsia="Calibri" w:hAnsi="Times New Roman"/>
                <w:sz w:val="28"/>
                <w:szCs w:val="28"/>
                <w:lang w:eastAsia="ru-RU"/>
              </w:rPr>
              <w:t>– жилищно-коммунальные услуги</w:t>
            </w:r>
          </w:p>
        </w:tc>
      </w:tr>
      <w:tr w:rsidR="000F76C4" w:rsidRPr="00577593" w:rsidTr="00D678EE">
        <w:tc>
          <w:tcPr>
            <w:tcW w:w="2211" w:type="dxa"/>
          </w:tcPr>
          <w:p w:rsidR="000F76C4" w:rsidRPr="00577593" w:rsidRDefault="000F76C4" w:rsidP="00D678EE">
            <w:pPr>
              <w:tabs>
                <w:tab w:val="left" w:pos="1080"/>
              </w:tabs>
              <w:spacing w:after="0" w:line="240" w:lineRule="auto"/>
              <w:jc w:val="both"/>
              <w:rPr>
                <w:rFonts w:ascii="Times New Roman" w:eastAsia="Calibri" w:hAnsi="Times New Roman"/>
                <w:sz w:val="28"/>
                <w:szCs w:val="28"/>
                <w:lang w:eastAsia="ru-RU"/>
              </w:rPr>
            </w:pPr>
            <w:r w:rsidRPr="00577593">
              <w:rPr>
                <w:rFonts w:ascii="Times New Roman" w:eastAsia="Calibri" w:hAnsi="Times New Roman"/>
                <w:sz w:val="28"/>
                <w:szCs w:val="28"/>
                <w:lang w:eastAsia="ru-RU"/>
              </w:rPr>
              <w:t>ИЖС</w:t>
            </w:r>
          </w:p>
        </w:tc>
        <w:tc>
          <w:tcPr>
            <w:tcW w:w="7144" w:type="dxa"/>
          </w:tcPr>
          <w:p w:rsidR="000F76C4" w:rsidRPr="00577593" w:rsidRDefault="000F76C4" w:rsidP="00D678EE">
            <w:pPr>
              <w:tabs>
                <w:tab w:val="left" w:pos="1080"/>
              </w:tabs>
              <w:spacing w:after="0" w:line="240" w:lineRule="auto"/>
              <w:rPr>
                <w:rFonts w:ascii="Times New Roman" w:eastAsia="Calibri" w:hAnsi="Times New Roman"/>
                <w:sz w:val="28"/>
                <w:szCs w:val="28"/>
                <w:lang w:eastAsia="ru-RU"/>
              </w:rPr>
            </w:pPr>
            <w:r w:rsidRPr="00577593">
              <w:rPr>
                <w:rFonts w:ascii="Times New Roman" w:eastAsia="Calibri" w:hAnsi="Times New Roman"/>
                <w:sz w:val="28"/>
                <w:szCs w:val="28"/>
                <w:lang w:eastAsia="ru-RU"/>
              </w:rPr>
              <w:t>– индивидуальное жилищное строительство</w:t>
            </w:r>
          </w:p>
        </w:tc>
      </w:tr>
      <w:tr w:rsidR="000F76C4" w:rsidRPr="00577593" w:rsidTr="00D678EE">
        <w:tc>
          <w:tcPr>
            <w:tcW w:w="2211" w:type="dxa"/>
          </w:tcPr>
          <w:p w:rsidR="000F76C4" w:rsidRPr="00577593" w:rsidRDefault="000F76C4" w:rsidP="00D678EE">
            <w:pPr>
              <w:tabs>
                <w:tab w:val="left" w:pos="1080"/>
              </w:tabs>
              <w:spacing w:after="0" w:line="240" w:lineRule="auto"/>
              <w:jc w:val="both"/>
              <w:rPr>
                <w:rFonts w:ascii="Times New Roman" w:eastAsia="Calibri" w:hAnsi="Times New Roman"/>
                <w:sz w:val="28"/>
                <w:szCs w:val="28"/>
                <w:lang w:eastAsia="ru-RU"/>
              </w:rPr>
            </w:pPr>
            <w:r w:rsidRPr="00577593">
              <w:rPr>
                <w:rFonts w:ascii="Times New Roman" w:eastAsia="Calibri" w:hAnsi="Times New Roman"/>
                <w:sz w:val="28"/>
                <w:szCs w:val="28"/>
                <w:lang w:eastAsia="ru-RU"/>
              </w:rPr>
              <w:t>ИПП</w:t>
            </w:r>
          </w:p>
        </w:tc>
        <w:tc>
          <w:tcPr>
            <w:tcW w:w="7144" w:type="dxa"/>
          </w:tcPr>
          <w:p w:rsidR="000F76C4" w:rsidRPr="00577593" w:rsidRDefault="000F76C4" w:rsidP="00D678EE">
            <w:pPr>
              <w:tabs>
                <w:tab w:val="left" w:pos="1080"/>
              </w:tabs>
              <w:spacing w:after="0" w:line="240" w:lineRule="auto"/>
              <w:rPr>
                <w:rFonts w:ascii="Times New Roman" w:eastAsia="Calibri" w:hAnsi="Times New Roman"/>
                <w:sz w:val="28"/>
                <w:szCs w:val="28"/>
                <w:lang w:eastAsia="ru-RU"/>
              </w:rPr>
            </w:pPr>
            <w:r w:rsidRPr="00577593">
              <w:rPr>
                <w:rFonts w:ascii="Times New Roman" w:eastAsia="Calibri" w:hAnsi="Times New Roman"/>
                <w:sz w:val="28"/>
                <w:szCs w:val="28"/>
                <w:lang w:eastAsia="ru-RU"/>
              </w:rPr>
              <w:t>– индекс промышленного производства</w:t>
            </w:r>
          </w:p>
        </w:tc>
      </w:tr>
      <w:tr w:rsidR="000F76C4" w:rsidRPr="00577593" w:rsidTr="00D678EE">
        <w:tc>
          <w:tcPr>
            <w:tcW w:w="2211" w:type="dxa"/>
          </w:tcPr>
          <w:p w:rsidR="000F76C4" w:rsidRPr="00577593" w:rsidRDefault="000F76C4" w:rsidP="00D678EE">
            <w:pPr>
              <w:tabs>
                <w:tab w:val="left" w:pos="1080"/>
              </w:tabs>
              <w:spacing w:after="0" w:line="240" w:lineRule="auto"/>
              <w:jc w:val="both"/>
              <w:rPr>
                <w:rFonts w:ascii="Times New Roman" w:eastAsia="Calibri" w:hAnsi="Times New Roman"/>
                <w:sz w:val="28"/>
                <w:szCs w:val="28"/>
                <w:lang w:eastAsia="ru-RU"/>
              </w:rPr>
            </w:pPr>
            <w:r w:rsidRPr="00577593">
              <w:rPr>
                <w:rFonts w:ascii="Times New Roman" w:eastAsia="Calibri" w:hAnsi="Times New Roman"/>
                <w:sz w:val="28"/>
                <w:szCs w:val="28"/>
                <w:lang w:eastAsia="ru-RU"/>
              </w:rPr>
              <w:t>ИСИЭЗ ВШЭ</w:t>
            </w:r>
          </w:p>
        </w:tc>
        <w:tc>
          <w:tcPr>
            <w:tcW w:w="7144" w:type="dxa"/>
          </w:tcPr>
          <w:p w:rsidR="000F76C4" w:rsidRPr="00577593" w:rsidRDefault="000F76C4" w:rsidP="00D678EE">
            <w:pPr>
              <w:tabs>
                <w:tab w:val="left" w:pos="1080"/>
              </w:tabs>
              <w:spacing w:after="0" w:line="240" w:lineRule="auto"/>
              <w:rPr>
                <w:rFonts w:ascii="Times New Roman" w:eastAsia="Calibri" w:hAnsi="Times New Roman"/>
                <w:sz w:val="28"/>
                <w:szCs w:val="28"/>
                <w:lang w:eastAsia="ru-RU"/>
              </w:rPr>
            </w:pPr>
            <w:r w:rsidRPr="00577593">
              <w:rPr>
                <w:rFonts w:ascii="Times New Roman" w:eastAsia="Calibri" w:hAnsi="Times New Roman"/>
                <w:sz w:val="28"/>
                <w:szCs w:val="28"/>
                <w:lang w:eastAsia="ru-RU"/>
              </w:rPr>
              <w:t>– Институт статистических исследований и экономики знаний Национального исследовательского университета «Высшая школа экономики»</w:t>
            </w:r>
          </w:p>
        </w:tc>
      </w:tr>
      <w:tr w:rsidR="000F76C4" w:rsidRPr="00577593" w:rsidTr="00D678EE">
        <w:tc>
          <w:tcPr>
            <w:tcW w:w="2211" w:type="dxa"/>
          </w:tcPr>
          <w:p w:rsidR="000F76C4" w:rsidRPr="00577593" w:rsidRDefault="000F76C4" w:rsidP="00D678EE">
            <w:pPr>
              <w:tabs>
                <w:tab w:val="left" w:pos="1080"/>
              </w:tabs>
              <w:spacing w:after="0" w:line="240" w:lineRule="auto"/>
              <w:jc w:val="both"/>
              <w:rPr>
                <w:rFonts w:ascii="Times New Roman" w:eastAsia="Calibri" w:hAnsi="Times New Roman"/>
                <w:sz w:val="28"/>
                <w:szCs w:val="28"/>
                <w:lang w:eastAsia="ru-RU"/>
              </w:rPr>
            </w:pPr>
            <w:r w:rsidRPr="00577593">
              <w:rPr>
                <w:rFonts w:ascii="Times New Roman" w:eastAsia="Calibri" w:hAnsi="Times New Roman"/>
                <w:sz w:val="28"/>
                <w:szCs w:val="28"/>
                <w:lang w:eastAsia="ru-RU"/>
              </w:rPr>
              <w:t>КРТ</w:t>
            </w:r>
          </w:p>
        </w:tc>
        <w:tc>
          <w:tcPr>
            <w:tcW w:w="7144" w:type="dxa"/>
          </w:tcPr>
          <w:p w:rsidR="000F76C4" w:rsidRPr="00577593" w:rsidRDefault="000F76C4" w:rsidP="00D678EE">
            <w:pPr>
              <w:tabs>
                <w:tab w:val="left" w:pos="1080"/>
              </w:tabs>
              <w:spacing w:after="0" w:line="240" w:lineRule="auto"/>
              <w:rPr>
                <w:rFonts w:ascii="Times New Roman" w:eastAsia="Calibri" w:hAnsi="Times New Roman"/>
                <w:sz w:val="28"/>
                <w:szCs w:val="28"/>
                <w:lang w:eastAsia="ru-RU"/>
              </w:rPr>
            </w:pPr>
            <w:r w:rsidRPr="00577593">
              <w:rPr>
                <w:rFonts w:ascii="Times New Roman" w:eastAsia="Calibri" w:hAnsi="Times New Roman"/>
                <w:sz w:val="28"/>
                <w:szCs w:val="28"/>
                <w:lang w:eastAsia="ru-RU"/>
              </w:rPr>
              <w:t>– комплексное развитие территории</w:t>
            </w:r>
          </w:p>
        </w:tc>
      </w:tr>
      <w:tr w:rsidR="000F76C4" w:rsidRPr="00577593" w:rsidTr="00D678EE">
        <w:tc>
          <w:tcPr>
            <w:tcW w:w="2211" w:type="dxa"/>
          </w:tcPr>
          <w:p w:rsidR="000F76C4" w:rsidRPr="00577593" w:rsidRDefault="000F76C4" w:rsidP="00D678EE">
            <w:pPr>
              <w:tabs>
                <w:tab w:val="left" w:pos="1080"/>
              </w:tabs>
              <w:spacing w:after="0" w:line="240" w:lineRule="auto"/>
              <w:jc w:val="both"/>
              <w:rPr>
                <w:rFonts w:ascii="Times New Roman" w:eastAsia="Calibri" w:hAnsi="Times New Roman"/>
                <w:sz w:val="28"/>
                <w:szCs w:val="28"/>
                <w:lang w:eastAsia="ru-RU"/>
              </w:rPr>
            </w:pPr>
            <w:r w:rsidRPr="00577593">
              <w:rPr>
                <w:rFonts w:ascii="Times New Roman" w:eastAsia="Calibri" w:hAnsi="Times New Roman"/>
                <w:sz w:val="28"/>
                <w:szCs w:val="28"/>
                <w:lang w:eastAsia="ru-RU"/>
              </w:rPr>
              <w:t>МИБС</w:t>
            </w:r>
          </w:p>
        </w:tc>
        <w:tc>
          <w:tcPr>
            <w:tcW w:w="7144" w:type="dxa"/>
          </w:tcPr>
          <w:p w:rsidR="000F76C4" w:rsidRPr="00577593" w:rsidRDefault="000F76C4" w:rsidP="00D678EE">
            <w:pPr>
              <w:tabs>
                <w:tab w:val="left" w:pos="1080"/>
              </w:tabs>
              <w:spacing w:after="0" w:line="240" w:lineRule="auto"/>
              <w:rPr>
                <w:rFonts w:ascii="Times New Roman" w:eastAsia="Calibri" w:hAnsi="Times New Roman"/>
                <w:sz w:val="28"/>
                <w:szCs w:val="28"/>
                <w:lang w:eastAsia="ru-RU"/>
              </w:rPr>
            </w:pPr>
            <w:r w:rsidRPr="00577593">
              <w:rPr>
                <w:rFonts w:ascii="Times New Roman" w:eastAsia="Calibri" w:hAnsi="Times New Roman"/>
                <w:sz w:val="28"/>
                <w:szCs w:val="28"/>
                <w:lang w:eastAsia="ru-RU"/>
              </w:rPr>
              <w:t>– Медицинский институт им. Березина Сергея</w:t>
            </w:r>
          </w:p>
        </w:tc>
      </w:tr>
      <w:tr w:rsidR="000F76C4" w:rsidRPr="00577593" w:rsidTr="00D678EE">
        <w:tc>
          <w:tcPr>
            <w:tcW w:w="2211" w:type="dxa"/>
          </w:tcPr>
          <w:p w:rsidR="000F76C4" w:rsidRPr="00577593" w:rsidRDefault="000F76C4" w:rsidP="00D678EE">
            <w:pPr>
              <w:tabs>
                <w:tab w:val="left" w:pos="1080"/>
              </w:tabs>
              <w:spacing w:after="0" w:line="240" w:lineRule="auto"/>
              <w:jc w:val="both"/>
              <w:rPr>
                <w:rFonts w:ascii="Times New Roman" w:eastAsia="Calibri" w:hAnsi="Times New Roman"/>
                <w:sz w:val="28"/>
                <w:szCs w:val="28"/>
                <w:lang w:eastAsia="ru-RU"/>
              </w:rPr>
            </w:pPr>
            <w:r w:rsidRPr="00577593">
              <w:rPr>
                <w:rFonts w:ascii="Times New Roman" w:eastAsia="Calibri" w:hAnsi="Times New Roman"/>
                <w:sz w:val="28"/>
                <w:szCs w:val="28"/>
                <w:lang w:eastAsia="ru-RU"/>
              </w:rPr>
              <w:t>МИС</w:t>
            </w:r>
          </w:p>
        </w:tc>
        <w:tc>
          <w:tcPr>
            <w:tcW w:w="7144" w:type="dxa"/>
          </w:tcPr>
          <w:p w:rsidR="000F76C4" w:rsidRPr="00577593" w:rsidRDefault="000F76C4" w:rsidP="00D678EE">
            <w:pPr>
              <w:tabs>
                <w:tab w:val="left" w:pos="1080"/>
              </w:tabs>
              <w:spacing w:after="0" w:line="240" w:lineRule="auto"/>
              <w:rPr>
                <w:rFonts w:ascii="Times New Roman" w:eastAsia="Calibri" w:hAnsi="Times New Roman"/>
                <w:sz w:val="28"/>
                <w:szCs w:val="28"/>
                <w:lang w:eastAsia="ru-RU"/>
              </w:rPr>
            </w:pPr>
            <w:r w:rsidRPr="00577593">
              <w:rPr>
                <w:rFonts w:ascii="Times New Roman" w:eastAsia="Calibri" w:hAnsi="Times New Roman"/>
                <w:sz w:val="28"/>
                <w:szCs w:val="28"/>
                <w:lang w:eastAsia="ru-RU"/>
              </w:rPr>
              <w:t>– муниципальная информационная система</w:t>
            </w:r>
          </w:p>
        </w:tc>
      </w:tr>
      <w:tr w:rsidR="000F76C4" w:rsidRPr="00577593" w:rsidTr="00D678EE">
        <w:tc>
          <w:tcPr>
            <w:tcW w:w="2211" w:type="dxa"/>
          </w:tcPr>
          <w:p w:rsidR="000F76C4" w:rsidRPr="00577593" w:rsidRDefault="000F76C4" w:rsidP="00D678EE">
            <w:pPr>
              <w:tabs>
                <w:tab w:val="left" w:pos="1080"/>
              </w:tabs>
              <w:spacing w:after="0" w:line="240" w:lineRule="auto"/>
              <w:jc w:val="both"/>
              <w:rPr>
                <w:rFonts w:ascii="Times New Roman" w:eastAsia="Calibri" w:hAnsi="Times New Roman"/>
                <w:sz w:val="28"/>
                <w:szCs w:val="28"/>
                <w:lang w:eastAsia="ru-RU"/>
              </w:rPr>
            </w:pPr>
            <w:r w:rsidRPr="00577593">
              <w:rPr>
                <w:rFonts w:ascii="Times New Roman" w:eastAsia="Calibri" w:hAnsi="Times New Roman"/>
                <w:sz w:val="28"/>
                <w:szCs w:val="28"/>
                <w:lang w:eastAsia="ru-RU"/>
              </w:rPr>
              <w:t>МКД</w:t>
            </w:r>
          </w:p>
        </w:tc>
        <w:tc>
          <w:tcPr>
            <w:tcW w:w="7144" w:type="dxa"/>
          </w:tcPr>
          <w:p w:rsidR="000F76C4" w:rsidRPr="00577593" w:rsidRDefault="000F76C4" w:rsidP="00D678EE">
            <w:pPr>
              <w:tabs>
                <w:tab w:val="left" w:pos="1080"/>
              </w:tabs>
              <w:spacing w:after="0" w:line="240" w:lineRule="auto"/>
              <w:rPr>
                <w:rFonts w:ascii="Times New Roman" w:eastAsia="Calibri" w:hAnsi="Times New Roman"/>
                <w:sz w:val="28"/>
                <w:szCs w:val="28"/>
                <w:lang w:eastAsia="ru-RU"/>
              </w:rPr>
            </w:pPr>
            <w:r w:rsidRPr="00577593">
              <w:rPr>
                <w:rFonts w:ascii="Times New Roman" w:eastAsia="Calibri" w:hAnsi="Times New Roman"/>
                <w:sz w:val="28"/>
                <w:szCs w:val="28"/>
                <w:lang w:eastAsia="ru-RU"/>
              </w:rPr>
              <w:t>– многоквартирный дом</w:t>
            </w:r>
          </w:p>
        </w:tc>
      </w:tr>
      <w:tr w:rsidR="000F76C4" w:rsidRPr="00577593" w:rsidTr="00D678EE">
        <w:tc>
          <w:tcPr>
            <w:tcW w:w="2211" w:type="dxa"/>
          </w:tcPr>
          <w:p w:rsidR="000F76C4" w:rsidRPr="00577593" w:rsidRDefault="000F76C4" w:rsidP="00D678EE">
            <w:pPr>
              <w:tabs>
                <w:tab w:val="left" w:pos="1080"/>
              </w:tabs>
              <w:spacing w:after="0" w:line="240" w:lineRule="auto"/>
              <w:jc w:val="both"/>
              <w:rPr>
                <w:rFonts w:ascii="Times New Roman" w:eastAsia="Calibri" w:hAnsi="Times New Roman"/>
                <w:sz w:val="28"/>
                <w:szCs w:val="28"/>
                <w:lang w:eastAsia="ru-RU"/>
              </w:rPr>
            </w:pPr>
            <w:r w:rsidRPr="00577593">
              <w:rPr>
                <w:rFonts w:ascii="Times New Roman" w:eastAsia="Calibri" w:hAnsi="Times New Roman"/>
                <w:sz w:val="28"/>
                <w:szCs w:val="28"/>
                <w:lang w:eastAsia="ru-RU"/>
              </w:rPr>
              <w:t>МРОТ</w:t>
            </w:r>
          </w:p>
        </w:tc>
        <w:tc>
          <w:tcPr>
            <w:tcW w:w="7144" w:type="dxa"/>
          </w:tcPr>
          <w:p w:rsidR="000F76C4" w:rsidRPr="00577593" w:rsidRDefault="000F76C4" w:rsidP="00D678EE">
            <w:pPr>
              <w:tabs>
                <w:tab w:val="left" w:pos="1080"/>
              </w:tabs>
              <w:spacing w:after="0" w:line="240" w:lineRule="auto"/>
              <w:rPr>
                <w:rFonts w:ascii="Times New Roman" w:eastAsia="Calibri" w:hAnsi="Times New Roman"/>
                <w:sz w:val="28"/>
                <w:szCs w:val="28"/>
                <w:lang w:eastAsia="ru-RU"/>
              </w:rPr>
            </w:pPr>
            <w:r w:rsidRPr="00577593">
              <w:rPr>
                <w:rFonts w:ascii="Times New Roman" w:eastAsia="Calibri" w:hAnsi="Times New Roman"/>
                <w:sz w:val="28"/>
                <w:szCs w:val="28"/>
                <w:lang w:eastAsia="ru-RU"/>
              </w:rPr>
              <w:t>– минимальный размер оплаты труда</w:t>
            </w:r>
          </w:p>
        </w:tc>
      </w:tr>
      <w:tr w:rsidR="000F76C4" w:rsidRPr="00577593" w:rsidTr="00D678EE">
        <w:tc>
          <w:tcPr>
            <w:tcW w:w="2211" w:type="dxa"/>
          </w:tcPr>
          <w:p w:rsidR="000F76C4" w:rsidRPr="00577593" w:rsidRDefault="000F76C4" w:rsidP="00D678EE">
            <w:pPr>
              <w:tabs>
                <w:tab w:val="left" w:pos="1080"/>
              </w:tabs>
              <w:spacing w:after="0" w:line="240" w:lineRule="auto"/>
              <w:jc w:val="both"/>
              <w:rPr>
                <w:rFonts w:ascii="Times New Roman" w:eastAsia="Calibri" w:hAnsi="Times New Roman"/>
                <w:sz w:val="28"/>
                <w:szCs w:val="28"/>
                <w:lang w:eastAsia="ru-RU"/>
              </w:rPr>
            </w:pPr>
            <w:r w:rsidRPr="00577593">
              <w:rPr>
                <w:rFonts w:ascii="Times New Roman" w:eastAsia="Calibri" w:hAnsi="Times New Roman"/>
                <w:sz w:val="28"/>
                <w:szCs w:val="28"/>
                <w:lang w:eastAsia="ru-RU"/>
              </w:rPr>
              <w:t>МСП</w:t>
            </w:r>
          </w:p>
        </w:tc>
        <w:tc>
          <w:tcPr>
            <w:tcW w:w="7144" w:type="dxa"/>
          </w:tcPr>
          <w:p w:rsidR="000F76C4" w:rsidRPr="00577593" w:rsidRDefault="000F76C4" w:rsidP="00D678EE">
            <w:pPr>
              <w:tabs>
                <w:tab w:val="left" w:pos="1080"/>
              </w:tabs>
              <w:spacing w:after="0" w:line="240" w:lineRule="auto"/>
              <w:rPr>
                <w:rFonts w:ascii="Times New Roman" w:eastAsia="Calibri" w:hAnsi="Times New Roman"/>
                <w:sz w:val="28"/>
                <w:szCs w:val="28"/>
                <w:lang w:eastAsia="ru-RU"/>
              </w:rPr>
            </w:pPr>
            <w:r w:rsidRPr="00577593">
              <w:rPr>
                <w:rFonts w:ascii="Times New Roman" w:eastAsia="Calibri" w:hAnsi="Times New Roman"/>
                <w:sz w:val="28"/>
                <w:szCs w:val="28"/>
                <w:lang w:eastAsia="ru-RU"/>
              </w:rPr>
              <w:t>– малое и среднее предпринимательство</w:t>
            </w:r>
          </w:p>
        </w:tc>
      </w:tr>
      <w:tr w:rsidR="000F76C4" w:rsidRPr="00577593" w:rsidTr="00D678EE">
        <w:tc>
          <w:tcPr>
            <w:tcW w:w="2211" w:type="dxa"/>
          </w:tcPr>
          <w:p w:rsidR="000F76C4" w:rsidRPr="00577593" w:rsidRDefault="000F76C4" w:rsidP="00D678EE">
            <w:pPr>
              <w:tabs>
                <w:tab w:val="left" w:pos="1080"/>
              </w:tabs>
              <w:spacing w:after="0" w:line="240" w:lineRule="auto"/>
              <w:jc w:val="both"/>
              <w:rPr>
                <w:rFonts w:ascii="Times New Roman" w:eastAsia="Calibri" w:hAnsi="Times New Roman"/>
                <w:sz w:val="28"/>
                <w:szCs w:val="28"/>
                <w:lang w:eastAsia="ru-RU"/>
              </w:rPr>
            </w:pPr>
            <w:r w:rsidRPr="00577593">
              <w:rPr>
                <w:rFonts w:ascii="Times New Roman" w:eastAsia="Calibri" w:hAnsi="Times New Roman"/>
                <w:sz w:val="28"/>
                <w:szCs w:val="28"/>
                <w:lang w:eastAsia="ru-RU"/>
              </w:rPr>
              <w:t>НДФЛ</w:t>
            </w:r>
          </w:p>
        </w:tc>
        <w:tc>
          <w:tcPr>
            <w:tcW w:w="7144" w:type="dxa"/>
          </w:tcPr>
          <w:p w:rsidR="000F76C4" w:rsidRPr="00577593" w:rsidRDefault="000F76C4" w:rsidP="00D678EE">
            <w:pPr>
              <w:tabs>
                <w:tab w:val="left" w:pos="1080"/>
              </w:tabs>
              <w:spacing w:after="0" w:line="240" w:lineRule="auto"/>
              <w:rPr>
                <w:rFonts w:ascii="Times New Roman" w:eastAsia="Calibri" w:hAnsi="Times New Roman"/>
                <w:sz w:val="28"/>
                <w:szCs w:val="28"/>
                <w:lang w:eastAsia="ru-RU"/>
              </w:rPr>
            </w:pPr>
            <w:r w:rsidRPr="00577593">
              <w:rPr>
                <w:rFonts w:ascii="Times New Roman" w:eastAsia="Calibri" w:hAnsi="Times New Roman"/>
                <w:sz w:val="28"/>
                <w:szCs w:val="28"/>
                <w:lang w:eastAsia="ru-RU"/>
              </w:rPr>
              <w:t>– налог на доходы физических лиц</w:t>
            </w:r>
          </w:p>
        </w:tc>
      </w:tr>
      <w:tr w:rsidR="000F76C4" w:rsidRPr="00577593" w:rsidTr="00D678EE">
        <w:tc>
          <w:tcPr>
            <w:tcW w:w="2211" w:type="dxa"/>
          </w:tcPr>
          <w:p w:rsidR="000F76C4" w:rsidRPr="00577593" w:rsidRDefault="000F76C4" w:rsidP="00D678EE">
            <w:pPr>
              <w:tabs>
                <w:tab w:val="left" w:pos="1080"/>
              </w:tabs>
              <w:spacing w:after="0" w:line="240" w:lineRule="auto"/>
              <w:jc w:val="both"/>
              <w:rPr>
                <w:rFonts w:ascii="Times New Roman" w:eastAsia="Calibri" w:hAnsi="Times New Roman"/>
                <w:sz w:val="28"/>
                <w:szCs w:val="28"/>
                <w:lang w:eastAsia="ru-RU"/>
              </w:rPr>
            </w:pPr>
            <w:r w:rsidRPr="00577593">
              <w:rPr>
                <w:rFonts w:ascii="Times New Roman" w:eastAsia="Calibri" w:hAnsi="Times New Roman"/>
                <w:sz w:val="28"/>
                <w:szCs w:val="28"/>
                <w:lang w:eastAsia="ru-RU"/>
              </w:rPr>
              <w:t>НИО</w:t>
            </w:r>
          </w:p>
        </w:tc>
        <w:tc>
          <w:tcPr>
            <w:tcW w:w="7144" w:type="dxa"/>
          </w:tcPr>
          <w:p w:rsidR="000F76C4" w:rsidRPr="00577593" w:rsidRDefault="000F76C4" w:rsidP="00D678EE">
            <w:pPr>
              <w:tabs>
                <w:tab w:val="left" w:pos="1080"/>
              </w:tabs>
              <w:spacing w:after="0" w:line="240" w:lineRule="auto"/>
              <w:rPr>
                <w:rFonts w:ascii="Times New Roman" w:eastAsia="Calibri" w:hAnsi="Times New Roman"/>
                <w:sz w:val="28"/>
                <w:szCs w:val="28"/>
                <w:lang w:eastAsia="ru-RU"/>
              </w:rPr>
            </w:pPr>
            <w:r w:rsidRPr="00577593">
              <w:rPr>
                <w:rFonts w:ascii="Times New Roman" w:eastAsia="Calibri" w:hAnsi="Times New Roman"/>
                <w:sz w:val="28"/>
                <w:szCs w:val="28"/>
                <w:lang w:eastAsia="ru-RU"/>
              </w:rPr>
              <w:t>– налог на имущество организаций</w:t>
            </w:r>
          </w:p>
        </w:tc>
      </w:tr>
      <w:tr w:rsidR="000F76C4" w:rsidRPr="00577593" w:rsidTr="00D678EE">
        <w:trPr>
          <w:trHeight w:val="300"/>
        </w:trPr>
        <w:tc>
          <w:tcPr>
            <w:tcW w:w="2211" w:type="dxa"/>
          </w:tcPr>
          <w:p w:rsidR="000F76C4" w:rsidRPr="00577593" w:rsidRDefault="000F76C4" w:rsidP="00D678EE">
            <w:pPr>
              <w:spacing w:line="240" w:lineRule="auto"/>
              <w:jc w:val="both"/>
              <w:rPr>
                <w:rFonts w:ascii="Times New Roman" w:eastAsia="Calibri" w:hAnsi="Times New Roman"/>
                <w:sz w:val="28"/>
                <w:szCs w:val="28"/>
                <w:lang w:eastAsia="ru-RU"/>
              </w:rPr>
            </w:pPr>
            <w:r w:rsidRPr="00577593">
              <w:rPr>
                <w:rFonts w:ascii="Times New Roman" w:eastAsia="Calibri" w:hAnsi="Times New Roman"/>
                <w:sz w:val="28"/>
                <w:szCs w:val="28"/>
                <w:lang w:eastAsia="ru-RU"/>
              </w:rPr>
              <w:t>НИУ ВШЭ</w:t>
            </w:r>
          </w:p>
        </w:tc>
        <w:tc>
          <w:tcPr>
            <w:tcW w:w="7144" w:type="dxa"/>
          </w:tcPr>
          <w:p w:rsidR="000F76C4" w:rsidRPr="00577593" w:rsidRDefault="000F76C4" w:rsidP="00D678EE">
            <w:pPr>
              <w:spacing w:after="0" w:line="240" w:lineRule="auto"/>
              <w:rPr>
                <w:rFonts w:ascii="Times New Roman" w:eastAsia="Calibri" w:hAnsi="Times New Roman"/>
                <w:sz w:val="28"/>
                <w:szCs w:val="28"/>
                <w:lang w:eastAsia="ru-RU"/>
              </w:rPr>
            </w:pPr>
            <w:r w:rsidRPr="00577593">
              <w:rPr>
                <w:rFonts w:ascii="Times New Roman" w:eastAsia="Calibri" w:hAnsi="Times New Roman"/>
                <w:sz w:val="28"/>
                <w:szCs w:val="28"/>
                <w:lang w:eastAsia="ru-RU"/>
              </w:rPr>
              <w:t>– Национальный исследовательский университет «Высшая школа экономики»</w:t>
            </w:r>
          </w:p>
        </w:tc>
      </w:tr>
      <w:tr w:rsidR="000F76C4" w:rsidRPr="00577593" w:rsidTr="00D678EE">
        <w:tc>
          <w:tcPr>
            <w:tcW w:w="2211" w:type="dxa"/>
          </w:tcPr>
          <w:p w:rsidR="000F76C4" w:rsidRPr="00577593" w:rsidRDefault="000F76C4" w:rsidP="00D678EE">
            <w:pPr>
              <w:tabs>
                <w:tab w:val="left" w:pos="1080"/>
              </w:tabs>
              <w:spacing w:after="0" w:line="240" w:lineRule="auto"/>
              <w:jc w:val="both"/>
              <w:rPr>
                <w:rFonts w:ascii="Times New Roman" w:eastAsia="Calibri" w:hAnsi="Times New Roman"/>
                <w:sz w:val="28"/>
                <w:szCs w:val="28"/>
                <w:lang w:eastAsia="ru-RU"/>
              </w:rPr>
            </w:pPr>
            <w:r w:rsidRPr="00577593">
              <w:rPr>
                <w:rFonts w:ascii="Times New Roman" w:eastAsia="Calibri" w:hAnsi="Times New Roman"/>
                <w:sz w:val="28"/>
                <w:szCs w:val="28"/>
                <w:lang w:eastAsia="ru-RU"/>
              </w:rPr>
              <w:t>НИФЛ</w:t>
            </w:r>
          </w:p>
        </w:tc>
        <w:tc>
          <w:tcPr>
            <w:tcW w:w="7144" w:type="dxa"/>
          </w:tcPr>
          <w:p w:rsidR="000F76C4" w:rsidRPr="00577593" w:rsidRDefault="000F76C4" w:rsidP="00D678EE">
            <w:pPr>
              <w:tabs>
                <w:tab w:val="left" w:pos="1080"/>
              </w:tabs>
              <w:spacing w:after="0" w:line="240" w:lineRule="auto"/>
              <w:rPr>
                <w:rFonts w:ascii="Times New Roman" w:eastAsia="Calibri" w:hAnsi="Times New Roman"/>
                <w:sz w:val="28"/>
                <w:szCs w:val="28"/>
                <w:lang w:eastAsia="ru-RU"/>
              </w:rPr>
            </w:pPr>
            <w:r w:rsidRPr="00577593">
              <w:rPr>
                <w:rFonts w:ascii="Times New Roman" w:eastAsia="Calibri" w:hAnsi="Times New Roman"/>
                <w:sz w:val="28"/>
                <w:szCs w:val="28"/>
                <w:lang w:eastAsia="ru-RU"/>
              </w:rPr>
              <w:t>– налог на имущество физических лиц</w:t>
            </w:r>
          </w:p>
        </w:tc>
      </w:tr>
      <w:tr w:rsidR="000F76C4" w:rsidRPr="00577593" w:rsidTr="00D678EE">
        <w:tc>
          <w:tcPr>
            <w:tcW w:w="2211" w:type="dxa"/>
          </w:tcPr>
          <w:p w:rsidR="000F76C4" w:rsidRPr="00577593" w:rsidRDefault="000F76C4" w:rsidP="00D678EE">
            <w:pPr>
              <w:tabs>
                <w:tab w:val="left" w:pos="1080"/>
              </w:tabs>
              <w:spacing w:after="0" w:line="240" w:lineRule="auto"/>
              <w:jc w:val="both"/>
              <w:rPr>
                <w:rFonts w:ascii="Times New Roman" w:eastAsia="Calibri" w:hAnsi="Times New Roman"/>
                <w:sz w:val="28"/>
                <w:szCs w:val="28"/>
                <w:lang w:eastAsia="ru-RU"/>
              </w:rPr>
            </w:pPr>
            <w:r w:rsidRPr="00577593">
              <w:rPr>
                <w:rFonts w:ascii="Times New Roman" w:eastAsia="Calibri" w:hAnsi="Times New Roman"/>
                <w:sz w:val="28"/>
                <w:szCs w:val="28"/>
                <w:lang w:eastAsia="ru-RU"/>
              </w:rPr>
              <w:t>ОКВЭД</w:t>
            </w:r>
          </w:p>
        </w:tc>
        <w:tc>
          <w:tcPr>
            <w:tcW w:w="7144" w:type="dxa"/>
          </w:tcPr>
          <w:p w:rsidR="000F76C4" w:rsidRPr="00577593" w:rsidRDefault="000F76C4" w:rsidP="00D678EE">
            <w:pPr>
              <w:tabs>
                <w:tab w:val="left" w:pos="1080"/>
              </w:tabs>
              <w:spacing w:after="0" w:line="240" w:lineRule="auto"/>
              <w:rPr>
                <w:rFonts w:ascii="Times New Roman" w:eastAsia="Calibri" w:hAnsi="Times New Roman"/>
                <w:sz w:val="28"/>
                <w:szCs w:val="28"/>
                <w:lang w:eastAsia="ru-RU"/>
              </w:rPr>
            </w:pPr>
            <w:r w:rsidRPr="00577593">
              <w:rPr>
                <w:rFonts w:ascii="Times New Roman" w:eastAsia="Calibri" w:hAnsi="Times New Roman"/>
                <w:sz w:val="28"/>
                <w:szCs w:val="28"/>
                <w:lang w:eastAsia="ru-RU"/>
              </w:rPr>
              <w:t>– Общероссийский классификатор видов экономической деятельности</w:t>
            </w:r>
          </w:p>
        </w:tc>
      </w:tr>
      <w:tr w:rsidR="000F76C4" w:rsidRPr="00577593" w:rsidTr="00D678EE">
        <w:tc>
          <w:tcPr>
            <w:tcW w:w="2211" w:type="dxa"/>
          </w:tcPr>
          <w:p w:rsidR="000F76C4" w:rsidRPr="00577593" w:rsidRDefault="000F76C4" w:rsidP="00D678EE">
            <w:pPr>
              <w:tabs>
                <w:tab w:val="left" w:pos="1080"/>
              </w:tabs>
              <w:spacing w:after="0" w:line="240" w:lineRule="auto"/>
              <w:jc w:val="both"/>
              <w:rPr>
                <w:rFonts w:ascii="Times New Roman" w:eastAsia="Calibri" w:hAnsi="Times New Roman"/>
                <w:sz w:val="28"/>
                <w:szCs w:val="28"/>
                <w:lang w:eastAsia="ru-RU"/>
              </w:rPr>
            </w:pPr>
            <w:r w:rsidRPr="00577593">
              <w:rPr>
                <w:rFonts w:ascii="Times New Roman" w:eastAsia="Calibri" w:hAnsi="Times New Roman"/>
                <w:sz w:val="28"/>
                <w:szCs w:val="28"/>
                <w:lang w:eastAsia="ru-RU"/>
              </w:rPr>
              <w:t>ОКН</w:t>
            </w:r>
          </w:p>
        </w:tc>
        <w:tc>
          <w:tcPr>
            <w:tcW w:w="7144" w:type="dxa"/>
          </w:tcPr>
          <w:p w:rsidR="000F76C4" w:rsidRPr="00577593" w:rsidRDefault="000F76C4" w:rsidP="00D678EE">
            <w:pPr>
              <w:tabs>
                <w:tab w:val="left" w:pos="1080"/>
              </w:tabs>
              <w:spacing w:after="0" w:line="240" w:lineRule="auto"/>
              <w:rPr>
                <w:rFonts w:ascii="Times New Roman" w:eastAsia="Calibri" w:hAnsi="Times New Roman"/>
                <w:sz w:val="28"/>
                <w:szCs w:val="28"/>
                <w:lang w:eastAsia="ru-RU"/>
              </w:rPr>
            </w:pPr>
            <w:r w:rsidRPr="00577593">
              <w:rPr>
                <w:rFonts w:ascii="Times New Roman" w:eastAsia="Calibri" w:hAnsi="Times New Roman"/>
                <w:sz w:val="28"/>
                <w:szCs w:val="28"/>
                <w:lang w:eastAsia="ru-RU"/>
              </w:rPr>
              <w:t>– объект культурного наследия</w:t>
            </w:r>
          </w:p>
        </w:tc>
      </w:tr>
      <w:tr w:rsidR="000F76C4" w:rsidRPr="00577593" w:rsidTr="00D678EE">
        <w:tc>
          <w:tcPr>
            <w:tcW w:w="2211" w:type="dxa"/>
          </w:tcPr>
          <w:p w:rsidR="000F76C4" w:rsidRPr="00577593" w:rsidRDefault="000F76C4" w:rsidP="00D678EE">
            <w:pPr>
              <w:tabs>
                <w:tab w:val="left" w:pos="1080"/>
              </w:tabs>
              <w:spacing w:after="0" w:line="240" w:lineRule="auto"/>
              <w:jc w:val="both"/>
              <w:rPr>
                <w:rFonts w:ascii="Times New Roman" w:eastAsia="Calibri" w:hAnsi="Times New Roman"/>
                <w:sz w:val="28"/>
                <w:szCs w:val="28"/>
                <w:lang w:eastAsia="ru-RU"/>
              </w:rPr>
            </w:pPr>
            <w:r w:rsidRPr="00577593">
              <w:rPr>
                <w:rFonts w:ascii="Times New Roman" w:eastAsia="Calibri" w:hAnsi="Times New Roman"/>
                <w:sz w:val="28"/>
                <w:szCs w:val="28"/>
                <w:lang w:eastAsia="ru-RU"/>
              </w:rPr>
              <w:t>РВК</w:t>
            </w:r>
          </w:p>
        </w:tc>
        <w:tc>
          <w:tcPr>
            <w:tcW w:w="7144" w:type="dxa"/>
          </w:tcPr>
          <w:p w:rsidR="000F76C4" w:rsidRPr="00577593" w:rsidRDefault="000F76C4" w:rsidP="00D678EE">
            <w:pPr>
              <w:tabs>
                <w:tab w:val="left" w:pos="1080"/>
              </w:tabs>
              <w:spacing w:after="0" w:line="240" w:lineRule="auto"/>
              <w:rPr>
                <w:rFonts w:ascii="Times New Roman" w:eastAsia="Calibri" w:hAnsi="Times New Roman"/>
                <w:sz w:val="28"/>
                <w:szCs w:val="28"/>
                <w:lang w:eastAsia="ru-RU"/>
              </w:rPr>
            </w:pPr>
            <w:r w:rsidRPr="00577593">
              <w:rPr>
                <w:rFonts w:ascii="Times New Roman" w:eastAsia="Calibri" w:hAnsi="Times New Roman"/>
                <w:sz w:val="28"/>
                <w:szCs w:val="28"/>
                <w:lang w:eastAsia="ru-RU"/>
              </w:rPr>
              <w:t>– группа компаний «Росводоканал»</w:t>
            </w:r>
          </w:p>
        </w:tc>
      </w:tr>
      <w:tr w:rsidR="000F76C4" w:rsidRPr="00577593" w:rsidTr="00D678EE">
        <w:tc>
          <w:tcPr>
            <w:tcW w:w="2211" w:type="dxa"/>
          </w:tcPr>
          <w:p w:rsidR="000F76C4" w:rsidRPr="00577593" w:rsidRDefault="000F76C4" w:rsidP="00D678EE">
            <w:pPr>
              <w:tabs>
                <w:tab w:val="left" w:pos="1080"/>
              </w:tabs>
              <w:spacing w:after="0" w:line="240" w:lineRule="auto"/>
              <w:jc w:val="both"/>
              <w:rPr>
                <w:rFonts w:ascii="Times New Roman" w:eastAsia="Calibri" w:hAnsi="Times New Roman"/>
                <w:sz w:val="28"/>
                <w:szCs w:val="28"/>
                <w:lang w:eastAsia="ru-RU"/>
              </w:rPr>
            </w:pPr>
            <w:r w:rsidRPr="00577593">
              <w:rPr>
                <w:rFonts w:ascii="Times New Roman" w:eastAsia="Calibri" w:hAnsi="Times New Roman"/>
                <w:sz w:val="28"/>
                <w:szCs w:val="28"/>
                <w:lang w:eastAsia="ru-RU"/>
              </w:rPr>
              <w:t>СМСП</w:t>
            </w:r>
          </w:p>
        </w:tc>
        <w:tc>
          <w:tcPr>
            <w:tcW w:w="7144" w:type="dxa"/>
          </w:tcPr>
          <w:p w:rsidR="000F76C4" w:rsidRPr="00577593" w:rsidRDefault="000F76C4" w:rsidP="00D678EE">
            <w:pPr>
              <w:tabs>
                <w:tab w:val="left" w:pos="1080"/>
              </w:tabs>
              <w:spacing w:after="0" w:line="240" w:lineRule="auto"/>
              <w:rPr>
                <w:rFonts w:ascii="Times New Roman" w:eastAsia="Calibri" w:hAnsi="Times New Roman"/>
                <w:sz w:val="28"/>
                <w:szCs w:val="28"/>
                <w:lang w:eastAsia="ru-RU"/>
              </w:rPr>
            </w:pPr>
            <w:r w:rsidRPr="00577593">
              <w:rPr>
                <w:rFonts w:ascii="Times New Roman" w:eastAsia="Calibri" w:hAnsi="Times New Roman"/>
                <w:sz w:val="28"/>
                <w:szCs w:val="28"/>
                <w:lang w:eastAsia="ru-RU"/>
              </w:rPr>
              <w:t>– субъект малого и среднего предпринимательства</w:t>
            </w:r>
          </w:p>
        </w:tc>
      </w:tr>
      <w:tr w:rsidR="000F76C4" w:rsidRPr="00577593" w:rsidTr="00D678EE">
        <w:tc>
          <w:tcPr>
            <w:tcW w:w="2211" w:type="dxa"/>
          </w:tcPr>
          <w:p w:rsidR="000F76C4" w:rsidRPr="00577593" w:rsidRDefault="000F76C4" w:rsidP="00D678EE">
            <w:pPr>
              <w:tabs>
                <w:tab w:val="left" w:pos="1080"/>
              </w:tabs>
              <w:spacing w:after="0" w:line="240" w:lineRule="auto"/>
              <w:jc w:val="both"/>
              <w:rPr>
                <w:rFonts w:ascii="Times New Roman" w:eastAsia="Calibri" w:hAnsi="Times New Roman"/>
                <w:sz w:val="28"/>
                <w:szCs w:val="28"/>
                <w:lang w:eastAsia="ru-RU"/>
              </w:rPr>
            </w:pPr>
            <w:r w:rsidRPr="00577593">
              <w:rPr>
                <w:rFonts w:ascii="Times New Roman" w:eastAsia="Calibri" w:hAnsi="Times New Roman"/>
                <w:sz w:val="28"/>
                <w:szCs w:val="28"/>
                <w:lang w:eastAsia="ru-RU"/>
              </w:rPr>
              <w:t>СФО</w:t>
            </w:r>
          </w:p>
        </w:tc>
        <w:tc>
          <w:tcPr>
            <w:tcW w:w="7144" w:type="dxa"/>
          </w:tcPr>
          <w:p w:rsidR="000F76C4" w:rsidRPr="00577593" w:rsidRDefault="000F76C4" w:rsidP="00D678EE">
            <w:pPr>
              <w:tabs>
                <w:tab w:val="left" w:pos="1080"/>
              </w:tabs>
              <w:spacing w:after="0" w:line="240" w:lineRule="auto"/>
              <w:rPr>
                <w:rFonts w:ascii="Times New Roman" w:eastAsia="Calibri" w:hAnsi="Times New Roman"/>
                <w:sz w:val="28"/>
                <w:szCs w:val="28"/>
                <w:lang w:eastAsia="ru-RU"/>
              </w:rPr>
            </w:pPr>
            <w:r w:rsidRPr="00577593">
              <w:rPr>
                <w:rFonts w:ascii="Times New Roman" w:eastAsia="Calibri" w:hAnsi="Times New Roman"/>
                <w:sz w:val="28"/>
                <w:szCs w:val="28"/>
                <w:lang w:eastAsia="ru-RU"/>
              </w:rPr>
              <w:t>– Сибирский федеральный округ</w:t>
            </w:r>
          </w:p>
        </w:tc>
      </w:tr>
      <w:tr w:rsidR="000F76C4" w:rsidRPr="00577593" w:rsidTr="00D678EE">
        <w:tc>
          <w:tcPr>
            <w:tcW w:w="2211" w:type="dxa"/>
          </w:tcPr>
          <w:p w:rsidR="000F76C4" w:rsidRPr="00577593" w:rsidRDefault="000F76C4" w:rsidP="00D678EE">
            <w:pPr>
              <w:tabs>
                <w:tab w:val="left" w:pos="1080"/>
              </w:tabs>
              <w:spacing w:after="0" w:line="240" w:lineRule="auto"/>
              <w:jc w:val="both"/>
              <w:rPr>
                <w:rFonts w:ascii="Times New Roman" w:eastAsia="Times New Roman" w:hAnsi="Times New Roman"/>
                <w:sz w:val="28"/>
                <w:szCs w:val="28"/>
              </w:rPr>
            </w:pPr>
            <w:r w:rsidRPr="00577593">
              <w:rPr>
                <w:rFonts w:ascii="Times New Roman" w:eastAsia="Times New Roman" w:hAnsi="Times New Roman"/>
                <w:sz w:val="28"/>
                <w:szCs w:val="28"/>
              </w:rPr>
              <w:t>ТБО</w:t>
            </w:r>
          </w:p>
        </w:tc>
        <w:tc>
          <w:tcPr>
            <w:tcW w:w="7144" w:type="dxa"/>
          </w:tcPr>
          <w:p w:rsidR="000F76C4" w:rsidRPr="00577593" w:rsidRDefault="000F76C4" w:rsidP="00D678EE">
            <w:pPr>
              <w:tabs>
                <w:tab w:val="left" w:pos="1080"/>
              </w:tabs>
              <w:spacing w:after="0" w:line="240" w:lineRule="auto"/>
              <w:rPr>
                <w:rFonts w:ascii="Times New Roman" w:eastAsia="Calibri" w:hAnsi="Times New Roman"/>
                <w:sz w:val="28"/>
                <w:szCs w:val="28"/>
                <w:lang w:eastAsia="ru-RU"/>
              </w:rPr>
            </w:pPr>
            <w:r w:rsidRPr="00577593">
              <w:rPr>
                <w:rFonts w:ascii="Times New Roman" w:eastAsia="Calibri" w:hAnsi="Times New Roman"/>
                <w:sz w:val="28"/>
                <w:szCs w:val="28"/>
                <w:lang w:eastAsia="ru-RU"/>
              </w:rPr>
              <w:t>– твердые бытовые отходы</w:t>
            </w:r>
          </w:p>
        </w:tc>
      </w:tr>
      <w:tr w:rsidR="000F76C4" w:rsidRPr="00577593" w:rsidTr="00D678EE">
        <w:tc>
          <w:tcPr>
            <w:tcW w:w="2211" w:type="dxa"/>
          </w:tcPr>
          <w:p w:rsidR="000F76C4" w:rsidRPr="00577593" w:rsidRDefault="000F76C4" w:rsidP="00D678EE">
            <w:pPr>
              <w:tabs>
                <w:tab w:val="left" w:pos="1080"/>
              </w:tabs>
              <w:spacing w:after="0" w:line="240" w:lineRule="auto"/>
              <w:jc w:val="both"/>
              <w:rPr>
                <w:rFonts w:ascii="Times New Roman" w:eastAsia="Calibri" w:hAnsi="Times New Roman"/>
                <w:sz w:val="28"/>
                <w:szCs w:val="28"/>
                <w:lang w:eastAsia="ru-RU"/>
              </w:rPr>
            </w:pPr>
            <w:r w:rsidRPr="00577593">
              <w:rPr>
                <w:rFonts w:ascii="Times New Roman" w:eastAsia="Calibri" w:hAnsi="Times New Roman"/>
                <w:sz w:val="28"/>
                <w:szCs w:val="28"/>
                <w:lang w:eastAsia="ru-RU"/>
              </w:rPr>
              <w:t>ТКО</w:t>
            </w:r>
          </w:p>
        </w:tc>
        <w:tc>
          <w:tcPr>
            <w:tcW w:w="7144" w:type="dxa"/>
          </w:tcPr>
          <w:p w:rsidR="000F76C4" w:rsidRPr="00577593" w:rsidRDefault="000F76C4" w:rsidP="00D678EE">
            <w:pPr>
              <w:tabs>
                <w:tab w:val="left" w:pos="1080"/>
              </w:tabs>
              <w:spacing w:after="0" w:line="240" w:lineRule="auto"/>
              <w:rPr>
                <w:rFonts w:ascii="Times New Roman" w:eastAsia="Calibri" w:hAnsi="Times New Roman"/>
                <w:sz w:val="28"/>
                <w:szCs w:val="28"/>
                <w:lang w:eastAsia="ru-RU"/>
              </w:rPr>
            </w:pPr>
            <w:r w:rsidRPr="00577593">
              <w:rPr>
                <w:rFonts w:ascii="Times New Roman" w:eastAsia="Calibri" w:hAnsi="Times New Roman"/>
                <w:sz w:val="28"/>
                <w:szCs w:val="28"/>
                <w:lang w:eastAsia="ru-RU"/>
              </w:rPr>
              <w:t>– твердые коммунальные отходы</w:t>
            </w:r>
          </w:p>
        </w:tc>
      </w:tr>
      <w:tr w:rsidR="000F76C4" w:rsidRPr="00577593" w:rsidTr="00D678EE">
        <w:tc>
          <w:tcPr>
            <w:tcW w:w="2211" w:type="dxa"/>
          </w:tcPr>
          <w:p w:rsidR="000F76C4" w:rsidRPr="00577593" w:rsidRDefault="000F76C4" w:rsidP="00D678EE">
            <w:pPr>
              <w:tabs>
                <w:tab w:val="left" w:pos="1080"/>
              </w:tabs>
              <w:spacing w:after="0" w:line="240" w:lineRule="auto"/>
              <w:jc w:val="both"/>
              <w:rPr>
                <w:rFonts w:ascii="Times New Roman" w:eastAsia="Calibri" w:hAnsi="Times New Roman"/>
                <w:sz w:val="28"/>
                <w:szCs w:val="28"/>
                <w:lang w:eastAsia="ru-RU"/>
              </w:rPr>
            </w:pPr>
            <w:r w:rsidRPr="00577593">
              <w:rPr>
                <w:rFonts w:ascii="Times New Roman" w:eastAsia="Calibri" w:hAnsi="Times New Roman"/>
                <w:sz w:val="28"/>
                <w:szCs w:val="28"/>
                <w:lang w:eastAsia="ru-RU"/>
              </w:rPr>
              <w:lastRenderedPageBreak/>
              <w:t>ТОС</w:t>
            </w:r>
          </w:p>
        </w:tc>
        <w:tc>
          <w:tcPr>
            <w:tcW w:w="7144" w:type="dxa"/>
          </w:tcPr>
          <w:p w:rsidR="000F76C4" w:rsidRPr="00577593" w:rsidRDefault="000F76C4" w:rsidP="00D678EE">
            <w:pPr>
              <w:tabs>
                <w:tab w:val="left" w:pos="1080"/>
              </w:tabs>
              <w:spacing w:after="0" w:line="240" w:lineRule="auto"/>
              <w:rPr>
                <w:rFonts w:ascii="Times New Roman" w:eastAsia="Calibri" w:hAnsi="Times New Roman"/>
                <w:sz w:val="28"/>
                <w:szCs w:val="28"/>
                <w:lang w:eastAsia="ru-RU"/>
              </w:rPr>
            </w:pPr>
            <w:r w:rsidRPr="00577593">
              <w:rPr>
                <w:rFonts w:ascii="Times New Roman" w:eastAsia="Calibri" w:hAnsi="Times New Roman"/>
                <w:sz w:val="28"/>
                <w:szCs w:val="28"/>
                <w:lang w:eastAsia="ru-RU"/>
              </w:rPr>
              <w:t>– территориальное общественное самоуправление</w:t>
            </w:r>
          </w:p>
        </w:tc>
      </w:tr>
      <w:tr w:rsidR="000F76C4" w:rsidRPr="00577593" w:rsidTr="00D678EE">
        <w:tc>
          <w:tcPr>
            <w:tcW w:w="2211" w:type="dxa"/>
          </w:tcPr>
          <w:p w:rsidR="000F76C4" w:rsidRPr="00577593" w:rsidRDefault="000F76C4" w:rsidP="00D678EE">
            <w:pPr>
              <w:tabs>
                <w:tab w:val="left" w:pos="1080"/>
              </w:tabs>
              <w:spacing w:after="0" w:line="240" w:lineRule="auto"/>
              <w:jc w:val="both"/>
              <w:rPr>
                <w:rFonts w:ascii="Times New Roman" w:eastAsia="Calibri" w:hAnsi="Times New Roman"/>
                <w:sz w:val="28"/>
                <w:szCs w:val="28"/>
                <w:lang w:eastAsia="ru-RU"/>
              </w:rPr>
            </w:pPr>
            <w:r w:rsidRPr="00577593">
              <w:rPr>
                <w:rFonts w:ascii="Times New Roman" w:eastAsia="Calibri" w:hAnsi="Times New Roman"/>
                <w:sz w:val="28"/>
                <w:szCs w:val="28"/>
                <w:lang w:eastAsia="ru-RU"/>
              </w:rPr>
              <w:t>ТПУ</w:t>
            </w:r>
          </w:p>
        </w:tc>
        <w:tc>
          <w:tcPr>
            <w:tcW w:w="7144" w:type="dxa"/>
          </w:tcPr>
          <w:p w:rsidR="000F76C4" w:rsidRPr="00577593" w:rsidRDefault="000F76C4" w:rsidP="00D678EE">
            <w:pPr>
              <w:tabs>
                <w:tab w:val="left" w:pos="1080"/>
              </w:tabs>
              <w:spacing w:after="0" w:line="240" w:lineRule="auto"/>
              <w:rPr>
                <w:rFonts w:ascii="Times New Roman" w:eastAsia="Calibri" w:hAnsi="Times New Roman"/>
                <w:sz w:val="28"/>
                <w:szCs w:val="28"/>
                <w:lang w:eastAsia="ru-RU"/>
              </w:rPr>
            </w:pPr>
            <w:r w:rsidRPr="00577593">
              <w:rPr>
                <w:rFonts w:ascii="Times New Roman" w:eastAsia="Calibri" w:hAnsi="Times New Roman"/>
                <w:sz w:val="28"/>
                <w:szCs w:val="28"/>
                <w:lang w:eastAsia="ru-RU"/>
              </w:rPr>
              <w:t>– транспортно-пересадочный узел</w:t>
            </w:r>
          </w:p>
        </w:tc>
      </w:tr>
      <w:tr w:rsidR="000F76C4" w:rsidRPr="00577593" w:rsidTr="00D678EE">
        <w:tc>
          <w:tcPr>
            <w:tcW w:w="2211" w:type="dxa"/>
          </w:tcPr>
          <w:p w:rsidR="000F76C4" w:rsidRPr="00577593" w:rsidRDefault="000F76C4" w:rsidP="00D678EE">
            <w:pPr>
              <w:tabs>
                <w:tab w:val="left" w:pos="1080"/>
              </w:tabs>
              <w:spacing w:after="0" w:line="240" w:lineRule="auto"/>
              <w:jc w:val="both"/>
              <w:rPr>
                <w:rFonts w:ascii="Times New Roman" w:eastAsia="Calibri" w:hAnsi="Times New Roman"/>
                <w:sz w:val="28"/>
                <w:szCs w:val="28"/>
                <w:lang w:eastAsia="ru-RU"/>
              </w:rPr>
            </w:pPr>
            <w:r w:rsidRPr="00577593">
              <w:rPr>
                <w:rFonts w:ascii="Times New Roman" w:eastAsia="Calibri" w:hAnsi="Times New Roman"/>
                <w:sz w:val="28"/>
                <w:szCs w:val="28"/>
                <w:lang w:eastAsia="ru-RU"/>
              </w:rPr>
              <w:t>УСН</w:t>
            </w:r>
          </w:p>
        </w:tc>
        <w:tc>
          <w:tcPr>
            <w:tcW w:w="7144" w:type="dxa"/>
          </w:tcPr>
          <w:p w:rsidR="000F76C4" w:rsidRPr="00577593" w:rsidRDefault="000F76C4" w:rsidP="00D678EE">
            <w:pPr>
              <w:tabs>
                <w:tab w:val="left" w:pos="1080"/>
              </w:tabs>
              <w:spacing w:after="0" w:line="240" w:lineRule="auto"/>
              <w:rPr>
                <w:rFonts w:ascii="Times New Roman" w:eastAsia="Calibri" w:hAnsi="Times New Roman"/>
                <w:sz w:val="28"/>
                <w:szCs w:val="28"/>
                <w:lang w:eastAsia="ru-RU"/>
              </w:rPr>
            </w:pPr>
            <w:r w:rsidRPr="00577593">
              <w:rPr>
                <w:rFonts w:ascii="Times New Roman" w:eastAsia="Calibri" w:hAnsi="Times New Roman"/>
                <w:sz w:val="28"/>
                <w:szCs w:val="28"/>
                <w:lang w:eastAsia="ru-RU"/>
              </w:rPr>
              <w:t>– упрощенная система налогообложения</w:t>
            </w:r>
          </w:p>
        </w:tc>
      </w:tr>
      <w:tr w:rsidR="000F76C4" w:rsidRPr="00577593" w:rsidTr="00D678EE">
        <w:tc>
          <w:tcPr>
            <w:tcW w:w="2211" w:type="dxa"/>
          </w:tcPr>
          <w:p w:rsidR="000F76C4" w:rsidRPr="00577593" w:rsidRDefault="000F76C4" w:rsidP="00D678EE">
            <w:pPr>
              <w:tabs>
                <w:tab w:val="left" w:pos="1080"/>
              </w:tabs>
              <w:spacing w:after="0" w:line="240" w:lineRule="auto"/>
              <w:jc w:val="both"/>
              <w:rPr>
                <w:rFonts w:ascii="Times New Roman" w:eastAsia="Calibri" w:hAnsi="Times New Roman"/>
                <w:sz w:val="28"/>
                <w:szCs w:val="28"/>
                <w:lang w:eastAsia="ru-RU"/>
              </w:rPr>
            </w:pPr>
            <w:r w:rsidRPr="00577593">
              <w:rPr>
                <w:rFonts w:ascii="Times New Roman" w:eastAsia="Calibri" w:hAnsi="Times New Roman"/>
                <w:sz w:val="28"/>
                <w:szCs w:val="28"/>
                <w:lang w:eastAsia="ru-RU"/>
              </w:rPr>
              <w:t>ФНС</w:t>
            </w:r>
          </w:p>
        </w:tc>
        <w:tc>
          <w:tcPr>
            <w:tcW w:w="7144" w:type="dxa"/>
          </w:tcPr>
          <w:p w:rsidR="000F76C4" w:rsidRPr="00577593" w:rsidRDefault="000F76C4" w:rsidP="00D678EE">
            <w:pPr>
              <w:tabs>
                <w:tab w:val="left" w:pos="1080"/>
              </w:tabs>
              <w:spacing w:after="0" w:line="240" w:lineRule="auto"/>
              <w:rPr>
                <w:rFonts w:ascii="Times New Roman" w:eastAsia="Calibri" w:hAnsi="Times New Roman"/>
                <w:sz w:val="28"/>
                <w:szCs w:val="28"/>
                <w:lang w:eastAsia="ru-RU"/>
              </w:rPr>
            </w:pPr>
            <w:r w:rsidRPr="00577593">
              <w:rPr>
                <w:rFonts w:ascii="Times New Roman" w:eastAsia="Calibri" w:hAnsi="Times New Roman"/>
                <w:sz w:val="28"/>
                <w:szCs w:val="28"/>
                <w:lang w:eastAsia="ru-RU"/>
              </w:rPr>
              <w:t>– Федеральная налоговая служба России</w:t>
            </w:r>
          </w:p>
        </w:tc>
      </w:tr>
      <w:tr w:rsidR="000F76C4" w:rsidRPr="00577593" w:rsidTr="00D678EE">
        <w:tc>
          <w:tcPr>
            <w:tcW w:w="2211" w:type="dxa"/>
          </w:tcPr>
          <w:p w:rsidR="000F76C4" w:rsidRPr="00577593" w:rsidRDefault="000F76C4" w:rsidP="00D678EE">
            <w:pPr>
              <w:tabs>
                <w:tab w:val="left" w:pos="1080"/>
              </w:tabs>
              <w:spacing w:after="0" w:line="240" w:lineRule="auto"/>
              <w:jc w:val="both"/>
              <w:rPr>
                <w:rFonts w:ascii="Times New Roman" w:eastAsia="Calibri" w:hAnsi="Times New Roman"/>
                <w:sz w:val="28"/>
                <w:szCs w:val="28"/>
                <w:lang w:eastAsia="ru-RU"/>
              </w:rPr>
            </w:pPr>
            <w:r w:rsidRPr="00577593">
              <w:rPr>
                <w:rFonts w:ascii="Times New Roman" w:eastAsia="Calibri" w:hAnsi="Times New Roman"/>
                <w:sz w:val="28"/>
                <w:szCs w:val="28"/>
                <w:lang w:eastAsia="ru-RU"/>
              </w:rPr>
              <w:t>ЦКР</w:t>
            </w:r>
          </w:p>
        </w:tc>
        <w:tc>
          <w:tcPr>
            <w:tcW w:w="7144" w:type="dxa"/>
          </w:tcPr>
          <w:p w:rsidR="000F76C4" w:rsidRPr="00577593" w:rsidRDefault="000F76C4" w:rsidP="00D678EE">
            <w:pPr>
              <w:tabs>
                <w:tab w:val="left" w:pos="1080"/>
              </w:tabs>
              <w:spacing w:after="0" w:line="240" w:lineRule="auto"/>
              <w:rPr>
                <w:rFonts w:ascii="Times New Roman" w:eastAsia="Calibri" w:hAnsi="Times New Roman"/>
                <w:sz w:val="28"/>
                <w:szCs w:val="28"/>
                <w:lang w:eastAsia="ru-RU"/>
              </w:rPr>
            </w:pPr>
            <w:r w:rsidRPr="00577593">
              <w:rPr>
                <w:rFonts w:ascii="Times New Roman" w:eastAsia="Calibri" w:hAnsi="Times New Roman"/>
                <w:sz w:val="28"/>
                <w:szCs w:val="28"/>
                <w:lang w:eastAsia="ru-RU"/>
              </w:rPr>
              <w:t>– Краевое автономное учреждение «Алтайский центр кластерного развития»</w:t>
            </w:r>
          </w:p>
        </w:tc>
      </w:tr>
      <w:tr w:rsidR="000F76C4" w:rsidRPr="00577593" w:rsidTr="00D678EE">
        <w:tc>
          <w:tcPr>
            <w:tcW w:w="2211" w:type="dxa"/>
          </w:tcPr>
          <w:p w:rsidR="000F76C4" w:rsidRPr="00577593" w:rsidRDefault="000F76C4" w:rsidP="00D678EE">
            <w:pPr>
              <w:tabs>
                <w:tab w:val="left" w:pos="1080"/>
              </w:tabs>
              <w:spacing w:after="0" w:line="240" w:lineRule="auto"/>
              <w:jc w:val="both"/>
              <w:rPr>
                <w:rFonts w:ascii="Times New Roman" w:eastAsia="Calibri" w:hAnsi="Times New Roman"/>
                <w:sz w:val="28"/>
                <w:szCs w:val="28"/>
                <w:lang w:eastAsia="ru-RU"/>
              </w:rPr>
            </w:pPr>
            <w:r w:rsidRPr="00577593">
              <w:rPr>
                <w:rFonts w:ascii="Times New Roman" w:eastAsia="Calibri" w:hAnsi="Times New Roman"/>
                <w:sz w:val="28"/>
                <w:szCs w:val="28"/>
                <w:lang w:eastAsia="ru-RU"/>
              </w:rPr>
              <w:t>ЦТП</w:t>
            </w:r>
          </w:p>
        </w:tc>
        <w:tc>
          <w:tcPr>
            <w:tcW w:w="7144" w:type="dxa"/>
          </w:tcPr>
          <w:p w:rsidR="000F76C4" w:rsidRPr="00577593" w:rsidRDefault="000F76C4" w:rsidP="00D678EE">
            <w:pPr>
              <w:tabs>
                <w:tab w:val="left" w:pos="1080"/>
              </w:tabs>
              <w:spacing w:after="0" w:line="240" w:lineRule="auto"/>
              <w:rPr>
                <w:rFonts w:ascii="Times New Roman" w:eastAsia="Calibri" w:hAnsi="Times New Roman"/>
                <w:sz w:val="28"/>
                <w:szCs w:val="28"/>
                <w:lang w:eastAsia="ru-RU"/>
              </w:rPr>
            </w:pPr>
            <w:r w:rsidRPr="00577593">
              <w:rPr>
                <w:rFonts w:ascii="Times New Roman" w:eastAsia="Calibri" w:hAnsi="Times New Roman"/>
                <w:sz w:val="28"/>
                <w:szCs w:val="28"/>
                <w:lang w:eastAsia="ru-RU"/>
              </w:rPr>
              <w:t>– центральный тепловой пункт</w:t>
            </w:r>
          </w:p>
        </w:tc>
      </w:tr>
      <w:tr w:rsidR="000F76C4" w:rsidRPr="00577593" w:rsidTr="00D678EE">
        <w:tc>
          <w:tcPr>
            <w:tcW w:w="2211" w:type="dxa"/>
          </w:tcPr>
          <w:p w:rsidR="000F76C4" w:rsidRPr="00577593" w:rsidRDefault="000F76C4" w:rsidP="00D678EE">
            <w:pPr>
              <w:tabs>
                <w:tab w:val="left" w:pos="1080"/>
              </w:tabs>
              <w:spacing w:after="0" w:line="240" w:lineRule="auto"/>
              <w:jc w:val="both"/>
              <w:rPr>
                <w:rFonts w:ascii="Times New Roman" w:eastAsia="Calibri" w:hAnsi="Times New Roman"/>
                <w:bCs/>
                <w:sz w:val="28"/>
                <w:szCs w:val="28"/>
                <w:lang w:eastAsia="ru-RU"/>
              </w:rPr>
            </w:pPr>
          </w:p>
        </w:tc>
        <w:tc>
          <w:tcPr>
            <w:tcW w:w="7144" w:type="dxa"/>
          </w:tcPr>
          <w:p w:rsidR="000F76C4" w:rsidRPr="00577593" w:rsidRDefault="000F76C4" w:rsidP="00D678EE">
            <w:pPr>
              <w:tabs>
                <w:tab w:val="left" w:pos="1080"/>
              </w:tabs>
              <w:spacing w:after="0" w:line="240" w:lineRule="auto"/>
              <w:jc w:val="both"/>
              <w:rPr>
                <w:rFonts w:ascii="Times New Roman" w:eastAsia="Calibri" w:hAnsi="Times New Roman"/>
                <w:sz w:val="28"/>
                <w:szCs w:val="28"/>
                <w:lang w:eastAsia="ru-RU"/>
              </w:rPr>
            </w:pPr>
          </w:p>
        </w:tc>
      </w:tr>
      <w:tr w:rsidR="000F76C4" w:rsidRPr="00577593" w:rsidTr="00D678EE">
        <w:tc>
          <w:tcPr>
            <w:tcW w:w="2211" w:type="dxa"/>
          </w:tcPr>
          <w:p w:rsidR="000F76C4" w:rsidRPr="00577593" w:rsidRDefault="000F76C4" w:rsidP="00D678EE">
            <w:pPr>
              <w:tabs>
                <w:tab w:val="left" w:pos="1080"/>
              </w:tabs>
              <w:spacing w:after="0" w:line="240" w:lineRule="auto"/>
              <w:jc w:val="both"/>
              <w:rPr>
                <w:rFonts w:ascii="Times New Roman" w:eastAsia="Calibri" w:hAnsi="Times New Roman"/>
                <w:bCs/>
                <w:sz w:val="28"/>
                <w:szCs w:val="28"/>
                <w:lang w:eastAsia="ru-RU"/>
              </w:rPr>
            </w:pPr>
          </w:p>
        </w:tc>
        <w:tc>
          <w:tcPr>
            <w:tcW w:w="7144" w:type="dxa"/>
          </w:tcPr>
          <w:p w:rsidR="000F76C4" w:rsidRPr="00577593" w:rsidRDefault="000F76C4" w:rsidP="00D678EE">
            <w:pPr>
              <w:tabs>
                <w:tab w:val="left" w:pos="1080"/>
              </w:tabs>
              <w:spacing w:after="0" w:line="240" w:lineRule="auto"/>
              <w:jc w:val="both"/>
              <w:rPr>
                <w:rFonts w:ascii="Times New Roman" w:eastAsia="Calibri" w:hAnsi="Times New Roman"/>
                <w:sz w:val="28"/>
                <w:szCs w:val="28"/>
                <w:lang w:eastAsia="ru-RU"/>
              </w:rPr>
            </w:pPr>
          </w:p>
        </w:tc>
      </w:tr>
      <w:tr w:rsidR="000F76C4" w:rsidRPr="00577593" w:rsidTr="00D678EE">
        <w:tc>
          <w:tcPr>
            <w:tcW w:w="2211" w:type="dxa"/>
          </w:tcPr>
          <w:p w:rsidR="000F76C4" w:rsidRPr="00577593" w:rsidRDefault="000F76C4" w:rsidP="00D678EE">
            <w:pPr>
              <w:tabs>
                <w:tab w:val="left" w:pos="1080"/>
              </w:tabs>
              <w:spacing w:after="0" w:line="240" w:lineRule="auto"/>
              <w:jc w:val="both"/>
              <w:rPr>
                <w:rFonts w:ascii="Times New Roman" w:eastAsia="Calibri" w:hAnsi="Times New Roman"/>
                <w:bCs/>
                <w:sz w:val="28"/>
                <w:szCs w:val="28"/>
                <w:lang w:eastAsia="ru-RU"/>
              </w:rPr>
            </w:pPr>
          </w:p>
        </w:tc>
        <w:tc>
          <w:tcPr>
            <w:tcW w:w="7144" w:type="dxa"/>
          </w:tcPr>
          <w:p w:rsidR="000F76C4" w:rsidRPr="00577593" w:rsidRDefault="000F76C4" w:rsidP="00D678EE">
            <w:pPr>
              <w:tabs>
                <w:tab w:val="left" w:pos="1080"/>
              </w:tabs>
              <w:spacing w:after="0" w:line="240" w:lineRule="auto"/>
              <w:jc w:val="both"/>
              <w:rPr>
                <w:rFonts w:ascii="Times New Roman" w:eastAsia="Calibri" w:hAnsi="Times New Roman"/>
                <w:sz w:val="28"/>
                <w:szCs w:val="28"/>
                <w:lang w:eastAsia="ru-RU"/>
              </w:rPr>
            </w:pPr>
          </w:p>
        </w:tc>
      </w:tr>
      <w:tr w:rsidR="000F76C4" w:rsidRPr="00577593" w:rsidTr="00D678EE">
        <w:tc>
          <w:tcPr>
            <w:tcW w:w="2211" w:type="dxa"/>
          </w:tcPr>
          <w:p w:rsidR="000F76C4" w:rsidRPr="00577593" w:rsidRDefault="000F76C4" w:rsidP="00D678EE">
            <w:pPr>
              <w:tabs>
                <w:tab w:val="left" w:pos="1080"/>
              </w:tabs>
              <w:spacing w:after="0" w:line="240" w:lineRule="auto"/>
              <w:jc w:val="both"/>
              <w:rPr>
                <w:rFonts w:ascii="Times New Roman" w:eastAsia="Calibri" w:hAnsi="Times New Roman"/>
                <w:bCs/>
                <w:sz w:val="28"/>
                <w:szCs w:val="28"/>
                <w:lang w:eastAsia="ru-RU"/>
              </w:rPr>
            </w:pPr>
          </w:p>
        </w:tc>
        <w:tc>
          <w:tcPr>
            <w:tcW w:w="7144" w:type="dxa"/>
          </w:tcPr>
          <w:p w:rsidR="000F76C4" w:rsidRPr="00577593" w:rsidRDefault="000F76C4" w:rsidP="00D678EE">
            <w:pPr>
              <w:tabs>
                <w:tab w:val="left" w:pos="1080"/>
              </w:tabs>
              <w:spacing w:after="0" w:line="240" w:lineRule="auto"/>
              <w:jc w:val="both"/>
              <w:rPr>
                <w:rFonts w:ascii="Times New Roman" w:eastAsia="Calibri" w:hAnsi="Times New Roman"/>
                <w:sz w:val="28"/>
                <w:szCs w:val="28"/>
                <w:lang w:eastAsia="ru-RU"/>
              </w:rPr>
            </w:pPr>
          </w:p>
        </w:tc>
      </w:tr>
      <w:tr w:rsidR="000F76C4" w:rsidRPr="00577593" w:rsidTr="00D678EE">
        <w:tc>
          <w:tcPr>
            <w:tcW w:w="2211" w:type="dxa"/>
          </w:tcPr>
          <w:p w:rsidR="000F76C4" w:rsidRPr="00577593" w:rsidRDefault="000F76C4" w:rsidP="00D678EE">
            <w:pPr>
              <w:tabs>
                <w:tab w:val="left" w:pos="1080"/>
              </w:tabs>
              <w:spacing w:after="0" w:line="240" w:lineRule="auto"/>
              <w:jc w:val="both"/>
              <w:rPr>
                <w:rFonts w:ascii="Times New Roman" w:eastAsia="Calibri" w:hAnsi="Times New Roman"/>
                <w:bCs/>
                <w:sz w:val="28"/>
                <w:szCs w:val="28"/>
                <w:lang w:eastAsia="ru-RU"/>
              </w:rPr>
            </w:pPr>
          </w:p>
        </w:tc>
        <w:tc>
          <w:tcPr>
            <w:tcW w:w="7144" w:type="dxa"/>
          </w:tcPr>
          <w:p w:rsidR="000F76C4" w:rsidRPr="00577593" w:rsidRDefault="000F76C4" w:rsidP="00D678EE">
            <w:pPr>
              <w:tabs>
                <w:tab w:val="left" w:pos="1080"/>
              </w:tabs>
              <w:spacing w:after="0" w:line="240" w:lineRule="auto"/>
              <w:jc w:val="both"/>
              <w:rPr>
                <w:rFonts w:ascii="Times New Roman" w:eastAsia="Calibri" w:hAnsi="Times New Roman"/>
                <w:sz w:val="28"/>
                <w:szCs w:val="28"/>
                <w:lang w:eastAsia="ru-RU"/>
              </w:rPr>
            </w:pPr>
          </w:p>
        </w:tc>
      </w:tr>
    </w:tbl>
    <w:p w:rsidR="0096424E" w:rsidRPr="00577593" w:rsidRDefault="0096424E" w:rsidP="000F76C4">
      <w:pPr>
        <w:pStyle w:val="1"/>
        <w:spacing w:before="0" w:line="240" w:lineRule="auto"/>
        <w:rPr>
          <w:rFonts w:ascii="Times New Roman" w:eastAsia="Times New Roman" w:hAnsi="Times New Roman"/>
          <w:color w:val="auto"/>
          <w:lang w:eastAsia="ru-RU"/>
        </w:rPr>
      </w:pPr>
    </w:p>
    <w:sectPr w:rsidR="0096424E" w:rsidRPr="00577593" w:rsidSect="009E421C">
      <w:pgSz w:w="11906" w:h="16838"/>
      <w:pgMar w:top="1134" w:right="850" w:bottom="1134" w:left="1701" w:header="709" w:footer="709" w:gutter="0"/>
      <w:cols w:space="708"/>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00597" w:rsidRDefault="00200597">
      <w:pPr>
        <w:spacing w:after="0" w:line="240" w:lineRule="auto"/>
      </w:pPr>
      <w:r>
        <w:separator/>
      </w:r>
    </w:p>
  </w:endnote>
  <w:endnote w:type="continuationSeparator" w:id="0">
    <w:p w:rsidR="00200597" w:rsidRDefault="002005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 w:name="PT Astra Serif">
    <w:panose1 w:val="020A0603040505020204"/>
    <w:charset w:val="CC"/>
    <w:family w:val="roman"/>
    <w:pitch w:val="variable"/>
    <w:sig w:usb0="A00002EF" w:usb1="5000204B" w:usb2="00000020" w:usb3="00000000" w:csb0="00000097" w:csb1="00000000"/>
  </w:font>
  <w:font w:name="Aptos">
    <w:altName w:val="Arial"/>
    <w:charset w:val="00"/>
    <w:family w:val="swiss"/>
    <w:pitch w:val="variable"/>
    <w:sig w:usb0="00000001" w:usb1="00000003" w:usb2="00000000"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00597" w:rsidRDefault="00200597">
    <w:pPr>
      <w:pStyle w:val="aff0"/>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00597" w:rsidRDefault="00200597">
      <w:pPr>
        <w:spacing w:after="0" w:line="240" w:lineRule="auto"/>
      </w:pPr>
      <w:r>
        <w:separator/>
      </w:r>
    </w:p>
  </w:footnote>
  <w:footnote w:type="continuationSeparator" w:id="0">
    <w:p w:rsidR="00200597" w:rsidRDefault="00200597">
      <w:pPr>
        <w:spacing w:after="0" w:line="240" w:lineRule="auto"/>
      </w:pPr>
      <w:r>
        <w:continuationSeparator/>
      </w:r>
    </w:p>
  </w:footnote>
  <w:footnote w:id="1">
    <w:p w:rsidR="00200597" w:rsidRPr="00582B67" w:rsidRDefault="00200597" w:rsidP="00582B67">
      <w:pPr>
        <w:pStyle w:val="af7"/>
        <w:ind w:firstLine="709"/>
        <w:jc w:val="both"/>
        <w:rPr>
          <w:rFonts w:ascii="Times New Roman" w:hAnsi="Times New Roman"/>
          <w:sz w:val="28"/>
          <w:szCs w:val="28"/>
        </w:rPr>
      </w:pPr>
      <w:r>
        <w:rPr>
          <w:rStyle w:val="af9"/>
          <w:rFonts w:ascii="Times New Roman" w:eastAsia="Times New Roman" w:hAnsi="Times New Roman"/>
          <w:sz w:val="24"/>
          <w:szCs w:val="24"/>
        </w:rPr>
        <w:footnoteRef/>
      </w:r>
      <w:r>
        <w:rPr>
          <w:rFonts w:ascii="Times New Roman" w:eastAsia="Times New Roman" w:hAnsi="Times New Roman"/>
          <w:sz w:val="24"/>
          <w:szCs w:val="24"/>
        </w:rPr>
        <w:t xml:space="preserve"> </w:t>
      </w:r>
      <w:r w:rsidRPr="00582B67">
        <w:rPr>
          <w:rStyle w:val="normaltextrun"/>
          <w:rFonts w:ascii="Times New Roman" w:eastAsia="Times New Roman" w:hAnsi="Times New Roman"/>
          <w:color w:val="000000"/>
          <w:sz w:val="28"/>
          <w:szCs w:val="28"/>
          <w:shd w:val="clear" w:color="auto" w:fill="FFFFFF"/>
        </w:rPr>
        <w:t>Для расчета использованы значения ИПЦ в Алтайском крае (данные Росстата).</w:t>
      </w:r>
    </w:p>
  </w:footnote>
  <w:footnote w:id="2">
    <w:p w:rsidR="00200597" w:rsidRPr="00582B67" w:rsidRDefault="00200597">
      <w:pPr>
        <w:pStyle w:val="af7"/>
        <w:ind w:firstLine="709"/>
        <w:jc w:val="both"/>
        <w:rPr>
          <w:rFonts w:ascii="Times New Roman" w:hAnsi="Times New Roman"/>
          <w:sz w:val="28"/>
          <w:szCs w:val="28"/>
        </w:rPr>
      </w:pPr>
      <w:r w:rsidRPr="00582B67">
        <w:rPr>
          <w:rStyle w:val="af9"/>
          <w:rFonts w:ascii="Times New Roman" w:eastAsia="Times New Roman" w:hAnsi="Times New Roman"/>
          <w:sz w:val="28"/>
          <w:szCs w:val="28"/>
        </w:rPr>
        <w:footnoteRef/>
      </w:r>
      <w:r w:rsidRPr="00582B67">
        <w:rPr>
          <w:rFonts w:ascii="Times New Roman" w:eastAsia="Times New Roman" w:hAnsi="Times New Roman"/>
          <w:sz w:val="28"/>
          <w:szCs w:val="28"/>
        </w:rPr>
        <w:t xml:space="preserve"> Валовый городской продукт рассчитан соответственно рекомендациям ФАНУ «Востокгосплан». Величина ВГП оценивается как доля валового регионального продукта Алтайского края, равная доле налоговых поступлений от города Барнаул в общей региональной налоговой базе. Валовая добавленная стоимость отдельных отраслей рассчитывается согласно численности работников в отрасли в Барнауле и производительности труда в этой отрасли по Алтайскому краю, </w:t>
      </w:r>
      <w:r>
        <w:rPr>
          <w:rFonts w:ascii="Times New Roman" w:eastAsia="Times New Roman" w:hAnsi="Times New Roman"/>
          <w:sz w:val="28"/>
          <w:szCs w:val="28"/>
        </w:rPr>
        <w:br/>
      </w:r>
      <w:r w:rsidRPr="00582B67">
        <w:rPr>
          <w:rFonts w:ascii="Times New Roman" w:eastAsia="Times New Roman" w:hAnsi="Times New Roman"/>
          <w:sz w:val="28"/>
          <w:szCs w:val="28"/>
        </w:rPr>
        <w:t>с экспертными поправками.</w:t>
      </w:r>
    </w:p>
  </w:footnote>
  <w:footnote w:id="3">
    <w:p w:rsidR="00200597" w:rsidRPr="00582B67" w:rsidRDefault="00200597">
      <w:pPr>
        <w:pStyle w:val="af7"/>
        <w:ind w:firstLine="709"/>
        <w:jc w:val="both"/>
        <w:rPr>
          <w:rFonts w:ascii="Times New Roman" w:hAnsi="Times New Roman"/>
          <w:sz w:val="28"/>
          <w:szCs w:val="28"/>
        </w:rPr>
      </w:pPr>
      <w:r w:rsidRPr="00582B67">
        <w:rPr>
          <w:rStyle w:val="af9"/>
          <w:rFonts w:ascii="Times New Roman" w:eastAsia="Times New Roman" w:hAnsi="Times New Roman"/>
          <w:sz w:val="28"/>
          <w:szCs w:val="28"/>
        </w:rPr>
        <w:footnoteRef/>
      </w:r>
      <w:r w:rsidRPr="00582B67">
        <w:rPr>
          <w:rFonts w:ascii="Times New Roman" w:eastAsia="Times New Roman" w:hAnsi="Times New Roman"/>
          <w:sz w:val="28"/>
          <w:szCs w:val="28"/>
        </w:rPr>
        <w:t xml:space="preserve"> </w:t>
      </w:r>
      <w:r w:rsidRPr="00582B67">
        <w:rPr>
          <w:rStyle w:val="normaltextrun"/>
          <w:rFonts w:ascii="Times New Roman" w:eastAsia="Times New Roman" w:hAnsi="Times New Roman"/>
          <w:color w:val="000000"/>
          <w:sz w:val="28"/>
          <w:szCs w:val="28"/>
          <w:shd w:val="clear" w:color="auto" w:fill="FFFFFF"/>
        </w:rPr>
        <w:t xml:space="preserve">Оценка проводилась из предположения, что в каждой </w:t>
      </w:r>
      <w:r>
        <w:rPr>
          <w:rStyle w:val="normaltextrun"/>
          <w:rFonts w:ascii="Times New Roman" w:eastAsia="Times New Roman" w:hAnsi="Times New Roman"/>
          <w:color w:val="000000"/>
          <w:sz w:val="28"/>
          <w:szCs w:val="28"/>
          <w:shd w:val="clear" w:color="auto" w:fill="FFFFFF"/>
        </w:rPr>
        <w:br/>
      </w:r>
      <w:r w:rsidRPr="00582B67">
        <w:rPr>
          <w:rStyle w:val="normaltextrun"/>
          <w:rFonts w:ascii="Times New Roman" w:eastAsia="Times New Roman" w:hAnsi="Times New Roman"/>
          <w:color w:val="000000"/>
          <w:sz w:val="28"/>
          <w:szCs w:val="28"/>
          <w:shd w:val="clear" w:color="auto" w:fill="FFFFFF"/>
        </w:rPr>
        <w:t>из 89740 квартир проживает в среднем 2,5 человека.</w:t>
      </w:r>
      <w:r w:rsidRPr="00582B67">
        <w:rPr>
          <w:rStyle w:val="eop"/>
          <w:rFonts w:ascii="Times New Roman" w:eastAsia="Times New Roman" w:hAnsi="Times New Roman"/>
          <w:color w:val="000000"/>
          <w:sz w:val="28"/>
          <w:szCs w:val="28"/>
          <w:shd w:val="clear" w:color="auto" w:fill="FFFFFF"/>
        </w:rPr>
        <w:t> </w:t>
      </w:r>
    </w:p>
  </w:footnote>
  <w:footnote w:id="4">
    <w:p w:rsidR="00200597" w:rsidRDefault="00200597" w:rsidP="008F3757">
      <w:pPr>
        <w:pStyle w:val="af7"/>
        <w:rPr>
          <w:rFonts w:ascii="Times New Roman" w:hAnsi="Times New Roman"/>
          <w:sz w:val="24"/>
          <w:szCs w:val="24"/>
        </w:rPr>
      </w:pPr>
      <w:r>
        <w:rPr>
          <w:rStyle w:val="af9"/>
          <w:rFonts w:ascii="Times New Roman" w:eastAsia="Times New Roman" w:hAnsi="Times New Roman"/>
          <w:sz w:val="24"/>
          <w:szCs w:val="24"/>
        </w:rPr>
        <w:footnoteRef/>
      </w:r>
      <w:r>
        <w:rPr>
          <w:rFonts w:ascii="Times New Roman" w:eastAsia="Times New Roman" w:hAnsi="Times New Roman"/>
          <w:sz w:val="24"/>
          <w:szCs w:val="24"/>
        </w:rPr>
        <w:t xml:space="preserve"> На 1 января следующего года.</w:t>
      </w:r>
    </w:p>
  </w:footnote>
  <w:footnote w:id="5">
    <w:p w:rsidR="00200597" w:rsidRPr="00991859" w:rsidRDefault="00200597">
      <w:pPr>
        <w:pStyle w:val="af7"/>
        <w:rPr>
          <w:rFonts w:ascii="Times New Roman" w:hAnsi="Times New Roman"/>
        </w:rPr>
      </w:pPr>
      <w:r w:rsidRPr="00991859">
        <w:rPr>
          <w:rStyle w:val="af9"/>
          <w:rFonts w:ascii="Times New Roman" w:hAnsi="Times New Roman"/>
        </w:rPr>
        <w:footnoteRef/>
      </w:r>
      <w:r w:rsidRPr="00991859">
        <w:rPr>
          <w:rFonts w:ascii="Times New Roman" w:hAnsi="Times New Roman"/>
        </w:rPr>
        <w:t xml:space="preserve"> Данные за 2023 год.</w:t>
      </w:r>
    </w:p>
  </w:footnote>
  <w:footnote w:id="6">
    <w:p w:rsidR="00200597" w:rsidRPr="008E5D01" w:rsidRDefault="00200597">
      <w:pPr>
        <w:pStyle w:val="af7"/>
      </w:pPr>
      <w:r>
        <w:rPr>
          <w:rStyle w:val="af9"/>
        </w:rPr>
        <w:footnoteRef/>
      </w:r>
      <w:r>
        <w:t xml:space="preserve"> </w:t>
      </w:r>
      <w:r w:rsidRPr="001150FF">
        <w:rPr>
          <w:rFonts w:ascii="PT Astra Serif" w:hAnsi="PT Astra Serif"/>
        </w:rPr>
        <w:t>Нарастающим итогом к 2024 году.</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00597" w:rsidRPr="00C00BF3" w:rsidRDefault="00200597">
    <w:pPr>
      <w:pStyle w:val="afe"/>
      <w:jc w:val="right"/>
      <w:rPr>
        <w:rFonts w:ascii="Times New Roman" w:hAnsi="Times New Roman"/>
        <w:sz w:val="24"/>
        <w:szCs w:val="24"/>
      </w:rPr>
    </w:pPr>
    <w:r w:rsidRPr="00C00BF3">
      <w:rPr>
        <w:rFonts w:ascii="Times New Roman" w:hAnsi="Times New Roman"/>
        <w:sz w:val="24"/>
        <w:szCs w:val="24"/>
      </w:rPr>
      <w:fldChar w:fldCharType="begin"/>
    </w:r>
    <w:r w:rsidRPr="00C00BF3">
      <w:rPr>
        <w:rFonts w:ascii="Times New Roman" w:hAnsi="Times New Roman"/>
        <w:sz w:val="24"/>
        <w:szCs w:val="24"/>
      </w:rPr>
      <w:instrText xml:space="preserve"> PAGE   \* MERGEFORMAT </w:instrText>
    </w:r>
    <w:r w:rsidRPr="00C00BF3">
      <w:rPr>
        <w:rFonts w:ascii="Times New Roman" w:hAnsi="Times New Roman"/>
        <w:sz w:val="24"/>
        <w:szCs w:val="24"/>
      </w:rPr>
      <w:fldChar w:fldCharType="separate"/>
    </w:r>
    <w:r w:rsidR="00071499">
      <w:rPr>
        <w:rFonts w:ascii="Times New Roman" w:hAnsi="Times New Roman"/>
        <w:noProof/>
        <w:sz w:val="24"/>
        <w:szCs w:val="24"/>
      </w:rPr>
      <w:t>154</w:t>
    </w:r>
    <w:r w:rsidRPr="00C00BF3">
      <w:rPr>
        <w:rFonts w:ascii="Times New Roman" w:hAnsi="Times New Roman"/>
        <w:sz w:val="24"/>
        <w:szCs w:val="24"/>
      </w:rPr>
      <w:fldChar w:fldCharType="end"/>
    </w:r>
  </w:p>
  <w:p w:rsidR="00200597" w:rsidRDefault="00200597">
    <w:pPr>
      <w:pStyle w:val="af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6A0" w:firstRow="1" w:lastRow="0" w:firstColumn="1" w:lastColumn="0" w:noHBand="1" w:noVBand="1"/>
    </w:tblPr>
    <w:tblGrid>
      <w:gridCol w:w="3115"/>
      <w:gridCol w:w="3115"/>
      <w:gridCol w:w="3115"/>
    </w:tblGrid>
    <w:tr w:rsidR="00200597" w:rsidRPr="00EE2F1D">
      <w:trPr>
        <w:trHeight w:val="300"/>
      </w:trPr>
      <w:tc>
        <w:tcPr>
          <w:tcW w:w="3115" w:type="dxa"/>
        </w:tcPr>
        <w:p w:rsidR="00200597" w:rsidRPr="00EE2F1D" w:rsidRDefault="00200597">
          <w:pPr>
            <w:pStyle w:val="afe"/>
            <w:ind w:left="-115"/>
          </w:pPr>
        </w:p>
      </w:tc>
      <w:tc>
        <w:tcPr>
          <w:tcW w:w="3115" w:type="dxa"/>
        </w:tcPr>
        <w:p w:rsidR="00200597" w:rsidRPr="00EE2F1D" w:rsidRDefault="00200597">
          <w:pPr>
            <w:pStyle w:val="afe"/>
            <w:jc w:val="center"/>
          </w:pPr>
        </w:p>
      </w:tc>
      <w:tc>
        <w:tcPr>
          <w:tcW w:w="3115" w:type="dxa"/>
        </w:tcPr>
        <w:p w:rsidR="00200597" w:rsidRPr="00EE2F1D" w:rsidRDefault="00200597">
          <w:pPr>
            <w:pStyle w:val="afe"/>
            <w:ind w:right="-115"/>
            <w:jc w:val="right"/>
          </w:pPr>
        </w:p>
      </w:tc>
    </w:tr>
  </w:tbl>
  <w:p w:rsidR="00200597" w:rsidRDefault="00200597">
    <w:pPr>
      <w:pStyle w:val="af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B8379B"/>
    <w:multiLevelType w:val="multilevel"/>
    <w:tmpl w:val="51721D58"/>
    <w:lvl w:ilvl="0">
      <w:start w:val="1"/>
      <w:numFmt w:val="bullet"/>
      <w:lvlText w:val=""/>
      <w:lvlJc w:val="left"/>
      <w:pPr>
        <w:ind w:left="1069" w:hanging="360"/>
      </w:pPr>
      <w:rPr>
        <w:rFonts w:ascii="Symbol" w:hAnsi="Symbol" w:hint="default"/>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1" w15:restartNumberingAfterBreak="0">
    <w:nsid w:val="00FB5D3B"/>
    <w:multiLevelType w:val="multilevel"/>
    <w:tmpl w:val="15E657F8"/>
    <w:lvl w:ilvl="0">
      <w:start w:val="1"/>
      <w:numFmt w:val="bullet"/>
      <w:lvlText w:val=""/>
      <w:lvlJc w:val="left"/>
      <w:pPr>
        <w:ind w:left="1069" w:hanging="360"/>
      </w:pPr>
      <w:rPr>
        <w:rFonts w:ascii="Symbol" w:hAnsi="Symbol" w:hint="default"/>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2" w15:restartNumberingAfterBreak="0">
    <w:nsid w:val="090D66F4"/>
    <w:multiLevelType w:val="hybridMultilevel"/>
    <w:tmpl w:val="2BB400A8"/>
    <w:lvl w:ilvl="0" w:tplc="512A3746">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15:restartNumberingAfterBreak="0">
    <w:nsid w:val="0AE940E5"/>
    <w:multiLevelType w:val="hybridMultilevel"/>
    <w:tmpl w:val="F738B352"/>
    <w:lvl w:ilvl="0" w:tplc="512A3746">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15:restartNumberingAfterBreak="0">
    <w:nsid w:val="0D8551E8"/>
    <w:multiLevelType w:val="hybridMultilevel"/>
    <w:tmpl w:val="86F01C5C"/>
    <w:lvl w:ilvl="0" w:tplc="512A3746">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15:restartNumberingAfterBreak="0">
    <w:nsid w:val="0EE93B05"/>
    <w:multiLevelType w:val="hybridMultilevel"/>
    <w:tmpl w:val="8736A976"/>
    <w:lvl w:ilvl="0" w:tplc="512A3746">
      <w:start w:val="1"/>
      <w:numFmt w:val="bullet"/>
      <w:lvlText w:val=""/>
      <w:lvlJc w:val="left"/>
      <w:pPr>
        <w:ind w:left="1080" w:hanging="360"/>
      </w:pPr>
      <w:rPr>
        <w:rFonts w:ascii="Symbol" w:hAnsi="Symbol"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15:restartNumberingAfterBreak="0">
    <w:nsid w:val="147D3514"/>
    <w:multiLevelType w:val="multilevel"/>
    <w:tmpl w:val="7E4A8240"/>
    <w:lvl w:ilvl="0">
      <w:start w:val="1"/>
      <w:numFmt w:val="decimal"/>
      <w:lvlText w:val="%1)"/>
      <w:lvlJc w:val="left"/>
      <w:pPr>
        <w:ind w:left="1423" w:hanging="360"/>
      </w:pPr>
      <w:rPr>
        <w:rFonts w:hint="default"/>
      </w:rPr>
    </w:lvl>
    <w:lvl w:ilvl="1">
      <w:start w:val="1"/>
      <w:numFmt w:val="bullet"/>
      <w:lvlText w:val="o"/>
      <w:lvlJc w:val="left"/>
      <w:pPr>
        <w:ind w:left="2143" w:hanging="360"/>
      </w:pPr>
      <w:rPr>
        <w:rFonts w:ascii="Courier New" w:hAnsi="Courier New" w:cs="Courier New" w:hint="default"/>
      </w:rPr>
    </w:lvl>
    <w:lvl w:ilvl="2">
      <w:start w:val="1"/>
      <w:numFmt w:val="bullet"/>
      <w:lvlText w:val=""/>
      <w:lvlJc w:val="left"/>
      <w:pPr>
        <w:ind w:left="2863" w:hanging="360"/>
      </w:pPr>
      <w:rPr>
        <w:rFonts w:ascii="Wingdings" w:hAnsi="Wingdings" w:hint="default"/>
      </w:rPr>
    </w:lvl>
    <w:lvl w:ilvl="3">
      <w:start w:val="1"/>
      <w:numFmt w:val="bullet"/>
      <w:lvlText w:val=""/>
      <w:lvlJc w:val="left"/>
      <w:pPr>
        <w:ind w:left="3583" w:hanging="360"/>
      </w:pPr>
      <w:rPr>
        <w:rFonts w:ascii="Symbol" w:hAnsi="Symbol" w:hint="default"/>
      </w:rPr>
    </w:lvl>
    <w:lvl w:ilvl="4">
      <w:start w:val="1"/>
      <w:numFmt w:val="bullet"/>
      <w:lvlText w:val="o"/>
      <w:lvlJc w:val="left"/>
      <w:pPr>
        <w:ind w:left="4303" w:hanging="360"/>
      </w:pPr>
      <w:rPr>
        <w:rFonts w:ascii="Courier New" w:hAnsi="Courier New" w:cs="Courier New" w:hint="default"/>
      </w:rPr>
    </w:lvl>
    <w:lvl w:ilvl="5">
      <w:start w:val="1"/>
      <w:numFmt w:val="bullet"/>
      <w:lvlText w:val=""/>
      <w:lvlJc w:val="left"/>
      <w:pPr>
        <w:ind w:left="5023" w:hanging="360"/>
      </w:pPr>
      <w:rPr>
        <w:rFonts w:ascii="Wingdings" w:hAnsi="Wingdings" w:hint="default"/>
      </w:rPr>
    </w:lvl>
    <w:lvl w:ilvl="6">
      <w:start w:val="1"/>
      <w:numFmt w:val="bullet"/>
      <w:lvlText w:val=""/>
      <w:lvlJc w:val="left"/>
      <w:pPr>
        <w:ind w:left="5743" w:hanging="360"/>
      </w:pPr>
      <w:rPr>
        <w:rFonts w:ascii="Symbol" w:hAnsi="Symbol" w:hint="default"/>
      </w:rPr>
    </w:lvl>
    <w:lvl w:ilvl="7">
      <w:start w:val="1"/>
      <w:numFmt w:val="bullet"/>
      <w:lvlText w:val="o"/>
      <w:lvlJc w:val="left"/>
      <w:pPr>
        <w:ind w:left="6463" w:hanging="360"/>
      </w:pPr>
      <w:rPr>
        <w:rFonts w:ascii="Courier New" w:hAnsi="Courier New" w:cs="Courier New" w:hint="default"/>
      </w:rPr>
    </w:lvl>
    <w:lvl w:ilvl="8">
      <w:start w:val="1"/>
      <w:numFmt w:val="bullet"/>
      <w:lvlText w:val=""/>
      <w:lvlJc w:val="left"/>
      <w:pPr>
        <w:ind w:left="7183" w:hanging="360"/>
      </w:pPr>
      <w:rPr>
        <w:rFonts w:ascii="Wingdings" w:hAnsi="Wingdings" w:hint="default"/>
      </w:rPr>
    </w:lvl>
  </w:abstractNum>
  <w:abstractNum w:abstractNumId="7" w15:restartNumberingAfterBreak="0">
    <w:nsid w:val="16270130"/>
    <w:multiLevelType w:val="multilevel"/>
    <w:tmpl w:val="1FD4497E"/>
    <w:lvl w:ilvl="0">
      <w:start w:val="1"/>
      <w:numFmt w:val="bullet"/>
      <w:lvlText w:val=""/>
      <w:lvlJc w:val="left"/>
      <w:pPr>
        <w:ind w:left="1423" w:hanging="360"/>
      </w:pPr>
      <w:rPr>
        <w:rFonts w:ascii="Symbol" w:hAnsi="Symbol" w:hint="default"/>
      </w:rPr>
    </w:lvl>
    <w:lvl w:ilvl="1">
      <w:start w:val="1"/>
      <w:numFmt w:val="bullet"/>
      <w:lvlText w:val="o"/>
      <w:lvlJc w:val="left"/>
      <w:pPr>
        <w:ind w:left="2143" w:hanging="360"/>
      </w:pPr>
      <w:rPr>
        <w:rFonts w:ascii="Courier New" w:hAnsi="Courier New" w:cs="Courier New" w:hint="default"/>
      </w:rPr>
    </w:lvl>
    <w:lvl w:ilvl="2">
      <w:start w:val="1"/>
      <w:numFmt w:val="bullet"/>
      <w:lvlText w:val=""/>
      <w:lvlJc w:val="left"/>
      <w:pPr>
        <w:ind w:left="2863" w:hanging="360"/>
      </w:pPr>
      <w:rPr>
        <w:rFonts w:ascii="Wingdings" w:hAnsi="Wingdings" w:hint="default"/>
      </w:rPr>
    </w:lvl>
    <w:lvl w:ilvl="3">
      <w:start w:val="1"/>
      <w:numFmt w:val="bullet"/>
      <w:lvlText w:val=""/>
      <w:lvlJc w:val="left"/>
      <w:pPr>
        <w:ind w:left="3583" w:hanging="360"/>
      </w:pPr>
      <w:rPr>
        <w:rFonts w:ascii="Symbol" w:hAnsi="Symbol" w:hint="default"/>
      </w:rPr>
    </w:lvl>
    <w:lvl w:ilvl="4">
      <w:start w:val="1"/>
      <w:numFmt w:val="bullet"/>
      <w:lvlText w:val="o"/>
      <w:lvlJc w:val="left"/>
      <w:pPr>
        <w:ind w:left="4303" w:hanging="360"/>
      </w:pPr>
      <w:rPr>
        <w:rFonts w:ascii="Courier New" w:hAnsi="Courier New" w:cs="Courier New" w:hint="default"/>
      </w:rPr>
    </w:lvl>
    <w:lvl w:ilvl="5">
      <w:start w:val="1"/>
      <w:numFmt w:val="bullet"/>
      <w:lvlText w:val=""/>
      <w:lvlJc w:val="left"/>
      <w:pPr>
        <w:ind w:left="5023" w:hanging="360"/>
      </w:pPr>
      <w:rPr>
        <w:rFonts w:ascii="Wingdings" w:hAnsi="Wingdings" w:hint="default"/>
      </w:rPr>
    </w:lvl>
    <w:lvl w:ilvl="6">
      <w:start w:val="1"/>
      <w:numFmt w:val="bullet"/>
      <w:lvlText w:val=""/>
      <w:lvlJc w:val="left"/>
      <w:pPr>
        <w:ind w:left="5743" w:hanging="360"/>
      </w:pPr>
      <w:rPr>
        <w:rFonts w:ascii="Symbol" w:hAnsi="Symbol" w:hint="default"/>
      </w:rPr>
    </w:lvl>
    <w:lvl w:ilvl="7">
      <w:start w:val="1"/>
      <w:numFmt w:val="bullet"/>
      <w:lvlText w:val="o"/>
      <w:lvlJc w:val="left"/>
      <w:pPr>
        <w:ind w:left="6463" w:hanging="360"/>
      </w:pPr>
      <w:rPr>
        <w:rFonts w:ascii="Courier New" w:hAnsi="Courier New" w:cs="Courier New" w:hint="default"/>
      </w:rPr>
    </w:lvl>
    <w:lvl w:ilvl="8">
      <w:start w:val="1"/>
      <w:numFmt w:val="bullet"/>
      <w:lvlText w:val=""/>
      <w:lvlJc w:val="left"/>
      <w:pPr>
        <w:ind w:left="7183" w:hanging="360"/>
      </w:pPr>
      <w:rPr>
        <w:rFonts w:ascii="Wingdings" w:hAnsi="Wingdings" w:hint="default"/>
      </w:rPr>
    </w:lvl>
  </w:abstractNum>
  <w:abstractNum w:abstractNumId="8" w15:restartNumberingAfterBreak="0">
    <w:nsid w:val="1CEE01BA"/>
    <w:multiLevelType w:val="multilevel"/>
    <w:tmpl w:val="9B127948"/>
    <w:lvl w:ilvl="0">
      <w:start w:val="1"/>
      <w:numFmt w:val="bullet"/>
      <w:lvlText w:val=""/>
      <w:lvlJc w:val="left"/>
      <w:pPr>
        <w:ind w:left="1423" w:hanging="360"/>
      </w:pPr>
      <w:rPr>
        <w:rFonts w:ascii="Symbol" w:hAnsi="Symbol" w:hint="default"/>
      </w:rPr>
    </w:lvl>
    <w:lvl w:ilvl="1">
      <w:start w:val="1"/>
      <w:numFmt w:val="bullet"/>
      <w:lvlText w:val="o"/>
      <w:lvlJc w:val="left"/>
      <w:pPr>
        <w:ind w:left="2143" w:hanging="360"/>
      </w:pPr>
      <w:rPr>
        <w:rFonts w:ascii="Courier New" w:hAnsi="Courier New" w:cs="Courier New" w:hint="default"/>
      </w:rPr>
    </w:lvl>
    <w:lvl w:ilvl="2">
      <w:start w:val="1"/>
      <w:numFmt w:val="bullet"/>
      <w:lvlText w:val=""/>
      <w:lvlJc w:val="left"/>
      <w:pPr>
        <w:ind w:left="2863" w:hanging="360"/>
      </w:pPr>
      <w:rPr>
        <w:rFonts w:ascii="Wingdings" w:hAnsi="Wingdings" w:hint="default"/>
      </w:rPr>
    </w:lvl>
    <w:lvl w:ilvl="3">
      <w:start w:val="1"/>
      <w:numFmt w:val="bullet"/>
      <w:lvlText w:val=""/>
      <w:lvlJc w:val="left"/>
      <w:pPr>
        <w:ind w:left="3583" w:hanging="360"/>
      </w:pPr>
      <w:rPr>
        <w:rFonts w:ascii="Symbol" w:hAnsi="Symbol" w:hint="default"/>
      </w:rPr>
    </w:lvl>
    <w:lvl w:ilvl="4">
      <w:start w:val="1"/>
      <w:numFmt w:val="bullet"/>
      <w:lvlText w:val="o"/>
      <w:lvlJc w:val="left"/>
      <w:pPr>
        <w:ind w:left="4303" w:hanging="360"/>
      </w:pPr>
      <w:rPr>
        <w:rFonts w:ascii="Courier New" w:hAnsi="Courier New" w:cs="Courier New" w:hint="default"/>
      </w:rPr>
    </w:lvl>
    <w:lvl w:ilvl="5">
      <w:start w:val="1"/>
      <w:numFmt w:val="bullet"/>
      <w:lvlText w:val=""/>
      <w:lvlJc w:val="left"/>
      <w:pPr>
        <w:ind w:left="5023" w:hanging="360"/>
      </w:pPr>
      <w:rPr>
        <w:rFonts w:ascii="Wingdings" w:hAnsi="Wingdings" w:hint="default"/>
      </w:rPr>
    </w:lvl>
    <w:lvl w:ilvl="6">
      <w:start w:val="1"/>
      <w:numFmt w:val="bullet"/>
      <w:lvlText w:val=""/>
      <w:lvlJc w:val="left"/>
      <w:pPr>
        <w:ind w:left="5743" w:hanging="360"/>
      </w:pPr>
      <w:rPr>
        <w:rFonts w:ascii="Symbol" w:hAnsi="Symbol" w:hint="default"/>
      </w:rPr>
    </w:lvl>
    <w:lvl w:ilvl="7">
      <w:start w:val="1"/>
      <w:numFmt w:val="bullet"/>
      <w:lvlText w:val="o"/>
      <w:lvlJc w:val="left"/>
      <w:pPr>
        <w:ind w:left="6463" w:hanging="360"/>
      </w:pPr>
      <w:rPr>
        <w:rFonts w:ascii="Courier New" w:hAnsi="Courier New" w:cs="Courier New" w:hint="default"/>
      </w:rPr>
    </w:lvl>
    <w:lvl w:ilvl="8">
      <w:start w:val="1"/>
      <w:numFmt w:val="bullet"/>
      <w:lvlText w:val=""/>
      <w:lvlJc w:val="left"/>
      <w:pPr>
        <w:ind w:left="7183" w:hanging="360"/>
      </w:pPr>
      <w:rPr>
        <w:rFonts w:ascii="Wingdings" w:hAnsi="Wingdings" w:hint="default"/>
      </w:rPr>
    </w:lvl>
  </w:abstractNum>
  <w:abstractNum w:abstractNumId="9" w15:restartNumberingAfterBreak="0">
    <w:nsid w:val="22421F2E"/>
    <w:multiLevelType w:val="multilevel"/>
    <w:tmpl w:val="CE226C14"/>
    <w:lvl w:ilvl="0">
      <w:start w:val="1"/>
      <w:numFmt w:val="decimal"/>
      <w:lvlText w:val="‐"/>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264A13D3"/>
    <w:multiLevelType w:val="multilevel"/>
    <w:tmpl w:val="41745308"/>
    <w:lvl w:ilvl="0">
      <w:start w:val="1"/>
      <w:numFmt w:val="decimal"/>
      <w:lvlText w:val="%1)"/>
      <w:lvlJc w:val="left"/>
      <w:pPr>
        <w:ind w:left="720" w:hanging="360"/>
      </w:p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280E557B"/>
    <w:multiLevelType w:val="multilevel"/>
    <w:tmpl w:val="18FE3566"/>
    <w:lvl w:ilvl="0">
      <w:start w:val="1"/>
      <w:numFmt w:val="bullet"/>
      <w:lvlText w:val=""/>
      <w:lvlJc w:val="left"/>
      <w:pPr>
        <w:ind w:left="1423" w:hanging="360"/>
      </w:pPr>
      <w:rPr>
        <w:rFonts w:ascii="Symbol" w:hAnsi="Symbol" w:hint="default"/>
      </w:rPr>
    </w:lvl>
    <w:lvl w:ilvl="1">
      <w:start w:val="1"/>
      <w:numFmt w:val="bullet"/>
      <w:lvlText w:val="o"/>
      <w:lvlJc w:val="left"/>
      <w:pPr>
        <w:ind w:left="2143" w:hanging="360"/>
      </w:pPr>
      <w:rPr>
        <w:rFonts w:ascii="Courier New" w:hAnsi="Courier New" w:cs="Courier New" w:hint="default"/>
      </w:rPr>
    </w:lvl>
    <w:lvl w:ilvl="2">
      <w:start w:val="1"/>
      <w:numFmt w:val="bullet"/>
      <w:lvlText w:val=""/>
      <w:lvlJc w:val="left"/>
      <w:pPr>
        <w:ind w:left="2863" w:hanging="360"/>
      </w:pPr>
      <w:rPr>
        <w:rFonts w:ascii="Wingdings" w:hAnsi="Wingdings" w:hint="default"/>
      </w:rPr>
    </w:lvl>
    <w:lvl w:ilvl="3">
      <w:start w:val="1"/>
      <w:numFmt w:val="bullet"/>
      <w:lvlText w:val=""/>
      <w:lvlJc w:val="left"/>
      <w:pPr>
        <w:ind w:left="3583" w:hanging="360"/>
      </w:pPr>
      <w:rPr>
        <w:rFonts w:ascii="Symbol" w:hAnsi="Symbol" w:hint="default"/>
      </w:rPr>
    </w:lvl>
    <w:lvl w:ilvl="4">
      <w:start w:val="1"/>
      <w:numFmt w:val="bullet"/>
      <w:lvlText w:val="o"/>
      <w:lvlJc w:val="left"/>
      <w:pPr>
        <w:ind w:left="4303" w:hanging="360"/>
      </w:pPr>
      <w:rPr>
        <w:rFonts w:ascii="Courier New" w:hAnsi="Courier New" w:cs="Courier New" w:hint="default"/>
      </w:rPr>
    </w:lvl>
    <w:lvl w:ilvl="5">
      <w:start w:val="1"/>
      <w:numFmt w:val="bullet"/>
      <w:lvlText w:val=""/>
      <w:lvlJc w:val="left"/>
      <w:pPr>
        <w:ind w:left="5023" w:hanging="360"/>
      </w:pPr>
      <w:rPr>
        <w:rFonts w:ascii="Wingdings" w:hAnsi="Wingdings" w:hint="default"/>
      </w:rPr>
    </w:lvl>
    <w:lvl w:ilvl="6">
      <w:start w:val="1"/>
      <w:numFmt w:val="bullet"/>
      <w:lvlText w:val=""/>
      <w:lvlJc w:val="left"/>
      <w:pPr>
        <w:ind w:left="5743" w:hanging="360"/>
      </w:pPr>
      <w:rPr>
        <w:rFonts w:ascii="Symbol" w:hAnsi="Symbol" w:hint="default"/>
      </w:rPr>
    </w:lvl>
    <w:lvl w:ilvl="7">
      <w:start w:val="1"/>
      <w:numFmt w:val="bullet"/>
      <w:lvlText w:val="o"/>
      <w:lvlJc w:val="left"/>
      <w:pPr>
        <w:ind w:left="6463" w:hanging="360"/>
      </w:pPr>
      <w:rPr>
        <w:rFonts w:ascii="Courier New" w:hAnsi="Courier New" w:cs="Courier New" w:hint="default"/>
      </w:rPr>
    </w:lvl>
    <w:lvl w:ilvl="8">
      <w:start w:val="1"/>
      <w:numFmt w:val="bullet"/>
      <w:lvlText w:val=""/>
      <w:lvlJc w:val="left"/>
      <w:pPr>
        <w:ind w:left="7183" w:hanging="360"/>
      </w:pPr>
      <w:rPr>
        <w:rFonts w:ascii="Wingdings" w:hAnsi="Wingdings" w:hint="default"/>
      </w:rPr>
    </w:lvl>
  </w:abstractNum>
  <w:abstractNum w:abstractNumId="12" w15:restartNumberingAfterBreak="0">
    <w:nsid w:val="2D48690D"/>
    <w:multiLevelType w:val="multilevel"/>
    <w:tmpl w:val="4514A1EC"/>
    <w:lvl w:ilvl="0">
      <w:start w:val="1"/>
      <w:numFmt w:val="decimal"/>
      <w:lvlText w:val="%1)"/>
      <w:lvlJc w:val="left"/>
      <w:pPr>
        <w:ind w:left="1423" w:hanging="360"/>
      </w:pPr>
      <w:rPr>
        <w:rFonts w:hint="default"/>
      </w:rPr>
    </w:lvl>
    <w:lvl w:ilvl="1">
      <w:start w:val="1"/>
      <w:numFmt w:val="decimal"/>
      <w:lvlText w:val="%2."/>
      <w:lvlJc w:val="left"/>
      <w:pPr>
        <w:ind w:left="2158" w:hanging="375"/>
      </w:pPr>
      <w:rPr>
        <w:rFonts w:hint="default"/>
      </w:rPr>
    </w:lvl>
    <w:lvl w:ilvl="2">
      <w:start w:val="1"/>
      <w:numFmt w:val="bullet"/>
      <w:lvlText w:val=""/>
      <w:lvlJc w:val="left"/>
      <w:pPr>
        <w:ind w:left="2863" w:hanging="360"/>
      </w:pPr>
      <w:rPr>
        <w:rFonts w:ascii="Wingdings" w:hAnsi="Wingdings" w:hint="default"/>
      </w:rPr>
    </w:lvl>
    <w:lvl w:ilvl="3">
      <w:start w:val="1"/>
      <w:numFmt w:val="bullet"/>
      <w:lvlText w:val=""/>
      <w:lvlJc w:val="left"/>
      <w:pPr>
        <w:ind w:left="3583" w:hanging="360"/>
      </w:pPr>
      <w:rPr>
        <w:rFonts w:ascii="Symbol" w:hAnsi="Symbol" w:hint="default"/>
      </w:rPr>
    </w:lvl>
    <w:lvl w:ilvl="4">
      <w:start w:val="1"/>
      <w:numFmt w:val="bullet"/>
      <w:lvlText w:val="o"/>
      <w:lvlJc w:val="left"/>
      <w:pPr>
        <w:ind w:left="4303" w:hanging="360"/>
      </w:pPr>
      <w:rPr>
        <w:rFonts w:ascii="Courier New" w:hAnsi="Courier New" w:cs="Courier New" w:hint="default"/>
      </w:rPr>
    </w:lvl>
    <w:lvl w:ilvl="5">
      <w:start w:val="1"/>
      <w:numFmt w:val="bullet"/>
      <w:lvlText w:val=""/>
      <w:lvlJc w:val="left"/>
      <w:pPr>
        <w:ind w:left="5023" w:hanging="360"/>
      </w:pPr>
      <w:rPr>
        <w:rFonts w:ascii="Wingdings" w:hAnsi="Wingdings" w:hint="default"/>
      </w:rPr>
    </w:lvl>
    <w:lvl w:ilvl="6">
      <w:start w:val="1"/>
      <w:numFmt w:val="bullet"/>
      <w:lvlText w:val=""/>
      <w:lvlJc w:val="left"/>
      <w:pPr>
        <w:ind w:left="5743" w:hanging="360"/>
      </w:pPr>
      <w:rPr>
        <w:rFonts w:ascii="Symbol" w:hAnsi="Symbol" w:hint="default"/>
      </w:rPr>
    </w:lvl>
    <w:lvl w:ilvl="7">
      <w:start w:val="1"/>
      <w:numFmt w:val="bullet"/>
      <w:lvlText w:val="o"/>
      <w:lvlJc w:val="left"/>
      <w:pPr>
        <w:ind w:left="6463" w:hanging="360"/>
      </w:pPr>
      <w:rPr>
        <w:rFonts w:ascii="Courier New" w:hAnsi="Courier New" w:cs="Courier New" w:hint="default"/>
      </w:rPr>
    </w:lvl>
    <w:lvl w:ilvl="8">
      <w:start w:val="1"/>
      <w:numFmt w:val="bullet"/>
      <w:lvlText w:val=""/>
      <w:lvlJc w:val="left"/>
      <w:pPr>
        <w:ind w:left="7183" w:hanging="360"/>
      </w:pPr>
      <w:rPr>
        <w:rFonts w:ascii="Wingdings" w:hAnsi="Wingdings" w:hint="default"/>
      </w:rPr>
    </w:lvl>
  </w:abstractNum>
  <w:abstractNum w:abstractNumId="13" w15:restartNumberingAfterBreak="0">
    <w:nsid w:val="2F7A7778"/>
    <w:multiLevelType w:val="multilevel"/>
    <w:tmpl w:val="50763DBA"/>
    <w:lvl w:ilvl="0">
      <w:start w:val="1"/>
      <w:numFmt w:val="bullet"/>
      <w:lvlText w:val="‐"/>
      <w:lvlJc w:val="left"/>
      <w:pPr>
        <w:ind w:left="720" w:hanging="360"/>
      </w:pPr>
      <w:rPr>
        <w:rFonts w:ascii="Times New Roman" w:hAnsi="Times New Roman" w:cs="Times New Roman"/>
      </w:rPr>
    </w:lvl>
    <w:lvl w:ilvl="1">
      <w:start w:val="1"/>
      <w:numFmt w:val="bullet"/>
      <w:lvlText w:val="o"/>
      <w:lvlJc w:val="left"/>
      <w:pPr>
        <w:ind w:left="1440" w:hanging="360"/>
      </w:pPr>
      <w:rPr>
        <w:rFonts w:ascii="Courier New" w:eastAsia="Courier New" w:hAnsi="Courier New" w:cs="Courier New" w:hint="default"/>
      </w:rPr>
    </w:lvl>
    <w:lvl w:ilvl="2">
      <w:start w:val="1"/>
      <w:numFmt w:val="bullet"/>
      <w:lvlText w:val="§"/>
      <w:lvlJc w:val="left"/>
      <w:pPr>
        <w:ind w:left="2160" w:hanging="360"/>
      </w:pPr>
      <w:rPr>
        <w:rFonts w:ascii="Wingdings" w:eastAsia="Wingdings" w:hAnsi="Wingdings" w:cs="Wingdings" w:hint="default"/>
      </w:rPr>
    </w:lvl>
    <w:lvl w:ilvl="3">
      <w:start w:val="1"/>
      <w:numFmt w:val="bullet"/>
      <w:lvlText w:val="·"/>
      <w:lvlJc w:val="left"/>
      <w:pPr>
        <w:ind w:left="2880" w:hanging="360"/>
      </w:pPr>
      <w:rPr>
        <w:rFonts w:ascii="Symbol" w:eastAsia="Symbol" w:hAnsi="Symbol" w:cs="Symbol" w:hint="default"/>
      </w:rPr>
    </w:lvl>
    <w:lvl w:ilvl="4">
      <w:start w:val="1"/>
      <w:numFmt w:val="bullet"/>
      <w:lvlText w:val="o"/>
      <w:lvlJc w:val="left"/>
      <w:pPr>
        <w:ind w:left="3600" w:hanging="360"/>
      </w:pPr>
      <w:rPr>
        <w:rFonts w:ascii="Courier New" w:eastAsia="Courier New" w:hAnsi="Courier New" w:cs="Courier New" w:hint="default"/>
      </w:rPr>
    </w:lvl>
    <w:lvl w:ilvl="5">
      <w:start w:val="1"/>
      <w:numFmt w:val="bullet"/>
      <w:lvlText w:val="§"/>
      <w:lvlJc w:val="left"/>
      <w:pPr>
        <w:ind w:left="4320" w:hanging="360"/>
      </w:pPr>
      <w:rPr>
        <w:rFonts w:ascii="Wingdings" w:eastAsia="Wingdings" w:hAnsi="Wingdings" w:cs="Wingdings" w:hint="default"/>
      </w:rPr>
    </w:lvl>
    <w:lvl w:ilvl="6">
      <w:start w:val="1"/>
      <w:numFmt w:val="bullet"/>
      <w:lvlText w:val="·"/>
      <w:lvlJc w:val="left"/>
      <w:pPr>
        <w:ind w:left="5040" w:hanging="360"/>
      </w:pPr>
      <w:rPr>
        <w:rFonts w:ascii="Symbol" w:eastAsia="Symbol" w:hAnsi="Symbol" w:cs="Symbol" w:hint="default"/>
      </w:rPr>
    </w:lvl>
    <w:lvl w:ilvl="7">
      <w:start w:val="1"/>
      <w:numFmt w:val="bullet"/>
      <w:lvlText w:val="o"/>
      <w:lvlJc w:val="left"/>
      <w:pPr>
        <w:ind w:left="5760" w:hanging="360"/>
      </w:pPr>
      <w:rPr>
        <w:rFonts w:ascii="Courier New" w:eastAsia="Courier New" w:hAnsi="Courier New" w:cs="Courier New" w:hint="default"/>
      </w:rPr>
    </w:lvl>
    <w:lvl w:ilvl="8">
      <w:start w:val="1"/>
      <w:numFmt w:val="bullet"/>
      <w:lvlText w:val="§"/>
      <w:lvlJc w:val="left"/>
      <w:pPr>
        <w:ind w:left="6480" w:hanging="360"/>
      </w:pPr>
      <w:rPr>
        <w:rFonts w:ascii="Wingdings" w:eastAsia="Wingdings" w:hAnsi="Wingdings" w:cs="Wingdings" w:hint="default"/>
      </w:rPr>
    </w:lvl>
  </w:abstractNum>
  <w:abstractNum w:abstractNumId="14" w15:restartNumberingAfterBreak="0">
    <w:nsid w:val="34E03E99"/>
    <w:multiLevelType w:val="multilevel"/>
    <w:tmpl w:val="C5B41252"/>
    <w:lvl w:ilvl="0">
      <w:start w:val="1"/>
      <w:numFmt w:val="bullet"/>
      <w:lvlText w:val="‐"/>
      <w:lvlJc w:val="left"/>
      <w:pPr>
        <w:ind w:left="1070" w:hanging="360"/>
      </w:pPr>
      <w:rPr>
        <w:rFonts w:ascii="Times New Roman" w:hAnsi="Times New Roman" w:cs="Times New Roman" w:hint="default"/>
      </w:rPr>
    </w:lvl>
    <w:lvl w:ilvl="1">
      <w:start w:val="1"/>
      <w:numFmt w:val="lowerLetter"/>
      <w:lvlText w:val="%2."/>
      <w:lvlJc w:val="left"/>
      <w:pPr>
        <w:ind w:left="1790" w:hanging="360"/>
      </w:pPr>
    </w:lvl>
    <w:lvl w:ilvl="2">
      <w:start w:val="1"/>
      <w:numFmt w:val="lowerRoman"/>
      <w:lvlText w:val="%3."/>
      <w:lvlJc w:val="right"/>
      <w:pPr>
        <w:ind w:left="2510" w:hanging="180"/>
      </w:pPr>
    </w:lvl>
    <w:lvl w:ilvl="3">
      <w:start w:val="1"/>
      <w:numFmt w:val="decimal"/>
      <w:lvlText w:val="%4."/>
      <w:lvlJc w:val="left"/>
      <w:pPr>
        <w:ind w:left="3230" w:hanging="360"/>
      </w:pPr>
    </w:lvl>
    <w:lvl w:ilvl="4">
      <w:start w:val="1"/>
      <w:numFmt w:val="lowerLetter"/>
      <w:lvlText w:val="%5."/>
      <w:lvlJc w:val="left"/>
      <w:pPr>
        <w:ind w:left="3950" w:hanging="360"/>
      </w:pPr>
    </w:lvl>
    <w:lvl w:ilvl="5">
      <w:start w:val="1"/>
      <w:numFmt w:val="lowerRoman"/>
      <w:lvlText w:val="%6."/>
      <w:lvlJc w:val="right"/>
      <w:pPr>
        <w:ind w:left="4670" w:hanging="180"/>
      </w:pPr>
    </w:lvl>
    <w:lvl w:ilvl="6">
      <w:start w:val="1"/>
      <w:numFmt w:val="decimal"/>
      <w:lvlText w:val="%7."/>
      <w:lvlJc w:val="left"/>
      <w:pPr>
        <w:ind w:left="5390" w:hanging="360"/>
      </w:pPr>
    </w:lvl>
    <w:lvl w:ilvl="7">
      <w:start w:val="1"/>
      <w:numFmt w:val="lowerLetter"/>
      <w:lvlText w:val="%8."/>
      <w:lvlJc w:val="left"/>
      <w:pPr>
        <w:ind w:left="6110" w:hanging="360"/>
      </w:pPr>
    </w:lvl>
    <w:lvl w:ilvl="8">
      <w:start w:val="1"/>
      <w:numFmt w:val="lowerRoman"/>
      <w:lvlText w:val="%9."/>
      <w:lvlJc w:val="right"/>
      <w:pPr>
        <w:ind w:left="6830" w:hanging="180"/>
      </w:pPr>
    </w:lvl>
  </w:abstractNum>
  <w:abstractNum w:abstractNumId="15" w15:restartNumberingAfterBreak="0">
    <w:nsid w:val="42807AA6"/>
    <w:multiLevelType w:val="hybridMultilevel"/>
    <w:tmpl w:val="3BC8F66E"/>
    <w:lvl w:ilvl="0" w:tplc="512A3746">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15:restartNumberingAfterBreak="0">
    <w:nsid w:val="44BF3637"/>
    <w:multiLevelType w:val="multilevel"/>
    <w:tmpl w:val="2FECF5F2"/>
    <w:lvl w:ilvl="0">
      <w:start w:val="1"/>
      <w:numFmt w:val="decimal"/>
      <w:lvlText w:val="‐"/>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4F75CE78"/>
    <w:multiLevelType w:val="multilevel"/>
    <w:tmpl w:val="AAF4CFAE"/>
    <w:lvl w:ilvl="0">
      <w:start w:val="1"/>
      <w:numFmt w:val="bullet"/>
      <w:lvlText w:val="‐"/>
      <w:lvlJc w:val="left"/>
      <w:pPr>
        <w:ind w:left="720" w:hanging="360"/>
      </w:pPr>
      <w:rPr>
        <w:rFonts w:ascii="Times New Roman" w:hAnsi="Times New Roman" w:cs="Times New Roman"/>
      </w:rPr>
    </w:lvl>
    <w:lvl w:ilvl="1">
      <w:start w:val="1"/>
      <w:numFmt w:val="bullet"/>
      <w:lvlText w:val="o"/>
      <w:lvlJc w:val="left"/>
      <w:pPr>
        <w:ind w:left="1440" w:hanging="360"/>
      </w:pPr>
      <w:rPr>
        <w:rFonts w:ascii="Courier New" w:eastAsia="Courier New" w:hAnsi="Courier New" w:cs="Courier New" w:hint="default"/>
      </w:rPr>
    </w:lvl>
    <w:lvl w:ilvl="2">
      <w:start w:val="1"/>
      <w:numFmt w:val="bullet"/>
      <w:lvlText w:val="§"/>
      <w:lvlJc w:val="left"/>
      <w:pPr>
        <w:ind w:left="2160" w:hanging="360"/>
      </w:pPr>
      <w:rPr>
        <w:rFonts w:ascii="Wingdings" w:eastAsia="Wingdings" w:hAnsi="Wingdings" w:cs="Wingdings" w:hint="default"/>
      </w:rPr>
    </w:lvl>
    <w:lvl w:ilvl="3">
      <w:start w:val="1"/>
      <w:numFmt w:val="bullet"/>
      <w:lvlText w:val="·"/>
      <w:lvlJc w:val="left"/>
      <w:pPr>
        <w:ind w:left="2880" w:hanging="360"/>
      </w:pPr>
      <w:rPr>
        <w:rFonts w:ascii="Symbol" w:eastAsia="Symbol" w:hAnsi="Symbol" w:cs="Symbol" w:hint="default"/>
      </w:rPr>
    </w:lvl>
    <w:lvl w:ilvl="4">
      <w:start w:val="1"/>
      <w:numFmt w:val="bullet"/>
      <w:lvlText w:val="o"/>
      <w:lvlJc w:val="left"/>
      <w:pPr>
        <w:ind w:left="3600" w:hanging="360"/>
      </w:pPr>
      <w:rPr>
        <w:rFonts w:ascii="Courier New" w:eastAsia="Courier New" w:hAnsi="Courier New" w:cs="Courier New" w:hint="default"/>
      </w:rPr>
    </w:lvl>
    <w:lvl w:ilvl="5">
      <w:start w:val="1"/>
      <w:numFmt w:val="bullet"/>
      <w:lvlText w:val="§"/>
      <w:lvlJc w:val="left"/>
      <w:pPr>
        <w:ind w:left="4320" w:hanging="360"/>
      </w:pPr>
      <w:rPr>
        <w:rFonts w:ascii="Wingdings" w:eastAsia="Wingdings" w:hAnsi="Wingdings" w:cs="Wingdings" w:hint="default"/>
      </w:rPr>
    </w:lvl>
    <w:lvl w:ilvl="6">
      <w:start w:val="1"/>
      <w:numFmt w:val="bullet"/>
      <w:lvlText w:val="·"/>
      <w:lvlJc w:val="left"/>
      <w:pPr>
        <w:ind w:left="5040" w:hanging="360"/>
      </w:pPr>
      <w:rPr>
        <w:rFonts w:ascii="Symbol" w:eastAsia="Symbol" w:hAnsi="Symbol" w:cs="Symbol" w:hint="default"/>
      </w:rPr>
    </w:lvl>
    <w:lvl w:ilvl="7">
      <w:start w:val="1"/>
      <w:numFmt w:val="bullet"/>
      <w:lvlText w:val="o"/>
      <w:lvlJc w:val="left"/>
      <w:pPr>
        <w:ind w:left="5760" w:hanging="360"/>
      </w:pPr>
      <w:rPr>
        <w:rFonts w:ascii="Courier New" w:eastAsia="Courier New" w:hAnsi="Courier New" w:cs="Courier New" w:hint="default"/>
      </w:rPr>
    </w:lvl>
    <w:lvl w:ilvl="8">
      <w:start w:val="1"/>
      <w:numFmt w:val="bullet"/>
      <w:lvlText w:val="§"/>
      <w:lvlJc w:val="left"/>
      <w:pPr>
        <w:ind w:left="6480" w:hanging="360"/>
      </w:pPr>
      <w:rPr>
        <w:rFonts w:ascii="Wingdings" w:eastAsia="Wingdings" w:hAnsi="Wingdings" w:cs="Wingdings" w:hint="default"/>
      </w:rPr>
    </w:lvl>
  </w:abstractNum>
  <w:abstractNum w:abstractNumId="18" w15:restartNumberingAfterBreak="0">
    <w:nsid w:val="4FE8470E"/>
    <w:multiLevelType w:val="hybridMultilevel"/>
    <w:tmpl w:val="87F8C880"/>
    <w:lvl w:ilvl="0" w:tplc="512A3746">
      <w:start w:val="1"/>
      <w:numFmt w:val="bullet"/>
      <w:lvlText w:val=""/>
      <w:lvlJc w:val="left"/>
      <w:pPr>
        <w:ind w:left="1080" w:hanging="360"/>
      </w:pPr>
      <w:rPr>
        <w:rFonts w:ascii="Symbol" w:hAnsi="Symbol"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9" w15:restartNumberingAfterBreak="0">
    <w:nsid w:val="500044F8"/>
    <w:multiLevelType w:val="hybridMultilevel"/>
    <w:tmpl w:val="B358B29C"/>
    <w:lvl w:ilvl="0" w:tplc="512A3746">
      <w:start w:val="1"/>
      <w:numFmt w:val="bullet"/>
      <w:lvlText w:val=""/>
      <w:lvlJc w:val="left"/>
      <w:pPr>
        <w:ind w:left="1080" w:hanging="360"/>
      </w:pPr>
      <w:rPr>
        <w:rFonts w:ascii="Symbol" w:hAnsi="Symbol" w:hint="default"/>
        <w:sz w:val="28"/>
        <w:szCs w:val="28"/>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0" w15:restartNumberingAfterBreak="0">
    <w:nsid w:val="50D54DC9"/>
    <w:multiLevelType w:val="hybridMultilevel"/>
    <w:tmpl w:val="21E48006"/>
    <w:lvl w:ilvl="0" w:tplc="4A4CA7E4">
      <w:start w:val="1"/>
      <w:numFmt w:val="bullet"/>
      <w:lvlText w:val=""/>
      <w:lvlJc w:val="left"/>
      <w:pPr>
        <w:ind w:left="1429" w:hanging="360"/>
      </w:pPr>
      <w:rPr>
        <w:rFonts w:ascii="Symbol" w:hAnsi="Symbol" w:hint="default"/>
        <w:sz w:val="24"/>
        <w:szCs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 w15:restartNumberingAfterBreak="0">
    <w:nsid w:val="519F613E"/>
    <w:multiLevelType w:val="multilevel"/>
    <w:tmpl w:val="85EAF2BE"/>
    <w:lvl w:ilvl="0">
      <w:start w:val="1"/>
      <w:numFmt w:val="bullet"/>
      <w:lvlText w:val=""/>
      <w:lvlJc w:val="left"/>
      <w:pPr>
        <w:ind w:left="1212" w:hanging="360"/>
      </w:pPr>
      <w:rPr>
        <w:rFonts w:ascii="Symbol" w:hAnsi="Symbol" w:hint="default"/>
      </w:rPr>
    </w:lvl>
    <w:lvl w:ilvl="1">
      <w:start w:val="1"/>
      <w:numFmt w:val="bullet"/>
      <w:lvlText w:val="o"/>
      <w:lvlJc w:val="left"/>
      <w:pPr>
        <w:ind w:left="1234" w:hanging="360"/>
      </w:pPr>
      <w:rPr>
        <w:rFonts w:ascii="Courier New" w:eastAsia="Courier New" w:hAnsi="Courier New" w:cs="Courier New" w:hint="default"/>
      </w:rPr>
    </w:lvl>
    <w:lvl w:ilvl="2">
      <w:start w:val="1"/>
      <w:numFmt w:val="bullet"/>
      <w:lvlText w:val="§"/>
      <w:lvlJc w:val="left"/>
      <w:pPr>
        <w:ind w:left="1954" w:hanging="360"/>
      </w:pPr>
      <w:rPr>
        <w:rFonts w:ascii="Wingdings" w:eastAsia="Wingdings" w:hAnsi="Wingdings" w:cs="Wingdings" w:hint="default"/>
      </w:rPr>
    </w:lvl>
    <w:lvl w:ilvl="3">
      <w:start w:val="1"/>
      <w:numFmt w:val="bullet"/>
      <w:lvlText w:val="·"/>
      <w:lvlJc w:val="left"/>
      <w:pPr>
        <w:ind w:left="2674" w:hanging="360"/>
      </w:pPr>
      <w:rPr>
        <w:rFonts w:ascii="Symbol" w:eastAsia="Symbol" w:hAnsi="Symbol" w:cs="Symbol" w:hint="default"/>
      </w:rPr>
    </w:lvl>
    <w:lvl w:ilvl="4">
      <w:start w:val="1"/>
      <w:numFmt w:val="bullet"/>
      <w:lvlText w:val="o"/>
      <w:lvlJc w:val="left"/>
      <w:pPr>
        <w:ind w:left="3394" w:hanging="360"/>
      </w:pPr>
      <w:rPr>
        <w:rFonts w:ascii="Courier New" w:eastAsia="Courier New" w:hAnsi="Courier New" w:cs="Courier New" w:hint="default"/>
      </w:rPr>
    </w:lvl>
    <w:lvl w:ilvl="5">
      <w:start w:val="1"/>
      <w:numFmt w:val="bullet"/>
      <w:lvlText w:val="§"/>
      <w:lvlJc w:val="left"/>
      <w:pPr>
        <w:ind w:left="4114" w:hanging="360"/>
      </w:pPr>
      <w:rPr>
        <w:rFonts w:ascii="Wingdings" w:eastAsia="Wingdings" w:hAnsi="Wingdings" w:cs="Wingdings" w:hint="default"/>
      </w:rPr>
    </w:lvl>
    <w:lvl w:ilvl="6">
      <w:start w:val="1"/>
      <w:numFmt w:val="bullet"/>
      <w:lvlText w:val="·"/>
      <w:lvlJc w:val="left"/>
      <w:pPr>
        <w:ind w:left="4834" w:hanging="360"/>
      </w:pPr>
      <w:rPr>
        <w:rFonts w:ascii="Symbol" w:eastAsia="Symbol" w:hAnsi="Symbol" w:cs="Symbol" w:hint="default"/>
      </w:rPr>
    </w:lvl>
    <w:lvl w:ilvl="7">
      <w:start w:val="1"/>
      <w:numFmt w:val="bullet"/>
      <w:lvlText w:val="o"/>
      <w:lvlJc w:val="left"/>
      <w:pPr>
        <w:ind w:left="5554" w:hanging="360"/>
      </w:pPr>
      <w:rPr>
        <w:rFonts w:ascii="Courier New" w:eastAsia="Courier New" w:hAnsi="Courier New" w:cs="Courier New" w:hint="default"/>
      </w:rPr>
    </w:lvl>
    <w:lvl w:ilvl="8">
      <w:start w:val="1"/>
      <w:numFmt w:val="bullet"/>
      <w:lvlText w:val="§"/>
      <w:lvlJc w:val="left"/>
      <w:pPr>
        <w:ind w:left="6274" w:hanging="360"/>
      </w:pPr>
      <w:rPr>
        <w:rFonts w:ascii="Wingdings" w:eastAsia="Wingdings" w:hAnsi="Wingdings" w:cs="Wingdings" w:hint="default"/>
      </w:rPr>
    </w:lvl>
  </w:abstractNum>
  <w:abstractNum w:abstractNumId="22" w15:restartNumberingAfterBreak="0">
    <w:nsid w:val="53565749"/>
    <w:multiLevelType w:val="hybridMultilevel"/>
    <w:tmpl w:val="84CCEEEC"/>
    <w:lvl w:ilvl="0" w:tplc="512A3746">
      <w:start w:val="1"/>
      <w:numFmt w:val="bullet"/>
      <w:lvlText w:val=""/>
      <w:lvlJc w:val="left"/>
      <w:pPr>
        <w:ind w:left="1080" w:hanging="360"/>
      </w:pPr>
      <w:rPr>
        <w:rFonts w:ascii="Symbol" w:hAnsi="Symbol"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 w15:restartNumberingAfterBreak="0">
    <w:nsid w:val="56499E78"/>
    <w:multiLevelType w:val="multilevel"/>
    <w:tmpl w:val="9A1EE00E"/>
    <w:lvl w:ilvl="0">
      <w:start w:val="1"/>
      <w:numFmt w:val="bullet"/>
      <w:lvlText w:val="‐"/>
      <w:lvlJc w:val="left"/>
      <w:pPr>
        <w:ind w:left="709" w:hanging="360"/>
      </w:pPr>
      <w:rPr>
        <w:rFonts w:ascii="Times New Roman" w:hAnsi="Times New Roman" w:cs="Times New Roman"/>
      </w:rPr>
    </w:lvl>
    <w:lvl w:ilvl="1">
      <w:start w:val="1"/>
      <w:numFmt w:val="bullet"/>
      <w:lvlText w:val="o"/>
      <w:lvlJc w:val="left"/>
      <w:pPr>
        <w:ind w:left="1440" w:hanging="360"/>
      </w:pPr>
      <w:rPr>
        <w:rFonts w:ascii="Courier New" w:eastAsia="Courier New" w:hAnsi="Courier New" w:cs="Courier New" w:hint="default"/>
      </w:rPr>
    </w:lvl>
    <w:lvl w:ilvl="2">
      <w:start w:val="1"/>
      <w:numFmt w:val="bullet"/>
      <w:lvlText w:val="§"/>
      <w:lvlJc w:val="left"/>
      <w:pPr>
        <w:ind w:left="2160" w:hanging="360"/>
      </w:pPr>
      <w:rPr>
        <w:rFonts w:ascii="Wingdings" w:eastAsia="Wingdings" w:hAnsi="Wingdings" w:cs="Wingdings" w:hint="default"/>
      </w:rPr>
    </w:lvl>
    <w:lvl w:ilvl="3">
      <w:start w:val="1"/>
      <w:numFmt w:val="bullet"/>
      <w:lvlText w:val="·"/>
      <w:lvlJc w:val="left"/>
      <w:pPr>
        <w:ind w:left="2880" w:hanging="360"/>
      </w:pPr>
      <w:rPr>
        <w:rFonts w:ascii="Symbol" w:eastAsia="Symbol" w:hAnsi="Symbol" w:cs="Symbol" w:hint="default"/>
      </w:rPr>
    </w:lvl>
    <w:lvl w:ilvl="4">
      <w:start w:val="1"/>
      <w:numFmt w:val="bullet"/>
      <w:lvlText w:val="o"/>
      <w:lvlJc w:val="left"/>
      <w:pPr>
        <w:ind w:left="3600" w:hanging="360"/>
      </w:pPr>
      <w:rPr>
        <w:rFonts w:ascii="Courier New" w:eastAsia="Courier New" w:hAnsi="Courier New" w:cs="Courier New" w:hint="default"/>
      </w:rPr>
    </w:lvl>
    <w:lvl w:ilvl="5">
      <w:start w:val="1"/>
      <w:numFmt w:val="bullet"/>
      <w:lvlText w:val="§"/>
      <w:lvlJc w:val="left"/>
      <w:pPr>
        <w:ind w:left="4320" w:hanging="360"/>
      </w:pPr>
      <w:rPr>
        <w:rFonts w:ascii="Wingdings" w:eastAsia="Wingdings" w:hAnsi="Wingdings" w:cs="Wingdings" w:hint="default"/>
      </w:rPr>
    </w:lvl>
    <w:lvl w:ilvl="6">
      <w:start w:val="1"/>
      <w:numFmt w:val="bullet"/>
      <w:lvlText w:val="·"/>
      <w:lvlJc w:val="left"/>
      <w:pPr>
        <w:ind w:left="5040" w:hanging="360"/>
      </w:pPr>
      <w:rPr>
        <w:rFonts w:ascii="Symbol" w:eastAsia="Symbol" w:hAnsi="Symbol" w:cs="Symbol" w:hint="default"/>
      </w:rPr>
    </w:lvl>
    <w:lvl w:ilvl="7">
      <w:start w:val="1"/>
      <w:numFmt w:val="bullet"/>
      <w:lvlText w:val="o"/>
      <w:lvlJc w:val="left"/>
      <w:pPr>
        <w:ind w:left="5760" w:hanging="360"/>
      </w:pPr>
      <w:rPr>
        <w:rFonts w:ascii="Courier New" w:eastAsia="Courier New" w:hAnsi="Courier New" w:cs="Courier New" w:hint="default"/>
      </w:rPr>
    </w:lvl>
    <w:lvl w:ilvl="8">
      <w:start w:val="1"/>
      <w:numFmt w:val="bullet"/>
      <w:lvlText w:val="§"/>
      <w:lvlJc w:val="left"/>
      <w:pPr>
        <w:ind w:left="6480" w:hanging="360"/>
      </w:pPr>
      <w:rPr>
        <w:rFonts w:ascii="Wingdings" w:eastAsia="Wingdings" w:hAnsi="Wingdings" w:cs="Wingdings" w:hint="default"/>
      </w:rPr>
    </w:lvl>
  </w:abstractNum>
  <w:abstractNum w:abstractNumId="24" w15:restartNumberingAfterBreak="0">
    <w:nsid w:val="5AD2B367"/>
    <w:multiLevelType w:val="multilevel"/>
    <w:tmpl w:val="F9E09B10"/>
    <w:lvl w:ilvl="0">
      <w:start w:val="1"/>
      <w:numFmt w:val="decimal"/>
      <w:lvlText w:val="‐"/>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5F725642"/>
    <w:multiLevelType w:val="multilevel"/>
    <w:tmpl w:val="0AA6EC2E"/>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6" w15:restartNumberingAfterBreak="0">
    <w:nsid w:val="65523F00"/>
    <w:multiLevelType w:val="hybridMultilevel"/>
    <w:tmpl w:val="6E540D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6635BE60"/>
    <w:multiLevelType w:val="multilevel"/>
    <w:tmpl w:val="AC60550E"/>
    <w:lvl w:ilvl="0">
      <w:start w:val="1"/>
      <w:numFmt w:val="bullet"/>
      <w:lvlText w:val="‐"/>
      <w:lvlJc w:val="left"/>
      <w:pPr>
        <w:ind w:left="709" w:hanging="360"/>
      </w:pPr>
      <w:rPr>
        <w:rFonts w:ascii="Times New Roman" w:hAnsi="Times New Roman" w:cs="Times New Roman"/>
      </w:rPr>
    </w:lvl>
    <w:lvl w:ilvl="1">
      <w:start w:val="1"/>
      <w:numFmt w:val="bullet"/>
      <w:lvlText w:val="o"/>
      <w:lvlJc w:val="left"/>
      <w:pPr>
        <w:ind w:left="1440" w:hanging="360"/>
      </w:pPr>
      <w:rPr>
        <w:rFonts w:ascii="Courier New" w:eastAsia="Courier New" w:hAnsi="Courier New" w:cs="Courier New" w:hint="default"/>
      </w:rPr>
    </w:lvl>
    <w:lvl w:ilvl="2">
      <w:start w:val="1"/>
      <w:numFmt w:val="bullet"/>
      <w:lvlText w:val="§"/>
      <w:lvlJc w:val="left"/>
      <w:pPr>
        <w:ind w:left="2160" w:hanging="360"/>
      </w:pPr>
      <w:rPr>
        <w:rFonts w:ascii="Wingdings" w:eastAsia="Wingdings" w:hAnsi="Wingdings" w:cs="Wingdings" w:hint="default"/>
      </w:rPr>
    </w:lvl>
    <w:lvl w:ilvl="3">
      <w:start w:val="1"/>
      <w:numFmt w:val="bullet"/>
      <w:lvlText w:val="·"/>
      <w:lvlJc w:val="left"/>
      <w:pPr>
        <w:ind w:left="2880" w:hanging="360"/>
      </w:pPr>
      <w:rPr>
        <w:rFonts w:ascii="Symbol" w:eastAsia="Symbol" w:hAnsi="Symbol" w:cs="Symbol" w:hint="default"/>
      </w:rPr>
    </w:lvl>
    <w:lvl w:ilvl="4">
      <w:start w:val="1"/>
      <w:numFmt w:val="bullet"/>
      <w:lvlText w:val="o"/>
      <w:lvlJc w:val="left"/>
      <w:pPr>
        <w:ind w:left="3600" w:hanging="360"/>
      </w:pPr>
      <w:rPr>
        <w:rFonts w:ascii="Courier New" w:eastAsia="Courier New" w:hAnsi="Courier New" w:cs="Courier New" w:hint="default"/>
      </w:rPr>
    </w:lvl>
    <w:lvl w:ilvl="5">
      <w:start w:val="1"/>
      <w:numFmt w:val="bullet"/>
      <w:lvlText w:val="§"/>
      <w:lvlJc w:val="left"/>
      <w:pPr>
        <w:ind w:left="4320" w:hanging="360"/>
      </w:pPr>
      <w:rPr>
        <w:rFonts w:ascii="Wingdings" w:eastAsia="Wingdings" w:hAnsi="Wingdings" w:cs="Wingdings" w:hint="default"/>
      </w:rPr>
    </w:lvl>
    <w:lvl w:ilvl="6">
      <w:start w:val="1"/>
      <w:numFmt w:val="bullet"/>
      <w:lvlText w:val="·"/>
      <w:lvlJc w:val="left"/>
      <w:pPr>
        <w:ind w:left="5040" w:hanging="360"/>
      </w:pPr>
      <w:rPr>
        <w:rFonts w:ascii="Symbol" w:eastAsia="Symbol" w:hAnsi="Symbol" w:cs="Symbol" w:hint="default"/>
      </w:rPr>
    </w:lvl>
    <w:lvl w:ilvl="7">
      <w:start w:val="1"/>
      <w:numFmt w:val="bullet"/>
      <w:lvlText w:val="o"/>
      <w:lvlJc w:val="left"/>
      <w:pPr>
        <w:ind w:left="5760" w:hanging="360"/>
      </w:pPr>
      <w:rPr>
        <w:rFonts w:ascii="Courier New" w:eastAsia="Courier New" w:hAnsi="Courier New" w:cs="Courier New" w:hint="default"/>
      </w:rPr>
    </w:lvl>
    <w:lvl w:ilvl="8">
      <w:start w:val="1"/>
      <w:numFmt w:val="bullet"/>
      <w:lvlText w:val="§"/>
      <w:lvlJc w:val="left"/>
      <w:pPr>
        <w:ind w:left="6480" w:hanging="360"/>
      </w:pPr>
      <w:rPr>
        <w:rFonts w:ascii="Wingdings" w:eastAsia="Wingdings" w:hAnsi="Wingdings" w:cs="Wingdings" w:hint="default"/>
      </w:rPr>
    </w:lvl>
  </w:abstractNum>
  <w:abstractNum w:abstractNumId="28" w15:restartNumberingAfterBreak="0">
    <w:nsid w:val="6CA37D04"/>
    <w:multiLevelType w:val="multilevel"/>
    <w:tmpl w:val="0792A8F4"/>
    <w:lvl w:ilvl="0">
      <w:start w:val="1"/>
      <w:numFmt w:val="bullet"/>
      <w:lvlText w:val=""/>
      <w:lvlJc w:val="left"/>
      <w:pPr>
        <w:ind w:left="1423" w:hanging="360"/>
      </w:pPr>
      <w:rPr>
        <w:rFonts w:ascii="Symbol" w:hAnsi="Symbol" w:hint="default"/>
      </w:rPr>
    </w:lvl>
    <w:lvl w:ilvl="1">
      <w:start w:val="1"/>
      <w:numFmt w:val="bullet"/>
      <w:lvlText w:val="o"/>
      <w:lvlJc w:val="left"/>
      <w:pPr>
        <w:ind w:left="2143" w:hanging="360"/>
      </w:pPr>
      <w:rPr>
        <w:rFonts w:ascii="Courier New" w:hAnsi="Courier New" w:cs="Courier New" w:hint="default"/>
      </w:rPr>
    </w:lvl>
    <w:lvl w:ilvl="2">
      <w:start w:val="1"/>
      <w:numFmt w:val="bullet"/>
      <w:lvlText w:val=""/>
      <w:lvlJc w:val="left"/>
      <w:pPr>
        <w:ind w:left="2863" w:hanging="360"/>
      </w:pPr>
      <w:rPr>
        <w:rFonts w:ascii="Wingdings" w:hAnsi="Wingdings" w:hint="default"/>
      </w:rPr>
    </w:lvl>
    <w:lvl w:ilvl="3">
      <w:start w:val="1"/>
      <w:numFmt w:val="bullet"/>
      <w:lvlText w:val=""/>
      <w:lvlJc w:val="left"/>
      <w:pPr>
        <w:ind w:left="3583" w:hanging="360"/>
      </w:pPr>
      <w:rPr>
        <w:rFonts w:ascii="Symbol" w:hAnsi="Symbol" w:hint="default"/>
      </w:rPr>
    </w:lvl>
    <w:lvl w:ilvl="4">
      <w:start w:val="1"/>
      <w:numFmt w:val="bullet"/>
      <w:lvlText w:val="o"/>
      <w:lvlJc w:val="left"/>
      <w:pPr>
        <w:ind w:left="4303" w:hanging="360"/>
      </w:pPr>
      <w:rPr>
        <w:rFonts w:ascii="Courier New" w:hAnsi="Courier New" w:cs="Courier New" w:hint="default"/>
      </w:rPr>
    </w:lvl>
    <w:lvl w:ilvl="5">
      <w:start w:val="1"/>
      <w:numFmt w:val="bullet"/>
      <w:lvlText w:val=""/>
      <w:lvlJc w:val="left"/>
      <w:pPr>
        <w:ind w:left="5023" w:hanging="360"/>
      </w:pPr>
      <w:rPr>
        <w:rFonts w:ascii="Wingdings" w:hAnsi="Wingdings" w:hint="default"/>
      </w:rPr>
    </w:lvl>
    <w:lvl w:ilvl="6">
      <w:start w:val="1"/>
      <w:numFmt w:val="bullet"/>
      <w:lvlText w:val=""/>
      <w:lvlJc w:val="left"/>
      <w:pPr>
        <w:ind w:left="5743" w:hanging="360"/>
      </w:pPr>
      <w:rPr>
        <w:rFonts w:ascii="Symbol" w:hAnsi="Symbol" w:hint="default"/>
      </w:rPr>
    </w:lvl>
    <w:lvl w:ilvl="7">
      <w:start w:val="1"/>
      <w:numFmt w:val="bullet"/>
      <w:lvlText w:val="o"/>
      <w:lvlJc w:val="left"/>
      <w:pPr>
        <w:ind w:left="6463" w:hanging="360"/>
      </w:pPr>
      <w:rPr>
        <w:rFonts w:ascii="Courier New" w:hAnsi="Courier New" w:cs="Courier New" w:hint="default"/>
      </w:rPr>
    </w:lvl>
    <w:lvl w:ilvl="8">
      <w:start w:val="1"/>
      <w:numFmt w:val="bullet"/>
      <w:lvlText w:val=""/>
      <w:lvlJc w:val="left"/>
      <w:pPr>
        <w:ind w:left="7183" w:hanging="360"/>
      </w:pPr>
      <w:rPr>
        <w:rFonts w:ascii="Wingdings" w:hAnsi="Wingdings" w:hint="default"/>
      </w:rPr>
    </w:lvl>
  </w:abstractNum>
  <w:abstractNum w:abstractNumId="29" w15:restartNumberingAfterBreak="0">
    <w:nsid w:val="6DB45739"/>
    <w:multiLevelType w:val="hybridMultilevel"/>
    <w:tmpl w:val="570A906A"/>
    <w:lvl w:ilvl="0" w:tplc="512A3746">
      <w:start w:val="1"/>
      <w:numFmt w:val="bullet"/>
      <w:lvlText w:val=""/>
      <w:lvlJc w:val="left"/>
      <w:pPr>
        <w:ind w:left="720" w:hanging="360"/>
      </w:pPr>
      <w:rPr>
        <w:rFonts w:ascii="Symbol" w:hAnsi="Symbol"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6EF32FBE"/>
    <w:multiLevelType w:val="hybridMultilevel"/>
    <w:tmpl w:val="8B221172"/>
    <w:lvl w:ilvl="0" w:tplc="512A3746">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1" w15:restartNumberingAfterBreak="0">
    <w:nsid w:val="6EF33306"/>
    <w:multiLevelType w:val="hybridMultilevel"/>
    <w:tmpl w:val="A448DE7A"/>
    <w:lvl w:ilvl="0" w:tplc="512A3746">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2" w15:restartNumberingAfterBreak="0">
    <w:nsid w:val="6F310B41"/>
    <w:multiLevelType w:val="hybridMultilevel"/>
    <w:tmpl w:val="FA2CEC36"/>
    <w:lvl w:ilvl="0" w:tplc="512A3746">
      <w:start w:val="1"/>
      <w:numFmt w:val="bullet"/>
      <w:lvlText w:val=""/>
      <w:lvlJc w:val="left"/>
      <w:pPr>
        <w:ind w:left="1080" w:hanging="360"/>
      </w:pPr>
      <w:rPr>
        <w:rFonts w:ascii="Symbol" w:hAnsi="Symbol"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3" w15:restartNumberingAfterBreak="0">
    <w:nsid w:val="6F785763"/>
    <w:multiLevelType w:val="multilevel"/>
    <w:tmpl w:val="B6A0C122"/>
    <w:lvl w:ilvl="0">
      <w:start w:val="1"/>
      <w:numFmt w:val="bullet"/>
      <w:lvlText w:val=""/>
      <w:lvlJc w:val="left"/>
      <w:pPr>
        <w:ind w:left="1495"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739FE805"/>
    <w:multiLevelType w:val="multilevel"/>
    <w:tmpl w:val="11BEFDF0"/>
    <w:lvl w:ilvl="0">
      <w:start w:val="1"/>
      <w:numFmt w:val="decimal"/>
      <w:lvlText w:val="‐"/>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74343EAE"/>
    <w:multiLevelType w:val="multilevel"/>
    <w:tmpl w:val="9C60842A"/>
    <w:lvl w:ilvl="0">
      <w:start w:val="1"/>
      <w:numFmt w:val="bullet"/>
      <w:lvlText w:val=""/>
      <w:lvlJc w:val="left"/>
      <w:pPr>
        <w:ind w:left="107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num w:numId="1">
    <w:abstractNumId w:val="28"/>
  </w:num>
  <w:num w:numId="2">
    <w:abstractNumId w:val="6"/>
  </w:num>
  <w:num w:numId="3">
    <w:abstractNumId w:val="12"/>
  </w:num>
  <w:num w:numId="4">
    <w:abstractNumId w:val="10"/>
  </w:num>
  <w:num w:numId="5">
    <w:abstractNumId w:val="25"/>
  </w:num>
  <w:num w:numId="6">
    <w:abstractNumId w:val="14"/>
  </w:num>
  <w:num w:numId="7">
    <w:abstractNumId w:val="35"/>
  </w:num>
  <w:num w:numId="8">
    <w:abstractNumId w:val="34"/>
  </w:num>
  <w:num w:numId="9">
    <w:abstractNumId w:val="9"/>
  </w:num>
  <w:num w:numId="10">
    <w:abstractNumId w:val="24"/>
  </w:num>
  <w:num w:numId="11">
    <w:abstractNumId w:val="16"/>
  </w:num>
  <w:num w:numId="12">
    <w:abstractNumId w:val="33"/>
  </w:num>
  <w:num w:numId="13">
    <w:abstractNumId w:val="1"/>
  </w:num>
  <w:num w:numId="14">
    <w:abstractNumId w:val="0"/>
  </w:num>
  <w:num w:numId="15">
    <w:abstractNumId w:val="17"/>
  </w:num>
  <w:num w:numId="16">
    <w:abstractNumId w:val="13"/>
  </w:num>
  <w:num w:numId="17">
    <w:abstractNumId w:val="23"/>
  </w:num>
  <w:num w:numId="18">
    <w:abstractNumId w:val="27"/>
  </w:num>
  <w:num w:numId="19">
    <w:abstractNumId w:val="28"/>
  </w:num>
  <w:num w:numId="20">
    <w:abstractNumId w:val="28"/>
  </w:num>
  <w:num w:numId="21">
    <w:abstractNumId w:val="28"/>
  </w:num>
  <w:num w:numId="22">
    <w:abstractNumId w:val="28"/>
  </w:num>
  <w:num w:numId="23">
    <w:abstractNumId w:val="28"/>
  </w:num>
  <w:num w:numId="24">
    <w:abstractNumId w:val="28"/>
  </w:num>
  <w:num w:numId="25">
    <w:abstractNumId w:val="21"/>
  </w:num>
  <w:num w:numId="26">
    <w:abstractNumId w:val="11"/>
  </w:num>
  <w:num w:numId="27">
    <w:abstractNumId w:val="8"/>
  </w:num>
  <w:num w:numId="28">
    <w:abstractNumId w:val="7"/>
  </w:num>
  <w:num w:numId="29">
    <w:abstractNumId w:val="2"/>
  </w:num>
  <w:num w:numId="30">
    <w:abstractNumId w:val="15"/>
  </w:num>
  <w:num w:numId="31">
    <w:abstractNumId w:val="22"/>
  </w:num>
  <w:num w:numId="32">
    <w:abstractNumId w:val="32"/>
  </w:num>
  <w:num w:numId="33">
    <w:abstractNumId w:val="5"/>
  </w:num>
  <w:num w:numId="34">
    <w:abstractNumId w:val="18"/>
  </w:num>
  <w:num w:numId="35">
    <w:abstractNumId w:val="30"/>
  </w:num>
  <w:num w:numId="36">
    <w:abstractNumId w:val="29"/>
  </w:num>
  <w:num w:numId="37">
    <w:abstractNumId w:val="31"/>
  </w:num>
  <w:num w:numId="38">
    <w:abstractNumId w:val="19"/>
  </w:num>
  <w:num w:numId="39">
    <w:abstractNumId w:val="4"/>
  </w:num>
  <w:num w:numId="40">
    <w:abstractNumId w:val="3"/>
  </w:num>
  <w:num w:numId="41">
    <w:abstractNumId w:val="20"/>
  </w:num>
  <w:num w:numId="42">
    <w:abstractNumId w:val="26"/>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5"/>
  <w:defaultTabStop w:val="709"/>
  <w:drawingGridHorizontalSpacing w:val="110"/>
  <w:displayHorizontalDrawingGridEvery w:val="2"/>
  <w:characterSpacingControl w:val="doNotCompress"/>
  <w:hdrShapeDefaults>
    <o:shapedefaults v:ext="edit" spidmax="16385"/>
  </w:hdrShapeDefaults>
  <w:footnotePr>
    <w:footnote w:id="-1"/>
    <w:footnote w:id="0"/>
  </w:footnotePr>
  <w:endnotePr>
    <w:endnote w:id="-1"/>
    <w:endnote w:id="0"/>
  </w:endnotePr>
  <w:compat>
    <w:useFELayout/>
    <w:compatSetting w:name="compatibilityMode" w:uri="http://schemas.microsoft.com/office/word" w:val="12"/>
  </w:compat>
  <w:rsids>
    <w:rsidRoot w:val="00FC41F4"/>
    <w:rsid w:val="000006BC"/>
    <w:rsid w:val="000039DB"/>
    <w:rsid w:val="00005719"/>
    <w:rsid w:val="00006100"/>
    <w:rsid w:val="0000746E"/>
    <w:rsid w:val="000119DF"/>
    <w:rsid w:val="00012E8F"/>
    <w:rsid w:val="00014E1D"/>
    <w:rsid w:val="00015263"/>
    <w:rsid w:val="00016084"/>
    <w:rsid w:val="00016736"/>
    <w:rsid w:val="00017944"/>
    <w:rsid w:val="00025FB1"/>
    <w:rsid w:val="00032185"/>
    <w:rsid w:val="00040445"/>
    <w:rsid w:val="00040DF2"/>
    <w:rsid w:val="00044E3F"/>
    <w:rsid w:val="00044E9C"/>
    <w:rsid w:val="00045158"/>
    <w:rsid w:val="000517E6"/>
    <w:rsid w:val="000537F1"/>
    <w:rsid w:val="00053867"/>
    <w:rsid w:val="00057620"/>
    <w:rsid w:val="0006083A"/>
    <w:rsid w:val="000612EB"/>
    <w:rsid w:val="00071499"/>
    <w:rsid w:val="0007259D"/>
    <w:rsid w:val="00074AE5"/>
    <w:rsid w:val="0007539B"/>
    <w:rsid w:val="000778BD"/>
    <w:rsid w:val="00080765"/>
    <w:rsid w:val="00086298"/>
    <w:rsid w:val="000900C1"/>
    <w:rsid w:val="00096326"/>
    <w:rsid w:val="000A15D0"/>
    <w:rsid w:val="000A26C4"/>
    <w:rsid w:val="000A33A9"/>
    <w:rsid w:val="000A7108"/>
    <w:rsid w:val="000B31AB"/>
    <w:rsid w:val="000B39C8"/>
    <w:rsid w:val="000B5AE4"/>
    <w:rsid w:val="000B7ACE"/>
    <w:rsid w:val="000C3637"/>
    <w:rsid w:val="000C3927"/>
    <w:rsid w:val="000C747E"/>
    <w:rsid w:val="000C7E9B"/>
    <w:rsid w:val="000D0C2F"/>
    <w:rsid w:val="000D3F7A"/>
    <w:rsid w:val="000E0959"/>
    <w:rsid w:val="000E1FF9"/>
    <w:rsid w:val="000E3BB2"/>
    <w:rsid w:val="000F021E"/>
    <w:rsid w:val="000F08F3"/>
    <w:rsid w:val="000F1AE8"/>
    <w:rsid w:val="000F201F"/>
    <w:rsid w:val="000F40F6"/>
    <w:rsid w:val="000F76C4"/>
    <w:rsid w:val="00101AE2"/>
    <w:rsid w:val="00102990"/>
    <w:rsid w:val="00104253"/>
    <w:rsid w:val="00104EBF"/>
    <w:rsid w:val="001067FA"/>
    <w:rsid w:val="00110080"/>
    <w:rsid w:val="00113625"/>
    <w:rsid w:val="0011570B"/>
    <w:rsid w:val="00120120"/>
    <w:rsid w:val="001212F5"/>
    <w:rsid w:val="00121E8D"/>
    <w:rsid w:val="00123E22"/>
    <w:rsid w:val="00125D12"/>
    <w:rsid w:val="00126111"/>
    <w:rsid w:val="00135A49"/>
    <w:rsid w:val="001433AD"/>
    <w:rsid w:val="001464BB"/>
    <w:rsid w:val="0014789E"/>
    <w:rsid w:val="001511F3"/>
    <w:rsid w:val="00153631"/>
    <w:rsid w:val="0016050E"/>
    <w:rsid w:val="00160B5C"/>
    <w:rsid w:val="001660E8"/>
    <w:rsid w:val="00172E2A"/>
    <w:rsid w:val="00180B3F"/>
    <w:rsid w:val="0018271B"/>
    <w:rsid w:val="0018315A"/>
    <w:rsid w:val="0018339C"/>
    <w:rsid w:val="001931CA"/>
    <w:rsid w:val="00195D10"/>
    <w:rsid w:val="001A0F9E"/>
    <w:rsid w:val="001A201D"/>
    <w:rsid w:val="001A4F46"/>
    <w:rsid w:val="001A58FE"/>
    <w:rsid w:val="001B0181"/>
    <w:rsid w:val="001B180B"/>
    <w:rsid w:val="001B1831"/>
    <w:rsid w:val="001B7DB0"/>
    <w:rsid w:val="001C25E6"/>
    <w:rsid w:val="001C3198"/>
    <w:rsid w:val="001C59E5"/>
    <w:rsid w:val="001D0FDA"/>
    <w:rsid w:val="001D14A9"/>
    <w:rsid w:val="001E2E29"/>
    <w:rsid w:val="001E3A62"/>
    <w:rsid w:val="001E4F73"/>
    <w:rsid w:val="001E783F"/>
    <w:rsid w:val="001F319C"/>
    <w:rsid w:val="001F588C"/>
    <w:rsid w:val="001F5B23"/>
    <w:rsid w:val="001F7F7A"/>
    <w:rsid w:val="002000D4"/>
    <w:rsid w:val="00200597"/>
    <w:rsid w:val="00201362"/>
    <w:rsid w:val="00202973"/>
    <w:rsid w:val="0020784E"/>
    <w:rsid w:val="00210A29"/>
    <w:rsid w:val="00213E89"/>
    <w:rsid w:val="00214A99"/>
    <w:rsid w:val="00217A2F"/>
    <w:rsid w:val="00217E3C"/>
    <w:rsid w:val="00222493"/>
    <w:rsid w:val="002238A4"/>
    <w:rsid w:val="00225DCA"/>
    <w:rsid w:val="00225FB2"/>
    <w:rsid w:val="002262F6"/>
    <w:rsid w:val="002303B4"/>
    <w:rsid w:val="00231CC4"/>
    <w:rsid w:val="00234C30"/>
    <w:rsid w:val="002471E4"/>
    <w:rsid w:val="00255223"/>
    <w:rsid w:val="00261AE3"/>
    <w:rsid w:val="00264D25"/>
    <w:rsid w:val="00267FC5"/>
    <w:rsid w:val="002704C5"/>
    <w:rsid w:val="00270729"/>
    <w:rsid w:val="00271B5B"/>
    <w:rsid w:val="00272BA6"/>
    <w:rsid w:val="00274CDA"/>
    <w:rsid w:val="00275627"/>
    <w:rsid w:val="00276A90"/>
    <w:rsid w:val="00276BD7"/>
    <w:rsid w:val="0028110C"/>
    <w:rsid w:val="00282158"/>
    <w:rsid w:val="0028371D"/>
    <w:rsid w:val="00283E5A"/>
    <w:rsid w:val="00284EAF"/>
    <w:rsid w:val="00287188"/>
    <w:rsid w:val="00290B6C"/>
    <w:rsid w:val="00296BBF"/>
    <w:rsid w:val="00296D47"/>
    <w:rsid w:val="002973BD"/>
    <w:rsid w:val="002A0B2C"/>
    <w:rsid w:val="002A0BDC"/>
    <w:rsid w:val="002A200B"/>
    <w:rsid w:val="002A22D3"/>
    <w:rsid w:val="002A7E06"/>
    <w:rsid w:val="002B10DC"/>
    <w:rsid w:val="002B2495"/>
    <w:rsid w:val="002B535B"/>
    <w:rsid w:val="002C3F8D"/>
    <w:rsid w:val="002C4E01"/>
    <w:rsid w:val="002C545F"/>
    <w:rsid w:val="002D68E1"/>
    <w:rsid w:val="002E1981"/>
    <w:rsid w:val="002E228F"/>
    <w:rsid w:val="002E26F5"/>
    <w:rsid w:val="002E3124"/>
    <w:rsid w:val="002E4B81"/>
    <w:rsid w:val="002E54F8"/>
    <w:rsid w:val="002F0D57"/>
    <w:rsid w:val="002F2E3D"/>
    <w:rsid w:val="002F6B89"/>
    <w:rsid w:val="002F7095"/>
    <w:rsid w:val="003019D0"/>
    <w:rsid w:val="00303207"/>
    <w:rsid w:val="0031276B"/>
    <w:rsid w:val="0031317B"/>
    <w:rsid w:val="00313A88"/>
    <w:rsid w:val="00315903"/>
    <w:rsid w:val="00317761"/>
    <w:rsid w:val="00327520"/>
    <w:rsid w:val="00327A9B"/>
    <w:rsid w:val="003302DA"/>
    <w:rsid w:val="003310F7"/>
    <w:rsid w:val="00340941"/>
    <w:rsid w:val="00340A21"/>
    <w:rsid w:val="00341900"/>
    <w:rsid w:val="00342007"/>
    <w:rsid w:val="00344290"/>
    <w:rsid w:val="00360816"/>
    <w:rsid w:val="003621AA"/>
    <w:rsid w:val="00365C10"/>
    <w:rsid w:val="00370309"/>
    <w:rsid w:val="00371096"/>
    <w:rsid w:val="0037226F"/>
    <w:rsid w:val="00373623"/>
    <w:rsid w:val="0037431D"/>
    <w:rsid w:val="00376417"/>
    <w:rsid w:val="00381A3D"/>
    <w:rsid w:val="00383303"/>
    <w:rsid w:val="003859AC"/>
    <w:rsid w:val="003877F3"/>
    <w:rsid w:val="00391C34"/>
    <w:rsid w:val="00391E62"/>
    <w:rsid w:val="0039257D"/>
    <w:rsid w:val="00394AA9"/>
    <w:rsid w:val="00395C5C"/>
    <w:rsid w:val="00395D3A"/>
    <w:rsid w:val="003B02CE"/>
    <w:rsid w:val="003B18C3"/>
    <w:rsid w:val="003B48ED"/>
    <w:rsid w:val="003C1EF2"/>
    <w:rsid w:val="003C2668"/>
    <w:rsid w:val="003C37A9"/>
    <w:rsid w:val="003D0815"/>
    <w:rsid w:val="003D0C87"/>
    <w:rsid w:val="003D25DF"/>
    <w:rsid w:val="003D38E2"/>
    <w:rsid w:val="003D632F"/>
    <w:rsid w:val="003D7ACD"/>
    <w:rsid w:val="003E2BE9"/>
    <w:rsid w:val="003F0645"/>
    <w:rsid w:val="003F2531"/>
    <w:rsid w:val="003F323B"/>
    <w:rsid w:val="003F60D4"/>
    <w:rsid w:val="003F67F4"/>
    <w:rsid w:val="003F72CA"/>
    <w:rsid w:val="004021A2"/>
    <w:rsid w:val="0040306F"/>
    <w:rsid w:val="00405513"/>
    <w:rsid w:val="00406208"/>
    <w:rsid w:val="004065D0"/>
    <w:rsid w:val="00410B0F"/>
    <w:rsid w:val="004110DD"/>
    <w:rsid w:val="0041780B"/>
    <w:rsid w:val="00421B79"/>
    <w:rsid w:val="004246CD"/>
    <w:rsid w:val="00425330"/>
    <w:rsid w:val="004267FE"/>
    <w:rsid w:val="00430453"/>
    <w:rsid w:val="00431D46"/>
    <w:rsid w:val="004325DD"/>
    <w:rsid w:val="00433430"/>
    <w:rsid w:val="00435FAD"/>
    <w:rsid w:val="004369BA"/>
    <w:rsid w:val="00443BBD"/>
    <w:rsid w:val="00445154"/>
    <w:rsid w:val="00454F14"/>
    <w:rsid w:val="00455BCC"/>
    <w:rsid w:val="004700CB"/>
    <w:rsid w:val="00470A59"/>
    <w:rsid w:val="0047469B"/>
    <w:rsid w:val="004751E4"/>
    <w:rsid w:val="0048349D"/>
    <w:rsid w:val="00484779"/>
    <w:rsid w:val="004852FE"/>
    <w:rsid w:val="00490067"/>
    <w:rsid w:val="00490B50"/>
    <w:rsid w:val="00491C2F"/>
    <w:rsid w:val="004947E4"/>
    <w:rsid w:val="00497DBA"/>
    <w:rsid w:val="004A0315"/>
    <w:rsid w:val="004A200B"/>
    <w:rsid w:val="004A347D"/>
    <w:rsid w:val="004A349C"/>
    <w:rsid w:val="004A4A64"/>
    <w:rsid w:val="004A71A2"/>
    <w:rsid w:val="004A79E6"/>
    <w:rsid w:val="004B06BB"/>
    <w:rsid w:val="004B1E0B"/>
    <w:rsid w:val="004B314A"/>
    <w:rsid w:val="004B3E0D"/>
    <w:rsid w:val="004B3E38"/>
    <w:rsid w:val="004B477A"/>
    <w:rsid w:val="004B5922"/>
    <w:rsid w:val="004C1B4A"/>
    <w:rsid w:val="004C2C64"/>
    <w:rsid w:val="004C33D9"/>
    <w:rsid w:val="004D057C"/>
    <w:rsid w:val="004D247F"/>
    <w:rsid w:val="004D5F54"/>
    <w:rsid w:val="004D763B"/>
    <w:rsid w:val="004E2E36"/>
    <w:rsid w:val="004E7497"/>
    <w:rsid w:val="004F19FD"/>
    <w:rsid w:val="004F657D"/>
    <w:rsid w:val="004F7FC8"/>
    <w:rsid w:val="00502632"/>
    <w:rsid w:val="005031D8"/>
    <w:rsid w:val="005112BF"/>
    <w:rsid w:val="00512DE2"/>
    <w:rsid w:val="00513EB7"/>
    <w:rsid w:val="00515644"/>
    <w:rsid w:val="00517E65"/>
    <w:rsid w:val="0052199D"/>
    <w:rsid w:val="00526D28"/>
    <w:rsid w:val="00530BA3"/>
    <w:rsid w:val="00532C20"/>
    <w:rsid w:val="00534024"/>
    <w:rsid w:val="00534C48"/>
    <w:rsid w:val="0053506D"/>
    <w:rsid w:val="00536AD7"/>
    <w:rsid w:val="00536C27"/>
    <w:rsid w:val="00536D85"/>
    <w:rsid w:val="00542CCA"/>
    <w:rsid w:val="005504B5"/>
    <w:rsid w:val="0055060D"/>
    <w:rsid w:val="0055168C"/>
    <w:rsid w:val="00554845"/>
    <w:rsid w:val="00562EE2"/>
    <w:rsid w:val="00563DC2"/>
    <w:rsid w:val="00570393"/>
    <w:rsid w:val="00570818"/>
    <w:rsid w:val="00573781"/>
    <w:rsid w:val="00574104"/>
    <w:rsid w:val="0057508B"/>
    <w:rsid w:val="00577593"/>
    <w:rsid w:val="00582B67"/>
    <w:rsid w:val="00583CB3"/>
    <w:rsid w:val="00584F00"/>
    <w:rsid w:val="00585D2A"/>
    <w:rsid w:val="0059015C"/>
    <w:rsid w:val="0059444E"/>
    <w:rsid w:val="005966A6"/>
    <w:rsid w:val="005A0B25"/>
    <w:rsid w:val="005A1143"/>
    <w:rsid w:val="005A2E37"/>
    <w:rsid w:val="005B5587"/>
    <w:rsid w:val="005B68BD"/>
    <w:rsid w:val="005C07D3"/>
    <w:rsid w:val="005C45C5"/>
    <w:rsid w:val="005C4E78"/>
    <w:rsid w:val="005C56F1"/>
    <w:rsid w:val="005D32A1"/>
    <w:rsid w:val="005D340D"/>
    <w:rsid w:val="005D5CEB"/>
    <w:rsid w:val="005E07D8"/>
    <w:rsid w:val="005E3FDA"/>
    <w:rsid w:val="005E5C88"/>
    <w:rsid w:val="005F0B0B"/>
    <w:rsid w:val="005F1DC6"/>
    <w:rsid w:val="005F53EC"/>
    <w:rsid w:val="005F6A9C"/>
    <w:rsid w:val="006002EE"/>
    <w:rsid w:val="00602CDF"/>
    <w:rsid w:val="00603814"/>
    <w:rsid w:val="00604CD4"/>
    <w:rsid w:val="006117BF"/>
    <w:rsid w:val="0061254A"/>
    <w:rsid w:val="006153E2"/>
    <w:rsid w:val="00625741"/>
    <w:rsid w:val="0063008D"/>
    <w:rsid w:val="00630A37"/>
    <w:rsid w:val="006412F6"/>
    <w:rsid w:val="00652D3F"/>
    <w:rsid w:val="00657BF0"/>
    <w:rsid w:val="0066076F"/>
    <w:rsid w:val="00660B39"/>
    <w:rsid w:val="006614BD"/>
    <w:rsid w:val="006632A0"/>
    <w:rsid w:val="006648D9"/>
    <w:rsid w:val="00665FF3"/>
    <w:rsid w:val="00666EA1"/>
    <w:rsid w:val="0067039B"/>
    <w:rsid w:val="006710B5"/>
    <w:rsid w:val="00672209"/>
    <w:rsid w:val="00672709"/>
    <w:rsid w:val="00681FF4"/>
    <w:rsid w:val="006842E0"/>
    <w:rsid w:val="00693520"/>
    <w:rsid w:val="0069375B"/>
    <w:rsid w:val="00693A36"/>
    <w:rsid w:val="0069506B"/>
    <w:rsid w:val="006A1B2C"/>
    <w:rsid w:val="006A33BA"/>
    <w:rsid w:val="006A5454"/>
    <w:rsid w:val="006A55F8"/>
    <w:rsid w:val="006A68F2"/>
    <w:rsid w:val="006B42DD"/>
    <w:rsid w:val="006B6505"/>
    <w:rsid w:val="006C4001"/>
    <w:rsid w:val="006D27AE"/>
    <w:rsid w:val="006D3135"/>
    <w:rsid w:val="006D33E5"/>
    <w:rsid w:val="006D4120"/>
    <w:rsid w:val="006D6804"/>
    <w:rsid w:val="006E1BB1"/>
    <w:rsid w:val="006E2696"/>
    <w:rsid w:val="00702422"/>
    <w:rsid w:val="00704AF6"/>
    <w:rsid w:val="0070583D"/>
    <w:rsid w:val="007115B8"/>
    <w:rsid w:val="007173BF"/>
    <w:rsid w:val="007205DC"/>
    <w:rsid w:val="007216CB"/>
    <w:rsid w:val="00726D19"/>
    <w:rsid w:val="007270FA"/>
    <w:rsid w:val="007308D9"/>
    <w:rsid w:val="007333B8"/>
    <w:rsid w:val="0074709F"/>
    <w:rsid w:val="0075028D"/>
    <w:rsid w:val="00751C83"/>
    <w:rsid w:val="0075478C"/>
    <w:rsid w:val="00760525"/>
    <w:rsid w:val="007630AD"/>
    <w:rsid w:val="0076340C"/>
    <w:rsid w:val="0076671D"/>
    <w:rsid w:val="00770B4D"/>
    <w:rsid w:val="00772446"/>
    <w:rsid w:val="00772D61"/>
    <w:rsid w:val="0077447F"/>
    <w:rsid w:val="00776405"/>
    <w:rsid w:val="00777DAC"/>
    <w:rsid w:val="00780624"/>
    <w:rsid w:val="00783690"/>
    <w:rsid w:val="007857D5"/>
    <w:rsid w:val="007931AD"/>
    <w:rsid w:val="00793588"/>
    <w:rsid w:val="007A1E53"/>
    <w:rsid w:val="007A3820"/>
    <w:rsid w:val="007A38B4"/>
    <w:rsid w:val="007C0833"/>
    <w:rsid w:val="007C2485"/>
    <w:rsid w:val="007C3315"/>
    <w:rsid w:val="007C3F30"/>
    <w:rsid w:val="007C7FDF"/>
    <w:rsid w:val="007D1079"/>
    <w:rsid w:val="007D492B"/>
    <w:rsid w:val="007D549E"/>
    <w:rsid w:val="007D60A9"/>
    <w:rsid w:val="007E50B3"/>
    <w:rsid w:val="007E541E"/>
    <w:rsid w:val="007F36C1"/>
    <w:rsid w:val="007F602F"/>
    <w:rsid w:val="007F6D87"/>
    <w:rsid w:val="007F70FC"/>
    <w:rsid w:val="008008F5"/>
    <w:rsid w:val="008021F0"/>
    <w:rsid w:val="00802C66"/>
    <w:rsid w:val="008030C2"/>
    <w:rsid w:val="0080561D"/>
    <w:rsid w:val="00805EB8"/>
    <w:rsid w:val="00812B8B"/>
    <w:rsid w:val="00816420"/>
    <w:rsid w:val="008179C1"/>
    <w:rsid w:val="0082640E"/>
    <w:rsid w:val="00826C75"/>
    <w:rsid w:val="00827441"/>
    <w:rsid w:val="00830F0D"/>
    <w:rsid w:val="00832EC5"/>
    <w:rsid w:val="00833E22"/>
    <w:rsid w:val="008407A9"/>
    <w:rsid w:val="008413D1"/>
    <w:rsid w:val="00842245"/>
    <w:rsid w:val="00850BCA"/>
    <w:rsid w:val="00853E52"/>
    <w:rsid w:val="00856F8C"/>
    <w:rsid w:val="008638A0"/>
    <w:rsid w:val="00863D72"/>
    <w:rsid w:val="00870B8F"/>
    <w:rsid w:val="00871512"/>
    <w:rsid w:val="00871D69"/>
    <w:rsid w:val="0088208C"/>
    <w:rsid w:val="0089128A"/>
    <w:rsid w:val="008925FA"/>
    <w:rsid w:val="0089320D"/>
    <w:rsid w:val="008A30D7"/>
    <w:rsid w:val="008A3161"/>
    <w:rsid w:val="008B11DD"/>
    <w:rsid w:val="008B4B20"/>
    <w:rsid w:val="008B58CA"/>
    <w:rsid w:val="008C1C22"/>
    <w:rsid w:val="008C1F11"/>
    <w:rsid w:val="008D2270"/>
    <w:rsid w:val="008D738C"/>
    <w:rsid w:val="008E03DE"/>
    <w:rsid w:val="008E5016"/>
    <w:rsid w:val="008E5D01"/>
    <w:rsid w:val="008F3757"/>
    <w:rsid w:val="008F475E"/>
    <w:rsid w:val="008F5023"/>
    <w:rsid w:val="008F5DD1"/>
    <w:rsid w:val="00900A8D"/>
    <w:rsid w:val="00902AC0"/>
    <w:rsid w:val="009056CE"/>
    <w:rsid w:val="00906252"/>
    <w:rsid w:val="00912594"/>
    <w:rsid w:val="0092055C"/>
    <w:rsid w:val="00922944"/>
    <w:rsid w:val="00922C6C"/>
    <w:rsid w:val="009242BD"/>
    <w:rsid w:val="0092773C"/>
    <w:rsid w:val="00936001"/>
    <w:rsid w:val="00936FFD"/>
    <w:rsid w:val="009371B4"/>
    <w:rsid w:val="00940F9A"/>
    <w:rsid w:val="0094538E"/>
    <w:rsid w:val="00950472"/>
    <w:rsid w:val="00955692"/>
    <w:rsid w:val="00960A10"/>
    <w:rsid w:val="00962BDD"/>
    <w:rsid w:val="00962EA7"/>
    <w:rsid w:val="0096424E"/>
    <w:rsid w:val="0096451B"/>
    <w:rsid w:val="00967E4D"/>
    <w:rsid w:val="009715BB"/>
    <w:rsid w:val="00974951"/>
    <w:rsid w:val="009753C7"/>
    <w:rsid w:val="00976F13"/>
    <w:rsid w:val="0097710F"/>
    <w:rsid w:val="009809F3"/>
    <w:rsid w:val="00985387"/>
    <w:rsid w:val="00991859"/>
    <w:rsid w:val="009944FA"/>
    <w:rsid w:val="00994AB5"/>
    <w:rsid w:val="00994F3F"/>
    <w:rsid w:val="00995DEA"/>
    <w:rsid w:val="00996063"/>
    <w:rsid w:val="0099669C"/>
    <w:rsid w:val="009976B6"/>
    <w:rsid w:val="009A1E5C"/>
    <w:rsid w:val="009A20FD"/>
    <w:rsid w:val="009A3E2D"/>
    <w:rsid w:val="009A7508"/>
    <w:rsid w:val="009B1937"/>
    <w:rsid w:val="009B1A40"/>
    <w:rsid w:val="009B2769"/>
    <w:rsid w:val="009B7503"/>
    <w:rsid w:val="009C0E8E"/>
    <w:rsid w:val="009C2917"/>
    <w:rsid w:val="009C2AB7"/>
    <w:rsid w:val="009C5EC9"/>
    <w:rsid w:val="009C6911"/>
    <w:rsid w:val="009C6D0E"/>
    <w:rsid w:val="009C71EA"/>
    <w:rsid w:val="009C7BF9"/>
    <w:rsid w:val="009D127F"/>
    <w:rsid w:val="009D1510"/>
    <w:rsid w:val="009D3302"/>
    <w:rsid w:val="009D60C4"/>
    <w:rsid w:val="009E363A"/>
    <w:rsid w:val="009E41B7"/>
    <w:rsid w:val="009E421C"/>
    <w:rsid w:val="009E46F3"/>
    <w:rsid w:val="009F071B"/>
    <w:rsid w:val="009F0F1D"/>
    <w:rsid w:val="009F19D7"/>
    <w:rsid w:val="009F5228"/>
    <w:rsid w:val="009F5906"/>
    <w:rsid w:val="009F6C62"/>
    <w:rsid w:val="00A028AA"/>
    <w:rsid w:val="00A02DFD"/>
    <w:rsid w:val="00A066CC"/>
    <w:rsid w:val="00A074D0"/>
    <w:rsid w:val="00A12DF7"/>
    <w:rsid w:val="00A148AD"/>
    <w:rsid w:val="00A1570C"/>
    <w:rsid w:val="00A158CB"/>
    <w:rsid w:val="00A276D0"/>
    <w:rsid w:val="00A30F33"/>
    <w:rsid w:val="00A33C95"/>
    <w:rsid w:val="00A34295"/>
    <w:rsid w:val="00A34E2D"/>
    <w:rsid w:val="00A353D3"/>
    <w:rsid w:val="00A35F73"/>
    <w:rsid w:val="00A407D6"/>
    <w:rsid w:val="00A463AF"/>
    <w:rsid w:val="00A4682C"/>
    <w:rsid w:val="00A518B7"/>
    <w:rsid w:val="00A543E4"/>
    <w:rsid w:val="00A550D9"/>
    <w:rsid w:val="00A56872"/>
    <w:rsid w:val="00A642E6"/>
    <w:rsid w:val="00A65319"/>
    <w:rsid w:val="00A6560C"/>
    <w:rsid w:val="00A65D8C"/>
    <w:rsid w:val="00A6744B"/>
    <w:rsid w:val="00A70CF0"/>
    <w:rsid w:val="00A71A28"/>
    <w:rsid w:val="00A74651"/>
    <w:rsid w:val="00A75BBB"/>
    <w:rsid w:val="00A806CE"/>
    <w:rsid w:val="00A82158"/>
    <w:rsid w:val="00A835B3"/>
    <w:rsid w:val="00A84002"/>
    <w:rsid w:val="00A91267"/>
    <w:rsid w:val="00A940CB"/>
    <w:rsid w:val="00A96D41"/>
    <w:rsid w:val="00A97B43"/>
    <w:rsid w:val="00AA69D2"/>
    <w:rsid w:val="00AA7922"/>
    <w:rsid w:val="00AB43F5"/>
    <w:rsid w:val="00AB6CD2"/>
    <w:rsid w:val="00AC769A"/>
    <w:rsid w:val="00AD10D5"/>
    <w:rsid w:val="00AD1B90"/>
    <w:rsid w:val="00AD2E92"/>
    <w:rsid w:val="00AD4DA3"/>
    <w:rsid w:val="00AD5B3C"/>
    <w:rsid w:val="00AE0D85"/>
    <w:rsid w:val="00AE1750"/>
    <w:rsid w:val="00AE4287"/>
    <w:rsid w:val="00AE5791"/>
    <w:rsid w:val="00AE6EC5"/>
    <w:rsid w:val="00AF2E55"/>
    <w:rsid w:val="00AF428F"/>
    <w:rsid w:val="00B01531"/>
    <w:rsid w:val="00B01CE3"/>
    <w:rsid w:val="00B02A13"/>
    <w:rsid w:val="00B04E40"/>
    <w:rsid w:val="00B05DE5"/>
    <w:rsid w:val="00B0733C"/>
    <w:rsid w:val="00B21E5B"/>
    <w:rsid w:val="00B22BB7"/>
    <w:rsid w:val="00B23C03"/>
    <w:rsid w:val="00B24281"/>
    <w:rsid w:val="00B24DA3"/>
    <w:rsid w:val="00B2739B"/>
    <w:rsid w:val="00B27D87"/>
    <w:rsid w:val="00B374BE"/>
    <w:rsid w:val="00B4178F"/>
    <w:rsid w:val="00B4381E"/>
    <w:rsid w:val="00B43E47"/>
    <w:rsid w:val="00B45914"/>
    <w:rsid w:val="00B47575"/>
    <w:rsid w:val="00B47E22"/>
    <w:rsid w:val="00B47E79"/>
    <w:rsid w:val="00B534A4"/>
    <w:rsid w:val="00B54A4E"/>
    <w:rsid w:val="00B54E09"/>
    <w:rsid w:val="00B577F7"/>
    <w:rsid w:val="00B57824"/>
    <w:rsid w:val="00B62988"/>
    <w:rsid w:val="00B64323"/>
    <w:rsid w:val="00B7063B"/>
    <w:rsid w:val="00B72332"/>
    <w:rsid w:val="00B745BE"/>
    <w:rsid w:val="00B76239"/>
    <w:rsid w:val="00B82EC3"/>
    <w:rsid w:val="00B90DFF"/>
    <w:rsid w:val="00B9210E"/>
    <w:rsid w:val="00B955B0"/>
    <w:rsid w:val="00B97E49"/>
    <w:rsid w:val="00BA2160"/>
    <w:rsid w:val="00BA2F06"/>
    <w:rsid w:val="00BA362A"/>
    <w:rsid w:val="00BB129C"/>
    <w:rsid w:val="00BB33BE"/>
    <w:rsid w:val="00BB54B3"/>
    <w:rsid w:val="00BB7DE9"/>
    <w:rsid w:val="00BC3033"/>
    <w:rsid w:val="00BC3BAA"/>
    <w:rsid w:val="00BC44B0"/>
    <w:rsid w:val="00BC55C7"/>
    <w:rsid w:val="00BC5F5B"/>
    <w:rsid w:val="00BC7F8B"/>
    <w:rsid w:val="00BD1534"/>
    <w:rsid w:val="00BD2C15"/>
    <w:rsid w:val="00BD2F0A"/>
    <w:rsid w:val="00BD7A61"/>
    <w:rsid w:val="00BD7E7A"/>
    <w:rsid w:val="00BE1E34"/>
    <w:rsid w:val="00BE22F7"/>
    <w:rsid w:val="00BE3325"/>
    <w:rsid w:val="00BE33C0"/>
    <w:rsid w:val="00BE61A1"/>
    <w:rsid w:val="00BE7334"/>
    <w:rsid w:val="00BF467B"/>
    <w:rsid w:val="00BF4BF2"/>
    <w:rsid w:val="00C00493"/>
    <w:rsid w:val="00C004DC"/>
    <w:rsid w:val="00C00ABB"/>
    <w:rsid w:val="00C00BF3"/>
    <w:rsid w:val="00C0673C"/>
    <w:rsid w:val="00C0715C"/>
    <w:rsid w:val="00C10D34"/>
    <w:rsid w:val="00C15D0F"/>
    <w:rsid w:val="00C16031"/>
    <w:rsid w:val="00C165F5"/>
    <w:rsid w:val="00C179B7"/>
    <w:rsid w:val="00C205B6"/>
    <w:rsid w:val="00C20D66"/>
    <w:rsid w:val="00C23D8A"/>
    <w:rsid w:val="00C25F3D"/>
    <w:rsid w:val="00C2670C"/>
    <w:rsid w:val="00C2746E"/>
    <w:rsid w:val="00C3038B"/>
    <w:rsid w:val="00C309F4"/>
    <w:rsid w:val="00C3152E"/>
    <w:rsid w:val="00C32925"/>
    <w:rsid w:val="00C358AE"/>
    <w:rsid w:val="00C366E5"/>
    <w:rsid w:val="00C37689"/>
    <w:rsid w:val="00C44D3B"/>
    <w:rsid w:val="00C45F83"/>
    <w:rsid w:val="00C50712"/>
    <w:rsid w:val="00C55737"/>
    <w:rsid w:val="00C56397"/>
    <w:rsid w:val="00C60D20"/>
    <w:rsid w:val="00C618D4"/>
    <w:rsid w:val="00C629B9"/>
    <w:rsid w:val="00C63E0A"/>
    <w:rsid w:val="00C650C4"/>
    <w:rsid w:val="00C678ED"/>
    <w:rsid w:val="00C7041A"/>
    <w:rsid w:val="00C711E1"/>
    <w:rsid w:val="00C72A7C"/>
    <w:rsid w:val="00C72AB6"/>
    <w:rsid w:val="00C742AD"/>
    <w:rsid w:val="00C7436A"/>
    <w:rsid w:val="00C74B3C"/>
    <w:rsid w:val="00C772BF"/>
    <w:rsid w:val="00C81268"/>
    <w:rsid w:val="00C90684"/>
    <w:rsid w:val="00C939CD"/>
    <w:rsid w:val="00C9467E"/>
    <w:rsid w:val="00C953F5"/>
    <w:rsid w:val="00C95596"/>
    <w:rsid w:val="00C9768D"/>
    <w:rsid w:val="00CA4CA6"/>
    <w:rsid w:val="00CA51D0"/>
    <w:rsid w:val="00CA6012"/>
    <w:rsid w:val="00CA62BF"/>
    <w:rsid w:val="00CB0085"/>
    <w:rsid w:val="00CB2518"/>
    <w:rsid w:val="00CB641E"/>
    <w:rsid w:val="00CB75C8"/>
    <w:rsid w:val="00CC2EB3"/>
    <w:rsid w:val="00CD1A74"/>
    <w:rsid w:val="00CD7EA4"/>
    <w:rsid w:val="00CE13E1"/>
    <w:rsid w:val="00CE1479"/>
    <w:rsid w:val="00CE1A5A"/>
    <w:rsid w:val="00CE2637"/>
    <w:rsid w:val="00CE49D5"/>
    <w:rsid w:val="00CE6A72"/>
    <w:rsid w:val="00CE7D28"/>
    <w:rsid w:val="00CF4251"/>
    <w:rsid w:val="00CF54D9"/>
    <w:rsid w:val="00D02007"/>
    <w:rsid w:val="00D022C0"/>
    <w:rsid w:val="00D03EF0"/>
    <w:rsid w:val="00D1284C"/>
    <w:rsid w:val="00D1293C"/>
    <w:rsid w:val="00D14871"/>
    <w:rsid w:val="00D16200"/>
    <w:rsid w:val="00D165B6"/>
    <w:rsid w:val="00D175B8"/>
    <w:rsid w:val="00D22A2B"/>
    <w:rsid w:val="00D2419C"/>
    <w:rsid w:val="00D324C8"/>
    <w:rsid w:val="00D36446"/>
    <w:rsid w:val="00D36D64"/>
    <w:rsid w:val="00D40618"/>
    <w:rsid w:val="00D44EE3"/>
    <w:rsid w:val="00D45110"/>
    <w:rsid w:val="00D45E45"/>
    <w:rsid w:val="00D5003C"/>
    <w:rsid w:val="00D50243"/>
    <w:rsid w:val="00D50E93"/>
    <w:rsid w:val="00D53DC9"/>
    <w:rsid w:val="00D54187"/>
    <w:rsid w:val="00D54475"/>
    <w:rsid w:val="00D558A5"/>
    <w:rsid w:val="00D57127"/>
    <w:rsid w:val="00D6594E"/>
    <w:rsid w:val="00D662B4"/>
    <w:rsid w:val="00D665FF"/>
    <w:rsid w:val="00D666CD"/>
    <w:rsid w:val="00D66CCD"/>
    <w:rsid w:val="00D66F5E"/>
    <w:rsid w:val="00D678EE"/>
    <w:rsid w:val="00D71684"/>
    <w:rsid w:val="00D72DCA"/>
    <w:rsid w:val="00D739E3"/>
    <w:rsid w:val="00D73AF2"/>
    <w:rsid w:val="00D75BCA"/>
    <w:rsid w:val="00D8129D"/>
    <w:rsid w:val="00D84845"/>
    <w:rsid w:val="00D87DAA"/>
    <w:rsid w:val="00D90B19"/>
    <w:rsid w:val="00DA2A86"/>
    <w:rsid w:val="00DA38DD"/>
    <w:rsid w:val="00DA609F"/>
    <w:rsid w:val="00DB101E"/>
    <w:rsid w:val="00DB51A8"/>
    <w:rsid w:val="00DB6689"/>
    <w:rsid w:val="00DB6BD0"/>
    <w:rsid w:val="00DC0F15"/>
    <w:rsid w:val="00DC1A83"/>
    <w:rsid w:val="00DC3713"/>
    <w:rsid w:val="00DC4780"/>
    <w:rsid w:val="00DD41FA"/>
    <w:rsid w:val="00DD49D4"/>
    <w:rsid w:val="00DD63A4"/>
    <w:rsid w:val="00DE3184"/>
    <w:rsid w:val="00DE566D"/>
    <w:rsid w:val="00DE6A2C"/>
    <w:rsid w:val="00DF4809"/>
    <w:rsid w:val="00DF777D"/>
    <w:rsid w:val="00DF7EA2"/>
    <w:rsid w:val="00E01041"/>
    <w:rsid w:val="00E03A2C"/>
    <w:rsid w:val="00E052D3"/>
    <w:rsid w:val="00E06492"/>
    <w:rsid w:val="00E12509"/>
    <w:rsid w:val="00E13206"/>
    <w:rsid w:val="00E14ABE"/>
    <w:rsid w:val="00E16862"/>
    <w:rsid w:val="00E16C7A"/>
    <w:rsid w:val="00E206D4"/>
    <w:rsid w:val="00E223C5"/>
    <w:rsid w:val="00E22EC4"/>
    <w:rsid w:val="00E258F8"/>
    <w:rsid w:val="00E34218"/>
    <w:rsid w:val="00E34E37"/>
    <w:rsid w:val="00E36075"/>
    <w:rsid w:val="00E4079E"/>
    <w:rsid w:val="00E407BE"/>
    <w:rsid w:val="00E45FD8"/>
    <w:rsid w:val="00E478F3"/>
    <w:rsid w:val="00E55034"/>
    <w:rsid w:val="00E55F42"/>
    <w:rsid w:val="00E562E0"/>
    <w:rsid w:val="00E56794"/>
    <w:rsid w:val="00E57A90"/>
    <w:rsid w:val="00E610F1"/>
    <w:rsid w:val="00E6137C"/>
    <w:rsid w:val="00E65F98"/>
    <w:rsid w:val="00E67714"/>
    <w:rsid w:val="00E729FD"/>
    <w:rsid w:val="00E76384"/>
    <w:rsid w:val="00E767F7"/>
    <w:rsid w:val="00E8210F"/>
    <w:rsid w:val="00E84B74"/>
    <w:rsid w:val="00E85445"/>
    <w:rsid w:val="00E872DE"/>
    <w:rsid w:val="00E91636"/>
    <w:rsid w:val="00E92646"/>
    <w:rsid w:val="00E92FE9"/>
    <w:rsid w:val="00E93805"/>
    <w:rsid w:val="00E958B2"/>
    <w:rsid w:val="00E959B6"/>
    <w:rsid w:val="00EA0F4E"/>
    <w:rsid w:val="00EA7CE5"/>
    <w:rsid w:val="00EB3FF4"/>
    <w:rsid w:val="00EB7E3B"/>
    <w:rsid w:val="00EC0A9D"/>
    <w:rsid w:val="00EC196B"/>
    <w:rsid w:val="00EC366F"/>
    <w:rsid w:val="00EC400E"/>
    <w:rsid w:val="00EC4442"/>
    <w:rsid w:val="00EC44EB"/>
    <w:rsid w:val="00EC512C"/>
    <w:rsid w:val="00EC67BE"/>
    <w:rsid w:val="00EC6ABF"/>
    <w:rsid w:val="00EE2F1D"/>
    <w:rsid w:val="00EE41A3"/>
    <w:rsid w:val="00EE4CC9"/>
    <w:rsid w:val="00EE53BD"/>
    <w:rsid w:val="00EE54E6"/>
    <w:rsid w:val="00EE683B"/>
    <w:rsid w:val="00EF0DDC"/>
    <w:rsid w:val="00EF1AAA"/>
    <w:rsid w:val="00EF6BEE"/>
    <w:rsid w:val="00F037D3"/>
    <w:rsid w:val="00F03BC1"/>
    <w:rsid w:val="00F0698A"/>
    <w:rsid w:val="00F06D39"/>
    <w:rsid w:val="00F07B1E"/>
    <w:rsid w:val="00F11043"/>
    <w:rsid w:val="00F175BA"/>
    <w:rsid w:val="00F2007E"/>
    <w:rsid w:val="00F2052E"/>
    <w:rsid w:val="00F20834"/>
    <w:rsid w:val="00F20DF9"/>
    <w:rsid w:val="00F21756"/>
    <w:rsid w:val="00F222A9"/>
    <w:rsid w:val="00F224E3"/>
    <w:rsid w:val="00F232EA"/>
    <w:rsid w:val="00F25085"/>
    <w:rsid w:val="00F25FA0"/>
    <w:rsid w:val="00F2724C"/>
    <w:rsid w:val="00F3176A"/>
    <w:rsid w:val="00F337EF"/>
    <w:rsid w:val="00F33C61"/>
    <w:rsid w:val="00F37DC9"/>
    <w:rsid w:val="00F407CF"/>
    <w:rsid w:val="00F42D0D"/>
    <w:rsid w:val="00F558DF"/>
    <w:rsid w:val="00F63F10"/>
    <w:rsid w:val="00F64132"/>
    <w:rsid w:val="00F7364E"/>
    <w:rsid w:val="00F7523C"/>
    <w:rsid w:val="00F777D5"/>
    <w:rsid w:val="00F77EAA"/>
    <w:rsid w:val="00F80DAC"/>
    <w:rsid w:val="00F81672"/>
    <w:rsid w:val="00F81707"/>
    <w:rsid w:val="00F83AA9"/>
    <w:rsid w:val="00F8547F"/>
    <w:rsid w:val="00F8739C"/>
    <w:rsid w:val="00F94359"/>
    <w:rsid w:val="00FA6076"/>
    <w:rsid w:val="00FB1138"/>
    <w:rsid w:val="00FB464E"/>
    <w:rsid w:val="00FB4A9C"/>
    <w:rsid w:val="00FB68D6"/>
    <w:rsid w:val="00FB7331"/>
    <w:rsid w:val="00FC0178"/>
    <w:rsid w:val="00FC0950"/>
    <w:rsid w:val="00FC234A"/>
    <w:rsid w:val="00FC41F4"/>
    <w:rsid w:val="00FD1144"/>
    <w:rsid w:val="00FD6FFF"/>
    <w:rsid w:val="00FE08CA"/>
    <w:rsid w:val="00FE1E49"/>
    <w:rsid w:val="00FE2642"/>
    <w:rsid w:val="00FE37EC"/>
    <w:rsid w:val="00FE3D16"/>
    <w:rsid w:val="00FE6BAF"/>
    <w:rsid w:val="00FF1CAB"/>
    <w:rsid w:val="00FF4513"/>
    <w:rsid w:val="00FF72A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5:docId w15:val="{E3AB64FC-45A6-4AB7-B2AD-82739D1B73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SimSun"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74AE5"/>
    <w:pPr>
      <w:spacing w:after="200" w:line="276" w:lineRule="auto"/>
    </w:pPr>
    <w:rPr>
      <w:sz w:val="22"/>
      <w:szCs w:val="22"/>
      <w:lang w:eastAsia="en-US"/>
    </w:rPr>
  </w:style>
  <w:style w:type="paragraph" w:styleId="1">
    <w:name w:val="heading 1"/>
    <w:basedOn w:val="a"/>
    <w:next w:val="a"/>
    <w:link w:val="10"/>
    <w:uiPriority w:val="9"/>
    <w:qFormat/>
    <w:rsid w:val="00074AE5"/>
    <w:pPr>
      <w:keepNext/>
      <w:keepLines/>
      <w:spacing w:before="480" w:after="0"/>
      <w:outlineLvl w:val="0"/>
    </w:pPr>
    <w:rPr>
      <w:rFonts w:ascii="Cambria" w:eastAsia="Arial" w:hAnsi="Cambria"/>
      <w:b/>
      <w:bCs/>
      <w:color w:val="365F91"/>
      <w:sz w:val="28"/>
      <w:szCs w:val="28"/>
    </w:rPr>
  </w:style>
  <w:style w:type="paragraph" w:styleId="2">
    <w:name w:val="heading 2"/>
    <w:basedOn w:val="a"/>
    <w:next w:val="a"/>
    <w:link w:val="20"/>
    <w:uiPriority w:val="9"/>
    <w:unhideWhenUsed/>
    <w:qFormat/>
    <w:rsid w:val="00074AE5"/>
    <w:pPr>
      <w:keepNext/>
      <w:keepLines/>
      <w:spacing w:before="200" w:after="0"/>
      <w:outlineLvl w:val="1"/>
    </w:pPr>
    <w:rPr>
      <w:rFonts w:ascii="Cambria" w:eastAsia="Arial" w:hAnsi="Cambria"/>
      <w:b/>
      <w:bCs/>
      <w:color w:val="4F81BD"/>
      <w:sz w:val="26"/>
      <w:szCs w:val="26"/>
    </w:rPr>
  </w:style>
  <w:style w:type="paragraph" w:styleId="3">
    <w:name w:val="heading 3"/>
    <w:basedOn w:val="a"/>
    <w:next w:val="a"/>
    <w:link w:val="30"/>
    <w:uiPriority w:val="9"/>
    <w:unhideWhenUsed/>
    <w:qFormat/>
    <w:rsid w:val="00074AE5"/>
    <w:pPr>
      <w:keepNext/>
      <w:keepLines/>
      <w:spacing w:before="40" w:after="0"/>
      <w:outlineLvl w:val="2"/>
    </w:pPr>
    <w:rPr>
      <w:rFonts w:ascii="Cambria" w:eastAsia="Arial" w:hAnsi="Cambria"/>
      <w:color w:val="243F60"/>
      <w:sz w:val="24"/>
      <w:szCs w:val="24"/>
    </w:rPr>
  </w:style>
  <w:style w:type="paragraph" w:styleId="4">
    <w:name w:val="heading 4"/>
    <w:basedOn w:val="a"/>
    <w:next w:val="a"/>
    <w:link w:val="40"/>
    <w:uiPriority w:val="9"/>
    <w:unhideWhenUsed/>
    <w:qFormat/>
    <w:rsid w:val="00074AE5"/>
    <w:pPr>
      <w:keepNext/>
      <w:keepLines/>
      <w:spacing w:before="80" w:after="40"/>
      <w:outlineLvl w:val="3"/>
    </w:pPr>
    <w:rPr>
      <w:rFonts w:ascii="Arial" w:eastAsia="Arial" w:hAnsi="Arial"/>
      <w:i/>
      <w:iCs/>
      <w:color w:val="365F91"/>
      <w:sz w:val="20"/>
      <w:szCs w:val="20"/>
    </w:rPr>
  </w:style>
  <w:style w:type="paragraph" w:styleId="5">
    <w:name w:val="heading 5"/>
    <w:basedOn w:val="a"/>
    <w:next w:val="a"/>
    <w:link w:val="50"/>
    <w:uiPriority w:val="9"/>
    <w:unhideWhenUsed/>
    <w:qFormat/>
    <w:rsid w:val="00074AE5"/>
    <w:pPr>
      <w:keepNext/>
      <w:keepLines/>
      <w:spacing w:before="80" w:after="40"/>
      <w:outlineLvl w:val="4"/>
    </w:pPr>
    <w:rPr>
      <w:rFonts w:ascii="Arial" w:eastAsia="Arial" w:hAnsi="Arial"/>
      <w:color w:val="365F91"/>
      <w:sz w:val="20"/>
      <w:szCs w:val="20"/>
    </w:rPr>
  </w:style>
  <w:style w:type="paragraph" w:styleId="6">
    <w:name w:val="heading 6"/>
    <w:basedOn w:val="a"/>
    <w:next w:val="a"/>
    <w:link w:val="60"/>
    <w:uiPriority w:val="9"/>
    <w:unhideWhenUsed/>
    <w:qFormat/>
    <w:rsid w:val="00074AE5"/>
    <w:pPr>
      <w:keepNext/>
      <w:keepLines/>
      <w:spacing w:before="40" w:after="0"/>
      <w:outlineLvl w:val="5"/>
    </w:pPr>
    <w:rPr>
      <w:rFonts w:ascii="Arial" w:eastAsia="Arial" w:hAnsi="Arial"/>
      <w:i/>
      <w:iCs/>
      <w:color w:val="595959"/>
      <w:sz w:val="20"/>
      <w:szCs w:val="20"/>
    </w:rPr>
  </w:style>
  <w:style w:type="paragraph" w:styleId="7">
    <w:name w:val="heading 7"/>
    <w:basedOn w:val="a"/>
    <w:next w:val="a"/>
    <w:link w:val="70"/>
    <w:uiPriority w:val="9"/>
    <w:unhideWhenUsed/>
    <w:qFormat/>
    <w:rsid w:val="00074AE5"/>
    <w:pPr>
      <w:keepNext/>
      <w:keepLines/>
      <w:spacing w:before="40" w:after="0"/>
      <w:outlineLvl w:val="6"/>
    </w:pPr>
    <w:rPr>
      <w:rFonts w:ascii="Arial" w:eastAsia="Arial" w:hAnsi="Arial"/>
      <w:color w:val="595959"/>
      <w:sz w:val="20"/>
      <w:szCs w:val="20"/>
    </w:rPr>
  </w:style>
  <w:style w:type="paragraph" w:styleId="8">
    <w:name w:val="heading 8"/>
    <w:basedOn w:val="a"/>
    <w:next w:val="a"/>
    <w:link w:val="80"/>
    <w:uiPriority w:val="9"/>
    <w:unhideWhenUsed/>
    <w:qFormat/>
    <w:rsid w:val="00074AE5"/>
    <w:pPr>
      <w:keepNext/>
      <w:keepLines/>
      <w:spacing w:after="0"/>
      <w:outlineLvl w:val="7"/>
    </w:pPr>
    <w:rPr>
      <w:rFonts w:ascii="Arial" w:eastAsia="Arial" w:hAnsi="Arial"/>
      <w:i/>
      <w:iCs/>
      <w:color w:val="272727"/>
      <w:sz w:val="20"/>
      <w:szCs w:val="20"/>
    </w:rPr>
  </w:style>
  <w:style w:type="paragraph" w:styleId="9">
    <w:name w:val="heading 9"/>
    <w:basedOn w:val="a"/>
    <w:next w:val="a"/>
    <w:link w:val="90"/>
    <w:uiPriority w:val="9"/>
    <w:unhideWhenUsed/>
    <w:qFormat/>
    <w:rsid w:val="00074AE5"/>
    <w:pPr>
      <w:keepNext/>
      <w:keepLines/>
      <w:spacing w:after="0"/>
      <w:outlineLvl w:val="8"/>
    </w:pPr>
    <w:rPr>
      <w:rFonts w:ascii="Arial" w:eastAsia="Arial" w:hAnsi="Arial"/>
      <w:i/>
      <w:iCs/>
      <w:color w:val="272727"/>
      <w:sz w:val="20"/>
      <w:szCs w:val="20"/>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eading4Char">
    <w:name w:val="Heading 4 Char"/>
    <w:uiPriority w:val="9"/>
    <w:rsid w:val="00074AE5"/>
    <w:rPr>
      <w:rFonts w:ascii="Arial" w:eastAsia="Arial" w:hAnsi="Arial" w:cs="Arial"/>
      <w:i/>
      <w:iCs/>
      <w:color w:val="365F91"/>
    </w:rPr>
  </w:style>
  <w:style w:type="character" w:customStyle="1" w:styleId="Heading5Char">
    <w:name w:val="Heading 5 Char"/>
    <w:uiPriority w:val="9"/>
    <w:rsid w:val="00074AE5"/>
    <w:rPr>
      <w:rFonts w:ascii="Arial" w:eastAsia="Arial" w:hAnsi="Arial" w:cs="Arial"/>
      <w:color w:val="365F91"/>
    </w:rPr>
  </w:style>
  <w:style w:type="character" w:customStyle="1" w:styleId="Heading6Char">
    <w:name w:val="Heading 6 Char"/>
    <w:uiPriority w:val="9"/>
    <w:rsid w:val="00074AE5"/>
    <w:rPr>
      <w:rFonts w:ascii="Arial" w:eastAsia="Arial" w:hAnsi="Arial" w:cs="Arial"/>
      <w:i/>
      <w:iCs/>
      <w:color w:val="595959"/>
    </w:rPr>
  </w:style>
  <w:style w:type="character" w:customStyle="1" w:styleId="Heading7Char">
    <w:name w:val="Heading 7 Char"/>
    <w:uiPriority w:val="9"/>
    <w:rsid w:val="00074AE5"/>
    <w:rPr>
      <w:rFonts w:ascii="Arial" w:eastAsia="Arial" w:hAnsi="Arial" w:cs="Arial"/>
      <w:color w:val="595959"/>
    </w:rPr>
  </w:style>
  <w:style w:type="character" w:customStyle="1" w:styleId="Heading8Char">
    <w:name w:val="Heading 8 Char"/>
    <w:uiPriority w:val="9"/>
    <w:rsid w:val="00074AE5"/>
    <w:rPr>
      <w:rFonts w:ascii="Arial" w:eastAsia="Arial" w:hAnsi="Arial" w:cs="Arial"/>
      <w:i/>
      <w:iCs/>
      <w:color w:val="272727"/>
    </w:rPr>
  </w:style>
  <w:style w:type="character" w:customStyle="1" w:styleId="Heading9Char">
    <w:name w:val="Heading 9 Char"/>
    <w:uiPriority w:val="9"/>
    <w:rsid w:val="00074AE5"/>
    <w:rPr>
      <w:rFonts w:ascii="Arial" w:eastAsia="Arial" w:hAnsi="Arial" w:cs="Arial"/>
      <w:i/>
      <w:iCs/>
      <w:color w:val="272727"/>
    </w:rPr>
  </w:style>
  <w:style w:type="character" w:customStyle="1" w:styleId="TitleChar">
    <w:name w:val="Title Char"/>
    <w:uiPriority w:val="10"/>
    <w:rsid w:val="00074AE5"/>
    <w:rPr>
      <w:rFonts w:ascii="Arial" w:eastAsia="Arial" w:hAnsi="Arial" w:cs="Arial"/>
      <w:spacing w:val="-10"/>
      <w:sz w:val="56"/>
      <w:szCs w:val="56"/>
    </w:rPr>
  </w:style>
  <w:style w:type="character" w:customStyle="1" w:styleId="QuoteChar">
    <w:name w:val="Quote Char"/>
    <w:uiPriority w:val="29"/>
    <w:rsid w:val="00074AE5"/>
    <w:rPr>
      <w:i/>
      <w:iCs/>
      <w:color w:val="404040"/>
    </w:rPr>
  </w:style>
  <w:style w:type="character" w:customStyle="1" w:styleId="IntenseQuoteChar">
    <w:name w:val="Intense Quote Char"/>
    <w:uiPriority w:val="30"/>
    <w:rsid w:val="00074AE5"/>
    <w:rPr>
      <w:i/>
      <w:iCs/>
      <w:color w:val="365F91"/>
    </w:rPr>
  </w:style>
  <w:style w:type="character" w:customStyle="1" w:styleId="EndnoteTextChar">
    <w:name w:val="Endnote Text Char"/>
    <w:uiPriority w:val="99"/>
    <w:semiHidden/>
    <w:rsid w:val="00074AE5"/>
    <w:rPr>
      <w:sz w:val="20"/>
      <w:szCs w:val="20"/>
    </w:rPr>
  </w:style>
  <w:style w:type="table" w:customStyle="1" w:styleId="TableGridLight">
    <w:name w:val="Table Grid Light"/>
    <w:basedOn w:val="a1"/>
    <w:uiPriority w:val="59"/>
    <w:rsid w:val="00074AE5"/>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style>
  <w:style w:type="table" w:customStyle="1" w:styleId="11">
    <w:name w:val="Таблица простая 11"/>
    <w:basedOn w:val="a1"/>
    <w:uiPriority w:val="59"/>
    <w:rsid w:val="00074AE5"/>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fill="F2F2F2"/>
      </w:tcPr>
    </w:tblStylePr>
    <w:tblStylePr w:type="band1Horz">
      <w:tblPr/>
      <w:tcPr>
        <w:shd w:val="clear" w:color="F2F2F2" w:fill="F2F2F2"/>
      </w:tcPr>
    </w:tblStylePr>
  </w:style>
  <w:style w:type="table" w:customStyle="1" w:styleId="21">
    <w:name w:val="Таблица простая 21"/>
    <w:basedOn w:val="a1"/>
    <w:uiPriority w:val="59"/>
    <w:rsid w:val="00074AE5"/>
    <w:tblPr>
      <w:tblBorders>
        <w:top w:val="single" w:sz="4" w:space="0" w:color="000000"/>
        <w:left w:val="none" w:sz="4" w:space="0" w:color="000000"/>
        <w:bottom w:val="single" w:sz="4" w:space="0" w:color="000000"/>
        <w:right w:val="none" w:sz="4" w:space="0" w:color="000000"/>
      </w:tblBorders>
    </w:tblPr>
    <w:tblStylePr w:type="firstRow">
      <w:rPr>
        <w:rFonts w:ascii="Arial" w:hAnsi="Arial"/>
        <w:b/>
        <w:color w:val="404040"/>
        <w:sz w:val="22"/>
      </w:rPr>
      <w:tblPr/>
      <w:tcPr>
        <w:tcBorders>
          <w:top w:val="single" w:sz="4" w:space="0" w:color="000000"/>
          <w:bottom w:val="single" w:sz="4" w:space="0" w:color="00000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right w:val="single" w:sz="4" w:space="0" w:color="000000"/>
        </w:tcBorders>
      </w:tcPr>
    </w:tblStylePr>
    <w:tblStylePr w:type="band2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style>
  <w:style w:type="table" w:customStyle="1" w:styleId="31">
    <w:name w:val="Таблица простая 31"/>
    <w:basedOn w:val="a1"/>
    <w:uiPriority w:val="99"/>
    <w:rsid w:val="00074AE5"/>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41">
    <w:name w:val="Таблица простая 41"/>
    <w:basedOn w:val="a1"/>
    <w:uiPriority w:val="99"/>
    <w:rsid w:val="00074AE5"/>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51">
    <w:name w:val="Таблица простая 51"/>
    <w:basedOn w:val="a1"/>
    <w:uiPriority w:val="99"/>
    <w:rsid w:val="00074AE5"/>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11">
    <w:name w:val="Таблица-сетка 1 светлая1"/>
    <w:basedOn w:val="a1"/>
    <w:uiPriority w:val="99"/>
    <w:rsid w:val="00074AE5"/>
    <w:tblPr>
      <w:tblStyleRowBandSize w:val="1"/>
      <w:tblStyleColBandSize w:val="1"/>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Pr>
    <w:tblStylePr w:type="firstRow">
      <w:rPr>
        <w:b/>
        <w:color w:val="404040"/>
      </w:rPr>
      <w:tblPr/>
      <w:tcPr>
        <w:tcBorders>
          <w:bottom w:val="single" w:sz="12" w:space="0" w:color="6A6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left w:val="single" w:sz="4" w:space="0" w:color="989898"/>
          <w:bottom w:val="single" w:sz="4" w:space="0" w:color="989898"/>
          <w:right w:val="single" w:sz="4" w:space="0" w:color="989898"/>
        </w:tcBorders>
      </w:tcPr>
    </w:tblStylePr>
  </w:style>
  <w:style w:type="table" w:customStyle="1" w:styleId="GridTable1Light-Accent1">
    <w:name w:val="Grid Table 1 Light - Accent 1"/>
    <w:basedOn w:val="a1"/>
    <w:uiPriority w:val="99"/>
    <w:rsid w:val="00074AE5"/>
    <w:tblPr>
      <w:tblStyleRowBandSize w:val="1"/>
      <w:tblStyleColBandSize w:val="1"/>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Pr>
    <w:tblStylePr w:type="firstRow">
      <w:rPr>
        <w:b/>
        <w:color w:val="404040"/>
      </w:rPr>
      <w:tblPr/>
      <w:tcPr>
        <w:tcBorders>
          <w:bottom w:val="single" w:sz="12" w:space="0" w:color="97B4D8"/>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left w:val="single" w:sz="4" w:space="0" w:color="B7CBE4"/>
          <w:bottom w:val="single" w:sz="4" w:space="0" w:color="B7CBE4"/>
          <w:right w:val="single" w:sz="4" w:space="0" w:color="B7CBE4"/>
        </w:tcBorders>
      </w:tcPr>
    </w:tblStylePr>
  </w:style>
  <w:style w:type="table" w:customStyle="1" w:styleId="GridTable1Light-Accent2">
    <w:name w:val="Grid Table 1 Light - Accent 2"/>
    <w:basedOn w:val="a1"/>
    <w:uiPriority w:val="99"/>
    <w:rsid w:val="00074AE5"/>
    <w:tblPr>
      <w:tblStyleRowBandSize w:val="1"/>
      <w:tblStyleColBandSize w:val="1"/>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Pr>
    <w:tblStylePr w:type="firstRow">
      <w:rPr>
        <w:b/>
        <w:color w:val="404040"/>
      </w:rPr>
      <w:tblPr/>
      <w:tcPr>
        <w:tcBorders>
          <w:bottom w:val="single" w:sz="12" w:space="0" w:color="DA989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left w:val="single" w:sz="4" w:space="0" w:color="E5B7B6"/>
          <w:bottom w:val="single" w:sz="4" w:space="0" w:color="E5B7B6"/>
          <w:right w:val="single" w:sz="4" w:space="0" w:color="E5B7B6"/>
        </w:tcBorders>
      </w:tcPr>
    </w:tblStylePr>
  </w:style>
  <w:style w:type="table" w:customStyle="1" w:styleId="GridTable1Light-Accent3">
    <w:name w:val="Grid Table 1 Light - Accent 3"/>
    <w:basedOn w:val="a1"/>
    <w:uiPriority w:val="99"/>
    <w:rsid w:val="00074AE5"/>
    <w:tblPr>
      <w:tblStyleRowBandSize w:val="1"/>
      <w:tblStyleColBandSize w:val="1"/>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Pr>
    <w:tblStylePr w:type="firstRow">
      <w:rPr>
        <w:b/>
        <w:color w:val="404040"/>
      </w:rPr>
      <w:tblPr/>
      <w:tcPr>
        <w:tcBorders>
          <w:bottom w:val="single" w:sz="12" w:space="0" w:color="C4D79D"/>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left w:val="single" w:sz="4" w:space="0" w:color="D6E3BB"/>
          <w:bottom w:val="single" w:sz="4" w:space="0" w:color="D6E3BB"/>
          <w:right w:val="single" w:sz="4" w:space="0" w:color="D6E3BB"/>
        </w:tcBorders>
      </w:tcPr>
    </w:tblStylePr>
  </w:style>
  <w:style w:type="table" w:customStyle="1" w:styleId="GridTable1Light-Accent4">
    <w:name w:val="Grid Table 1 Light - Accent 4"/>
    <w:basedOn w:val="a1"/>
    <w:uiPriority w:val="99"/>
    <w:rsid w:val="00074AE5"/>
    <w:tblPr>
      <w:tblStyleRowBandSize w:val="1"/>
      <w:tblStyleColBandSize w:val="1"/>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Pr>
    <w:tblStylePr w:type="firstRow">
      <w:rPr>
        <w:b/>
        <w:color w:val="404040"/>
      </w:rPr>
      <w:tblPr/>
      <w:tcPr>
        <w:tcBorders>
          <w:bottom w:val="single" w:sz="12" w:space="0" w:color="B4A4C8"/>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left w:val="single" w:sz="4" w:space="0" w:color="CBC0D9"/>
          <w:bottom w:val="single" w:sz="4" w:space="0" w:color="CBC0D9"/>
          <w:right w:val="single" w:sz="4" w:space="0" w:color="CBC0D9"/>
        </w:tcBorders>
      </w:tcPr>
    </w:tblStylePr>
  </w:style>
  <w:style w:type="table" w:customStyle="1" w:styleId="GridTable1Light-Accent5">
    <w:name w:val="Grid Table 1 Light - Accent 5"/>
    <w:basedOn w:val="a1"/>
    <w:uiPriority w:val="99"/>
    <w:rsid w:val="00074AE5"/>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Pr>
    <w:tblStylePr w:type="firstRow">
      <w:rPr>
        <w:b/>
        <w:color w:val="404040"/>
      </w:rPr>
      <w:tblPr/>
      <w:tcPr>
        <w:tcBorders>
          <w:bottom w:val="single" w:sz="12" w:space="0" w:color="95CEDD"/>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left w:val="single" w:sz="4" w:space="0" w:color="B6DDE8"/>
          <w:bottom w:val="single" w:sz="4" w:space="0" w:color="B6DDE8"/>
          <w:right w:val="single" w:sz="4" w:space="0" w:color="B6DDE8"/>
        </w:tcBorders>
      </w:tcPr>
    </w:tblStylePr>
  </w:style>
  <w:style w:type="table" w:customStyle="1" w:styleId="GridTable1Light-Accent6">
    <w:name w:val="Grid Table 1 Light - Accent 6"/>
    <w:basedOn w:val="a1"/>
    <w:uiPriority w:val="99"/>
    <w:rsid w:val="00074AE5"/>
    <w:tblPr>
      <w:tblStyleRowBandSize w:val="1"/>
      <w:tblStyleColBandSize w:val="1"/>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Pr>
    <w:tblStylePr w:type="firstRow">
      <w:rPr>
        <w:b/>
        <w:color w:val="404040"/>
      </w:rPr>
      <w:tblPr/>
      <w:tcPr>
        <w:tcBorders>
          <w:bottom w:val="single" w:sz="12" w:space="0" w:color="FAC192"/>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left w:val="single" w:sz="4" w:space="0" w:color="FBD4B4"/>
          <w:bottom w:val="single" w:sz="4" w:space="0" w:color="FBD4B4"/>
          <w:right w:val="single" w:sz="4" w:space="0" w:color="FBD4B4"/>
        </w:tcBorders>
      </w:tcPr>
    </w:tblStylePr>
  </w:style>
  <w:style w:type="table" w:customStyle="1" w:styleId="-21">
    <w:name w:val="Таблица-сетка 21"/>
    <w:basedOn w:val="a1"/>
    <w:uiPriority w:val="99"/>
    <w:rsid w:val="00074AE5"/>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single" w:sz="12" w:space="0" w:color="6A6A6A"/>
          <w:right w:val="none" w:sz="4" w:space="0" w:color="000000"/>
        </w:tcBorders>
        <w:shd w:val="clear" w:color="FFFFFF" w:fill="auto"/>
      </w:tcPr>
    </w:tblStylePr>
    <w:tblStylePr w:type="lastRow">
      <w:rPr>
        <w:b/>
        <w:color w:val="404040"/>
      </w:rPr>
      <w:tblPr/>
      <w:tcPr>
        <w:tcBorders>
          <w:top w:val="single" w:sz="4" w:space="0" w:color="6A6A6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2-Accent1">
    <w:name w:val="Grid Table 2 - Accent 1"/>
    <w:basedOn w:val="a1"/>
    <w:uiPriority w:val="99"/>
    <w:rsid w:val="00074AE5"/>
    <w:tblPr>
      <w:tblStyleRowBandSize w:val="1"/>
      <w:tblStyleColBandSize w:val="1"/>
      <w:tblBorders>
        <w:bottom w:val="single" w:sz="4" w:space="0" w:color="5D8AC2"/>
        <w:insideH w:val="single" w:sz="4" w:space="0" w:color="5D8AC2"/>
        <w:insideV w:val="single" w:sz="4" w:space="0" w:color="5D8AC2"/>
      </w:tblBorders>
    </w:tblPr>
    <w:tblStylePr w:type="firstRow">
      <w:rPr>
        <w:b/>
        <w:color w:val="404040"/>
      </w:rPr>
      <w:tblPr/>
      <w:tcPr>
        <w:tcBorders>
          <w:top w:val="none" w:sz="4" w:space="0" w:color="000000"/>
          <w:left w:val="none" w:sz="4" w:space="0" w:color="000000"/>
          <w:bottom w:val="single" w:sz="12" w:space="0" w:color="5D8AC2"/>
          <w:right w:val="none" w:sz="4" w:space="0" w:color="000000"/>
        </w:tcBorders>
        <w:shd w:val="clear" w:color="FFFFFF" w:fill="auto"/>
      </w:tcPr>
    </w:tblStylePr>
    <w:tblStylePr w:type="lastRow">
      <w:rPr>
        <w:b/>
        <w:color w:val="404040"/>
      </w:rPr>
      <w:tblPr/>
      <w:tcPr>
        <w:tcBorders>
          <w:top w:val="single" w:sz="4" w:space="0" w:color="5D8AC2"/>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fill="DAE5F1"/>
      </w:tcPr>
    </w:tblStylePr>
    <w:tblStylePr w:type="band1Horz">
      <w:rPr>
        <w:rFonts w:ascii="Arial" w:hAnsi="Arial"/>
        <w:color w:val="404040"/>
        <w:sz w:val="22"/>
      </w:rPr>
      <w:tblPr/>
      <w:tcPr>
        <w:shd w:val="clear" w:color="DAE5F1" w:fill="DAE5F1"/>
      </w:tcPr>
    </w:tblStylePr>
  </w:style>
  <w:style w:type="table" w:customStyle="1" w:styleId="GridTable2-Accent2">
    <w:name w:val="Grid Table 2 - Accent 2"/>
    <w:basedOn w:val="a1"/>
    <w:uiPriority w:val="99"/>
    <w:rsid w:val="00074AE5"/>
    <w:tblPr>
      <w:tblStyleRowBandSize w:val="1"/>
      <w:tblStyleColBandSize w:val="1"/>
      <w:tblBorders>
        <w:bottom w:val="single" w:sz="4" w:space="0" w:color="D99695"/>
        <w:insideH w:val="single" w:sz="4" w:space="0" w:color="D99695"/>
        <w:insideV w:val="single" w:sz="4" w:space="0" w:color="D99695"/>
      </w:tblBorders>
    </w:tblPr>
    <w:tblStylePr w:type="firstRow">
      <w:rPr>
        <w:b/>
        <w:color w:val="404040"/>
      </w:rPr>
      <w:tblPr/>
      <w:tcPr>
        <w:tcBorders>
          <w:top w:val="none" w:sz="4" w:space="0" w:color="000000"/>
          <w:left w:val="none" w:sz="4" w:space="0" w:color="000000"/>
          <w:bottom w:val="single" w:sz="12" w:space="0" w:color="D99695"/>
          <w:right w:val="none" w:sz="4" w:space="0" w:color="000000"/>
        </w:tcBorders>
        <w:shd w:val="clear" w:color="FFFFFF" w:fill="auto"/>
      </w:tcPr>
    </w:tblStylePr>
    <w:tblStylePr w:type="lastRow">
      <w:rPr>
        <w:b/>
        <w:color w:val="404040"/>
      </w:rPr>
      <w:tblPr/>
      <w:tcPr>
        <w:tcBorders>
          <w:top w:val="single" w:sz="4" w:space="0" w:color="D996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fill="F2DCDC"/>
      </w:tcPr>
    </w:tblStylePr>
    <w:tblStylePr w:type="band1Horz">
      <w:rPr>
        <w:rFonts w:ascii="Arial" w:hAnsi="Arial"/>
        <w:color w:val="404040"/>
        <w:sz w:val="22"/>
      </w:rPr>
      <w:tblPr/>
      <w:tcPr>
        <w:shd w:val="clear" w:color="F2DCDC" w:fill="F2DCDC"/>
      </w:tcPr>
    </w:tblStylePr>
  </w:style>
  <w:style w:type="table" w:customStyle="1" w:styleId="GridTable2-Accent3">
    <w:name w:val="Grid Table 2 - Accent 3"/>
    <w:basedOn w:val="a1"/>
    <w:uiPriority w:val="99"/>
    <w:rsid w:val="00074AE5"/>
    <w:tblPr>
      <w:tblStyleRowBandSize w:val="1"/>
      <w:tblStyleColBandSize w:val="1"/>
      <w:tblBorders>
        <w:bottom w:val="single" w:sz="4" w:space="0" w:color="9ABB59"/>
        <w:insideH w:val="single" w:sz="4" w:space="0" w:color="9ABB59"/>
        <w:insideV w:val="single" w:sz="4" w:space="0" w:color="9ABB59"/>
      </w:tblBorders>
    </w:tblPr>
    <w:tblStylePr w:type="firstRow">
      <w:rPr>
        <w:b/>
        <w:color w:val="404040"/>
      </w:rPr>
      <w:tblPr/>
      <w:tcPr>
        <w:tcBorders>
          <w:top w:val="none" w:sz="4" w:space="0" w:color="000000"/>
          <w:left w:val="none" w:sz="4" w:space="0" w:color="000000"/>
          <w:bottom w:val="single" w:sz="12" w:space="0" w:color="9ABB59"/>
          <w:right w:val="none" w:sz="4" w:space="0" w:color="000000"/>
        </w:tcBorders>
        <w:shd w:val="clear" w:color="FFFFFF" w:fill="auto"/>
      </w:tcPr>
    </w:tblStylePr>
    <w:tblStylePr w:type="lastRow">
      <w:rPr>
        <w:b/>
        <w:color w:val="404040"/>
      </w:rPr>
      <w:tblPr/>
      <w:tcPr>
        <w:tcBorders>
          <w:top w:val="single" w:sz="4" w:space="0" w:color="9ABB59"/>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fill="EAF1DC"/>
      </w:tcPr>
    </w:tblStylePr>
    <w:tblStylePr w:type="band1Horz">
      <w:rPr>
        <w:rFonts w:ascii="Arial" w:hAnsi="Arial"/>
        <w:color w:val="404040"/>
        <w:sz w:val="22"/>
      </w:rPr>
      <w:tblPr/>
      <w:tcPr>
        <w:shd w:val="clear" w:color="EAF1DC" w:fill="EAF1DC"/>
      </w:tcPr>
    </w:tblStylePr>
  </w:style>
  <w:style w:type="table" w:customStyle="1" w:styleId="GridTable2-Accent4">
    <w:name w:val="Grid Table 2 - Accent 4"/>
    <w:basedOn w:val="a1"/>
    <w:uiPriority w:val="99"/>
    <w:rsid w:val="00074AE5"/>
    <w:tblPr>
      <w:tblStyleRowBandSize w:val="1"/>
      <w:tblStyleColBandSize w:val="1"/>
      <w:tblBorders>
        <w:bottom w:val="single" w:sz="4" w:space="0" w:color="B2A1C6"/>
        <w:insideH w:val="single" w:sz="4" w:space="0" w:color="B2A1C6"/>
        <w:insideV w:val="single" w:sz="4" w:space="0" w:color="B2A1C6"/>
      </w:tblBorders>
    </w:tblPr>
    <w:tblStylePr w:type="firstRow">
      <w:rPr>
        <w:b/>
        <w:color w:val="404040"/>
      </w:rPr>
      <w:tblPr/>
      <w:tcPr>
        <w:tcBorders>
          <w:top w:val="none" w:sz="4" w:space="0" w:color="000000"/>
          <w:left w:val="none" w:sz="4" w:space="0" w:color="000000"/>
          <w:bottom w:val="single" w:sz="12" w:space="0" w:color="B2A1C6"/>
          <w:right w:val="none" w:sz="4" w:space="0" w:color="000000"/>
        </w:tcBorders>
        <w:shd w:val="clear" w:color="FFFFFF" w:fill="auto"/>
      </w:tcPr>
    </w:tblStylePr>
    <w:tblStylePr w:type="lastRow">
      <w:rPr>
        <w:b/>
        <w:color w:val="404040"/>
      </w:rPr>
      <w:tblPr/>
      <w:tcPr>
        <w:tcBorders>
          <w:top w:val="single" w:sz="4" w:space="0" w:color="B2A1C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fill="E5DFEC"/>
      </w:tcPr>
    </w:tblStylePr>
    <w:tblStylePr w:type="band1Horz">
      <w:rPr>
        <w:rFonts w:ascii="Arial" w:hAnsi="Arial"/>
        <w:color w:val="404040"/>
        <w:sz w:val="22"/>
      </w:rPr>
      <w:tblPr/>
      <w:tcPr>
        <w:shd w:val="clear" w:color="E5DFEC" w:fill="E5DFEC"/>
      </w:tcPr>
    </w:tblStylePr>
  </w:style>
  <w:style w:type="table" w:customStyle="1" w:styleId="GridTable2-Accent5">
    <w:name w:val="Grid Table 2 - Accent 5"/>
    <w:basedOn w:val="a1"/>
    <w:uiPriority w:val="99"/>
    <w:rsid w:val="00074AE5"/>
    <w:tblPr>
      <w:tblStyleRowBandSize w:val="1"/>
      <w:tblStyleColBandSize w:val="1"/>
      <w:tblBorders>
        <w:bottom w:val="single" w:sz="4" w:space="0" w:color="4BACC6"/>
        <w:insideH w:val="single" w:sz="4" w:space="0" w:color="4BACC6"/>
        <w:insideV w:val="single" w:sz="4" w:space="0" w:color="4BACC6"/>
      </w:tblBorders>
    </w:tblPr>
    <w:tblStylePr w:type="firstRow">
      <w:rPr>
        <w:b/>
        <w:color w:val="404040"/>
      </w:rPr>
      <w:tblPr/>
      <w:tcPr>
        <w:tcBorders>
          <w:top w:val="none" w:sz="4" w:space="0" w:color="000000"/>
          <w:left w:val="none" w:sz="4" w:space="0" w:color="000000"/>
          <w:bottom w:val="single" w:sz="12" w:space="0" w:color="4BACC6"/>
          <w:right w:val="none" w:sz="4" w:space="0" w:color="000000"/>
        </w:tcBorders>
        <w:shd w:val="clear" w:color="FFFFFF" w:fill="auto"/>
      </w:tcPr>
    </w:tblStylePr>
    <w:tblStylePr w:type="lastRow">
      <w:rPr>
        <w:b/>
        <w:color w:val="404040"/>
      </w:rPr>
      <w:tblPr/>
      <w:tcPr>
        <w:tcBorders>
          <w:top w:val="single" w:sz="4" w:space="0" w:color="4BACC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fill="DAEEF3"/>
      </w:tcPr>
    </w:tblStylePr>
    <w:tblStylePr w:type="band1Horz">
      <w:rPr>
        <w:rFonts w:ascii="Arial" w:hAnsi="Arial"/>
        <w:color w:val="404040"/>
        <w:sz w:val="22"/>
      </w:rPr>
      <w:tblPr/>
      <w:tcPr>
        <w:shd w:val="clear" w:color="DAEEF3" w:fill="DAEEF3"/>
      </w:tcPr>
    </w:tblStylePr>
  </w:style>
  <w:style w:type="table" w:customStyle="1" w:styleId="GridTable2-Accent6">
    <w:name w:val="Grid Table 2 - Accent 6"/>
    <w:basedOn w:val="a1"/>
    <w:uiPriority w:val="99"/>
    <w:rsid w:val="00074AE5"/>
    <w:tblPr>
      <w:tblStyleRowBandSize w:val="1"/>
      <w:tblStyleColBandSize w:val="1"/>
      <w:tblBorders>
        <w:bottom w:val="single" w:sz="4" w:space="0" w:color="F79646"/>
        <w:insideH w:val="single" w:sz="4" w:space="0" w:color="F79646"/>
        <w:insideV w:val="single" w:sz="4" w:space="0" w:color="F79646"/>
      </w:tblBorders>
    </w:tblPr>
    <w:tblStylePr w:type="firstRow">
      <w:rPr>
        <w:b/>
        <w:color w:val="404040"/>
      </w:rPr>
      <w:tblPr/>
      <w:tcPr>
        <w:tcBorders>
          <w:top w:val="none" w:sz="4" w:space="0" w:color="000000"/>
          <w:left w:val="none" w:sz="4" w:space="0" w:color="000000"/>
          <w:bottom w:val="single" w:sz="12" w:space="0" w:color="F79646"/>
          <w:right w:val="none" w:sz="4" w:space="0" w:color="000000"/>
        </w:tcBorders>
        <w:shd w:val="clear" w:color="FFFFFF" w:fill="auto"/>
      </w:tcPr>
    </w:tblStylePr>
    <w:tblStylePr w:type="lastRow">
      <w:rPr>
        <w:b/>
        <w:color w:val="404040"/>
      </w:rPr>
      <w:tblPr/>
      <w:tcPr>
        <w:tcBorders>
          <w:top w:val="single" w:sz="4" w:space="0" w:color="F7964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fill="FDE9D8"/>
      </w:tcPr>
    </w:tblStylePr>
    <w:tblStylePr w:type="band1Horz">
      <w:rPr>
        <w:rFonts w:ascii="Arial" w:hAnsi="Arial"/>
        <w:color w:val="404040"/>
        <w:sz w:val="22"/>
      </w:rPr>
      <w:tblPr/>
      <w:tcPr>
        <w:shd w:val="clear" w:color="FDE9D8" w:fill="FDE9D8"/>
      </w:tcPr>
    </w:tblStylePr>
  </w:style>
  <w:style w:type="table" w:customStyle="1" w:styleId="-31">
    <w:name w:val="Таблица-сетка 31"/>
    <w:basedOn w:val="a1"/>
    <w:uiPriority w:val="99"/>
    <w:rsid w:val="00074AE5"/>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3-Accent1">
    <w:name w:val="Grid Table 3 - Accent 1"/>
    <w:basedOn w:val="a1"/>
    <w:uiPriority w:val="99"/>
    <w:rsid w:val="00074AE5"/>
    <w:tblPr>
      <w:tblStyleRowBandSize w:val="1"/>
      <w:tblStyleColBandSize w:val="1"/>
      <w:tblBorders>
        <w:bottom w:val="single" w:sz="4" w:space="0" w:color="5D8AC2"/>
        <w:insideH w:val="single" w:sz="4" w:space="0" w:color="5D8AC2"/>
        <w:insideV w:val="single" w:sz="4" w:space="0" w:color="5D8AC2"/>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fill="DAE5F1"/>
      </w:tcPr>
    </w:tblStylePr>
    <w:tblStylePr w:type="band1Horz">
      <w:rPr>
        <w:rFonts w:ascii="Arial" w:hAnsi="Arial"/>
        <w:color w:val="404040"/>
        <w:sz w:val="22"/>
      </w:rPr>
      <w:tblPr/>
      <w:tcPr>
        <w:shd w:val="clear" w:color="DAE5F1" w:fill="DAE5F1"/>
      </w:tcPr>
    </w:tblStylePr>
  </w:style>
  <w:style w:type="table" w:customStyle="1" w:styleId="GridTable3-Accent2">
    <w:name w:val="Grid Table 3 - Accent 2"/>
    <w:basedOn w:val="a1"/>
    <w:uiPriority w:val="99"/>
    <w:rsid w:val="00074AE5"/>
    <w:tblPr>
      <w:tblStyleRowBandSize w:val="1"/>
      <w:tblStyleColBandSize w:val="1"/>
      <w:tblBorders>
        <w:bottom w:val="single" w:sz="4" w:space="0" w:color="D99695"/>
        <w:insideH w:val="single" w:sz="4" w:space="0" w:color="D99695"/>
        <w:insideV w:val="single" w:sz="4" w:space="0" w:color="D996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fill="F2DCDC"/>
      </w:tcPr>
    </w:tblStylePr>
    <w:tblStylePr w:type="band1Horz">
      <w:rPr>
        <w:rFonts w:ascii="Arial" w:hAnsi="Arial"/>
        <w:color w:val="404040"/>
        <w:sz w:val="22"/>
      </w:rPr>
      <w:tblPr/>
      <w:tcPr>
        <w:shd w:val="clear" w:color="F2DCDC" w:fill="F2DCDC"/>
      </w:tcPr>
    </w:tblStylePr>
  </w:style>
  <w:style w:type="table" w:customStyle="1" w:styleId="GridTable3-Accent3">
    <w:name w:val="Grid Table 3 - Accent 3"/>
    <w:basedOn w:val="a1"/>
    <w:uiPriority w:val="99"/>
    <w:rsid w:val="00074AE5"/>
    <w:tblPr>
      <w:tblStyleRowBandSize w:val="1"/>
      <w:tblStyleColBandSize w:val="1"/>
      <w:tblBorders>
        <w:bottom w:val="single" w:sz="4" w:space="0" w:color="9ABB59"/>
        <w:insideH w:val="single" w:sz="4" w:space="0" w:color="9ABB59"/>
        <w:insideV w:val="single" w:sz="4" w:space="0" w:color="9ABB59"/>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fill="EAF1DC"/>
      </w:tcPr>
    </w:tblStylePr>
    <w:tblStylePr w:type="band1Horz">
      <w:rPr>
        <w:rFonts w:ascii="Arial" w:hAnsi="Arial"/>
        <w:color w:val="404040"/>
        <w:sz w:val="22"/>
      </w:rPr>
      <w:tblPr/>
      <w:tcPr>
        <w:shd w:val="clear" w:color="EAF1DC" w:fill="EAF1DC"/>
      </w:tcPr>
    </w:tblStylePr>
  </w:style>
  <w:style w:type="table" w:customStyle="1" w:styleId="GridTable3-Accent4">
    <w:name w:val="Grid Table 3 - Accent 4"/>
    <w:basedOn w:val="a1"/>
    <w:uiPriority w:val="99"/>
    <w:rsid w:val="00074AE5"/>
    <w:tblPr>
      <w:tblStyleRowBandSize w:val="1"/>
      <w:tblStyleColBandSize w:val="1"/>
      <w:tblBorders>
        <w:bottom w:val="single" w:sz="4" w:space="0" w:color="B2A1C6"/>
        <w:insideH w:val="single" w:sz="4" w:space="0" w:color="B2A1C6"/>
        <w:insideV w:val="single" w:sz="4" w:space="0" w:color="B2A1C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fill="E5DFEC"/>
      </w:tcPr>
    </w:tblStylePr>
    <w:tblStylePr w:type="band1Horz">
      <w:rPr>
        <w:rFonts w:ascii="Arial" w:hAnsi="Arial"/>
        <w:color w:val="404040"/>
        <w:sz w:val="22"/>
      </w:rPr>
      <w:tblPr/>
      <w:tcPr>
        <w:shd w:val="clear" w:color="E5DFEC" w:fill="E5DFEC"/>
      </w:tcPr>
    </w:tblStylePr>
  </w:style>
  <w:style w:type="table" w:customStyle="1" w:styleId="GridTable3-Accent5">
    <w:name w:val="Grid Table 3 - Accent 5"/>
    <w:basedOn w:val="a1"/>
    <w:uiPriority w:val="99"/>
    <w:rsid w:val="00074AE5"/>
    <w:tblPr>
      <w:tblStyleRowBandSize w:val="1"/>
      <w:tblStyleColBandSize w:val="1"/>
      <w:tblBorders>
        <w:bottom w:val="single" w:sz="4" w:space="0" w:color="4BACC6"/>
        <w:insideH w:val="single" w:sz="4" w:space="0" w:color="4BACC6"/>
        <w:insideV w:val="single" w:sz="4" w:space="0" w:color="4BACC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fill="DAEEF3"/>
      </w:tcPr>
    </w:tblStylePr>
    <w:tblStylePr w:type="band1Horz">
      <w:rPr>
        <w:rFonts w:ascii="Arial" w:hAnsi="Arial"/>
        <w:color w:val="404040"/>
        <w:sz w:val="22"/>
      </w:rPr>
      <w:tblPr/>
      <w:tcPr>
        <w:shd w:val="clear" w:color="DAEEF3" w:fill="DAEEF3"/>
      </w:tcPr>
    </w:tblStylePr>
  </w:style>
  <w:style w:type="table" w:customStyle="1" w:styleId="GridTable3-Accent6">
    <w:name w:val="Grid Table 3 - Accent 6"/>
    <w:basedOn w:val="a1"/>
    <w:uiPriority w:val="99"/>
    <w:rsid w:val="00074AE5"/>
    <w:tblPr>
      <w:tblStyleRowBandSize w:val="1"/>
      <w:tblStyleColBandSize w:val="1"/>
      <w:tblBorders>
        <w:bottom w:val="single" w:sz="4" w:space="0" w:color="F79646"/>
        <w:insideH w:val="single" w:sz="4" w:space="0" w:color="F79646"/>
        <w:insideV w:val="single" w:sz="4" w:space="0" w:color="F7964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fill="FDE9D8"/>
      </w:tcPr>
    </w:tblStylePr>
    <w:tblStylePr w:type="band1Horz">
      <w:rPr>
        <w:rFonts w:ascii="Arial" w:hAnsi="Arial"/>
        <w:color w:val="404040"/>
        <w:sz w:val="22"/>
      </w:rPr>
      <w:tblPr/>
      <w:tcPr>
        <w:shd w:val="clear" w:color="FDE9D8" w:fill="FDE9D8"/>
      </w:tcPr>
    </w:tblStylePr>
  </w:style>
  <w:style w:type="table" w:customStyle="1" w:styleId="-41">
    <w:name w:val="Таблица-сетка 41"/>
    <w:basedOn w:val="a1"/>
    <w:uiPriority w:val="59"/>
    <w:rsid w:val="00074AE5"/>
    <w:tblPr>
      <w:tblStyleRowBandSize w:val="1"/>
      <w:tblStyleColBandSize w:val="1"/>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Pr>
    <w:tblStylePr w:type="firstRow">
      <w:rPr>
        <w:rFonts w:ascii="Arial" w:hAnsi="Arial"/>
        <w:b/>
        <w:color w:val="FFFFFF"/>
        <w:sz w:val="22"/>
      </w:rPr>
      <w:tblPr/>
      <w:tcPr>
        <w:tcBorders>
          <w:top w:val="single" w:sz="4" w:space="0" w:color="000000"/>
          <w:left w:val="single" w:sz="4" w:space="0" w:color="000000"/>
          <w:bottom w:val="single" w:sz="4" w:space="0" w:color="000000"/>
          <w:right w:val="single" w:sz="4" w:space="0" w:color="000000"/>
        </w:tcBorders>
        <w:shd w:val="clear" w:color="000000" w:fill="000000"/>
      </w:tcPr>
    </w:tblStylePr>
    <w:tblStylePr w:type="lastRow">
      <w:rPr>
        <w:b/>
        <w:color w:val="404040"/>
      </w:rPr>
      <w:tblPr/>
      <w:tcPr>
        <w:tcBorders>
          <w:top w:val="single" w:sz="4" w:space="0" w:color="00000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4-Accent1">
    <w:name w:val="Grid Table 4 - Accent 1"/>
    <w:basedOn w:val="a1"/>
    <w:uiPriority w:val="59"/>
    <w:rsid w:val="00074AE5"/>
    <w:tblPr>
      <w:tblStyleRowBandSize w:val="1"/>
      <w:tblStyleColBandSize w:val="1"/>
      <w:tblBorders>
        <w:top w:val="single" w:sz="4" w:space="0" w:color="9BB7D9"/>
        <w:left w:val="single" w:sz="4" w:space="0" w:color="9BB7D9"/>
        <w:bottom w:val="single" w:sz="4" w:space="0" w:color="9BB7D9"/>
        <w:right w:val="single" w:sz="4" w:space="0" w:color="9BB7D9"/>
        <w:insideH w:val="single" w:sz="4" w:space="0" w:color="9BB7D9"/>
        <w:insideV w:val="single" w:sz="4" w:space="0" w:color="9BB7D9"/>
      </w:tblBorders>
    </w:tblPr>
    <w:tblStylePr w:type="firstRow">
      <w:rPr>
        <w:rFonts w:ascii="Arial" w:hAnsi="Arial"/>
        <w:b/>
        <w:color w:val="FFFFFF"/>
        <w:sz w:val="22"/>
      </w:rPr>
      <w:tblPr/>
      <w:tcPr>
        <w:tcBorders>
          <w:top w:val="single" w:sz="4" w:space="0" w:color="5D8AC2"/>
          <w:left w:val="single" w:sz="4" w:space="0" w:color="5D8AC2"/>
          <w:bottom w:val="single" w:sz="4" w:space="0" w:color="5D8AC2"/>
          <w:right w:val="single" w:sz="4" w:space="0" w:color="5D8AC2"/>
        </w:tcBorders>
        <w:shd w:val="clear" w:color="5D8AC2" w:fill="5D8AC2"/>
      </w:tcPr>
    </w:tblStylePr>
    <w:tblStylePr w:type="lastRow">
      <w:rPr>
        <w:b/>
        <w:color w:val="404040"/>
      </w:rPr>
      <w:tblPr/>
      <w:tcPr>
        <w:tcBorders>
          <w:top w:val="single" w:sz="4" w:space="0" w:color="5D8AC2"/>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fill="DCE6F2"/>
      </w:tcPr>
    </w:tblStylePr>
    <w:tblStylePr w:type="band1Horz">
      <w:rPr>
        <w:rFonts w:ascii="Arial" w:hAnsi="Arial"/>
        <w:color w:val="404040"/>
        <w:sz w:val="22"/>
      </w:rPr>
      <w:tblPr/>
      <w:tcPr>
        <w:shd w:val="clear" w:color="DCE6F2" w:fill="DCE6F2"/>
      </w:tcPr>
    </w:tblStylePr>
  </w:style>
  <w:style w:type="table" w:customStyle="1" w:styleId="GridTable4-Accent2">
    <w:name w:val="Grid Table 4 - Accent 2"/>
    <w:basedOn w:val="a1"/>
    <w:uiPriority w:val="59"/>
    <w:rsid w:val="00074AE5"/>
    <w:tblPr>
      <w:tblStyleRowBandSize w:val="1"/>
      <w:tblStyleColBandSize w:val="1"/>
      <w:tblBorders>
        <w:top w:val="single" w:sz="4" w:space="0" w:color="DB9B9A"/>
        <w:left w:val="single" w:sz="4" w:space="0" w:color="DB9B9A"/>
        <w:bottom w:val="single" w:sz="4" w:space="0" w:color="DB9B9A"/>
        <w:right w:val="single" w:sz="4" w:space="0" w:color="DB9B9A"/>
        <w:insideH w:val="single" w:sz="4" w:space="0" w:color="DB9B9A"/>
        <w:insideV w:val="single" w:sz="4" w:space="0" w:color="DB9B9A"/>
      </w:tblBorders>
    </w:tblPr>
    <w:tblStylePr w:type="firstRow">
      <w:rPr>
        <w:rFonts w:ascii="Arial" w:hAnsi="Arial"/>
        <w:b/>
        <w:color w:val="FFFFFF"/>
        <w:sz w:val="22"/>
      </w:rPr>
      <w:tblPr/>
      <w:tcPr>
        <w:tcBorders>
          <w:top w:val="single" w:sz="4" w:space="0" w:color="D99695"/>
          <w:left w:val="single" w:sz="4" w:space="0" w:color="D99695"/>
          <w:bottom w:val="single" w:sz="4" w:space="0" w:color="D99695"/>
          <w:right w:val="single" w:sz="4" w:space="0" w:color="D99695"/>
        </w:tcBorders>
        <w:shd w:val="clear" w:color="D99695" w:fill="D99695"/>
      </w:tcPr>
    </w:tblStylePr>
    <w:tblStylePr w:type="lastRow">
      <w:rPr>
        <w:b/>
        <w:color w:val="404040"/>
      </w:rPr>
      <w:tblPr/>
      <w:tcPr>
        <w:tcBorders>
          <w:top w:val="single" w:sz="4" w:space="0" w:color="D9969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fill="F2DCDC"/>
      </w:tcPr>
    </w:tblStylePr>
    <w:tblStylePr w:type="band1Horz">
      <w:rPr>
        <w:rFonts w:ascii="Arial" w:hAnsi="Arial"/>
        <w:color w:val="404040"/>
        <w:sz w:val="22"/>
      </w:rPr>
      <w:tblPr/>
      <w:tcPr>
        <w:shd w:val="clear" w:color="F2DCDC" w:fill="F2DCDC"/>
      </w:tcPr>
    </w:tblStylePr>
  </w:style>
  <w:style w:type="table" w:customStyle="1" w:styleId="GridTable4-Accent3">
    <w:name w:val="Grid Table 4 - Accent 3"/>
    <w:basedOn w:val="a1"/>
    <w:uiPriority w:val="59"/>
    <w:rsid w:val="00074AE5"/>
    <w:tblPr>
      <w:tblStyleRowBandSize w:val="1"/>
      <w:tblStyleColBandSize w:val="1"/>
      <w:tblBorders>
        <w:top w:val="single" w:sz="4" w:space="0" w:color="C6D8A1"/>
        <w:left w:val="single" w:sz="4" w:space="0" w:color="C6D8A1"/>
        <w:bottom w:val="single" w:sz="4" w:space="0" w:color="C6D8A1"/>
        <w:right w:val="single" w:sz="4" w:space="0" w:color="C6D8A1"/>
        <w:insideH w:val="single" w:sz="4" w:space="0" w:color="C6D8A1"/>
        <w:insideV w:val="single" w:sz="4" w:space="0" w:color="C6D8A1"/>
      </w:tblBorders>
    </w:tblPr>
    <w:tblStylePr w:type="firstRow">
      <w:rPr>
        <w:rFonts w:ascii="Arial" w:hAnsi="Arial"/>
        <w:b/>
        <w:color w:val="FFFFFF"/>
        <w:sz w:val="22"/>
      </w:rPr>
      <w:tblPr/>
      <w:tcPr>
        <w:tcBorders>
          <w:top w:val="single" w:sz="4" w:space="0" w:color="9ABB59"/>
          <w:left w:val="single" w:sz="4" w:space="0" w:color="9ABB59"/>
          <w:bottom w:val="single" w:sz="4" w:space="0" w:color="9ABB59"/>
          <w:right w:val="single" w:sz="4" w:space="0" w:color="9ABB59"/>
        </w:tcBorders>
        <w:shd w:val="clear" w:color="9ABB59" w:fill="9ABB59"/>
      </w:tcPr>
    </w:tblStylePr>
    <w:tblStylePr w:type="lastRow">
      <w:rPr>
        <w:b/>
        <w:color w:val="404040"/>
      </w:rPr>
      <w:tblPr/>
      <w:tcPr>
        <w:tcBorders>
          <w:top w:val="single" w:sz="4" w:space="0" w:color="9ABB59"/>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fill="EAF1DC"/>
      </w:tcPr>
    </w:tblStylePr>
    <w:tblStylePr w:type="band1Horz">
      <w:rPr>
        <w:rFonts w:ascii="Arial" w:hAnsi="Arial"/>
        <w:color w:val="404040"/>
        <w:sz w:val="22"/>
      </w:rPr>
      <w:tblPr/>
      <w:tcPr>
        <w:shd w:val="clear" w:color="EAF1DC" w:fill="EAF1DC"/>
      </w:tcPr>
    </w:tblStylePr>
  </w:style>
  <w:style w:type="table" w:customStyle="1" w:styleId="GridTable4-Accent4">
    <w:name w:val="Grid Table 4 - Accent 4"/>
    <w:basedOn w:val="a1"/>
    <w:uiPriority w:val="59"/>
    <w:rsid w:val="00074AE5"/>
    <w:tblPr>
      <w:tblStyleRowBandSize w:val="1"/>
      <w:tblStyleColBandSize w:val="1"/>
      <w:tblBorders>
        <w:top w:val="single" w:sz="4" w:space="0" w:color="B7A7CA"/>
        <w:left w:val="single" w:sz="4" w:space="0" w:color="B7A7CA"/>
        <w:bottom w:val="single" w:sz="4" w:space="0" w:color="B7A7CA"/>
        <w:right w:val="single" w:sz="4" w:space="0" w:color="B7A7CA"/>
        <w:insideH w:val="single" w:sz="4" w:space="0" w:color="B7A7CA"/>
        <w:insideV w:val="single" w:sz="4" w:space="0" w:color="B7A7CA"/>
      </w:tblBorders>
    </w:tblPr>
    <w:tblStylePr w:type="firstRow">
      <w:rPr>
        <w:rFonts w:ascii="Arial" w:hAnsi="Arial"/>
        <w:b/>
        <w:color w:val="FFFFFF"/>
        <w:sz w:val="22"/>
      </w:rPr>
      <w:tblPr/>
      <w:tcPr>
        <w:tcBorders>
          <w:top w:val="single" w:sz="4" w:space="0" w:color="B2A1C6"/>
          <w:left w:val="single" w:sz="4" w:space="0" w:color="B2A1C6"/>
          <w:bottom w:val="single" w:sz="4" w:space="0" w:color="B2A1C6"/>
          <w:right w:val="single" w:sz="4" w:space="0" w:color="B2A1C6"/>
        </w:tcBorders>
        <w:shd w:val="clear" w:color="B2A1C6" w:fill="B2A1C6"/>
      </w:tcPr>
    </w:tblStylePr>
    <w:tblStylePr w:type="lastRow">
      <w:rPr>
        <w:b/>
        <w:color w:val="404040"/>
      </w:rPr>
      <w:tblPr/>
      <w:tcPr>
        <w:tcBorders>
          <w:top w:val="single" w:sz="4" w:space="0" w:color="B2A1C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fill="E5DFEC"/>
      </w:tcPr>
    </w:tblStylePr>
    <w:tblStylePr w:type="band1Horz">
      <w:rPr>
        <w:rFonts w:ascii="Arial" w:hAnsi="Arial"/>
        <w:color w:val="404040"/>
        <w:sz w:val="22"/>
      </w:rPr>
      <w:tblPr/>
      <w:tcPr>
        <w:shd w:val="clear" w:color="E5DFEC" w:fill="E5DFEC"/>
      </w:tcPr>
    </w:tblStylePr>
  </w:style>
  <w:style w:type="table" w:customStyle="1" w:styleId="GridTable4-Accent5">
    <w:name w:val="Grid Table 4 - Accent 5"/>
    <w:basedOn w:val="a1"/>
    <w:uiPriority w:val="59"/>
    <w:rsid w:val="00074AE5"/>
    <w:tblPr>
      <w:tblStyleRowBandSize w:val="1"/>
      <w:tblStyleColBandSize w:val="1"/>
      <w:tblBorders>
        <w:top w:val="single" w:sz="4" w:space="0" w:color="99D0DE"/>
        <w:left w:val="single" w:sz="4" w:space="0" w:color="99D0DE"/>
        <w:bottom w:val="single" w:sz="4" w:space="0" w:color="99D0DE"/>
        <w:right w:val="single" w:sz="4" w:space="0" w:color="99D0DE"/>
        <w:insideH w:val="single" w:sz="4" w:space="0" w:color="99D0DE"/>
        <w:insideV w:val="single" w:sz="4" w:space="0" w:color="99D0DE"/>
      </w:tblBorders>
    </w:tblPr>
    <w:tblStylePr w:type="firstRow">
      <w:rPr>
        <w:rFonts w:ascii="Arial" w:hAnsi="Arial"/>
        <w:b/>
        <w:color w:val="FFFFFF"/>
        <w:sz w:val="22"/>
      </w:rPr>
      <w:tblPr/>
      <w:tcPr>
        <w:tcBorders>
          <w:top w:val="single" w:sz="4" w:space="0" w:color="4BACC6"/>
          <w:left w:val="single" w:sz="4" w:space="0" w:color="4BACC6"/>
          <w:bottom w:val="single" w:sz="4" w:space="0" w:color="4BACC6"/>
          <w:right w:val="single" w:sz="4" w:space="0" w:color="4BACC6"/>
        </w:tcBorders>
        <w:shd w:val="clear" w:color="4BACC6" w:fill="4BACC6"/>
      </w:tcPr>
    </w:tblStylePr>
    <w:tblStylePr w:type="lastRow">
      <w:rPr>
        <w:b/>
        <w:color w:val="404040"/>
      </w:rPr>
      <w:tblPr/>
      <w:tcPr>
        <w:tcBorders>
          <w:top w:val="single" w:sz="4" w:space="0" w:color="4BACC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fill="DAEEF3"/>
      </w:tcPr>
    </w:tblStylePr>
    <w:tblStylePr w:type="band1Horz">
      <w:rPr>
        <w:rFonts w:ascii="Arial" w:hAnsi="Arial"/>
        <w:color w:val="404040"/>
        <w:sz w:val="22"/>
      </w:rPr>
      <w:tblPr/>
      <w:tcPr>
        <w:shd w:val="clear" w:color="DAEEF3" w:fill="DAEEF3"/>
      </w:tcPr>
    </w:tblStylePr>
  </w:style>
  <w:style w:type="table" w:customStyle="1" w:styleId="GridTable4-Accent6">
    <w:name w:val="Grid Table 4 - Accent 6"/>
    <w:basedOn w:val="a1"/>
    <w:uiPriority w:val="59"/>
    <w:rsid w:val="00074AE5"/>
    <w:tblPr>
      <w:tblStyleRowBandSize w:val="1"/>
      <w:tblStyleColBandSize w:val="1"/>
      <w:tblBorders>
        <w:top w:val="single" w:sz="4" w:space="0" w:color="FAC396"/>
        <w:left w:val="single" w:sz="4" w:space="0" w:color="FAC396"/>
        <w:bottom w:val="single" w:sz="4" w:space="0" w:color="FAC396"/>
        <w:right w:val="single" w:sz="4" w:space="0" w:color="FAC396"/>
        <w:insideH w:val="single" w:sz="4" w:space="0" w:color="FAC396"/>
        <w:insideV w:val="single" w:sz="4" w:space="0" w:color="FAC396"/>
      </w:tblBorders>
    </w:tblPr>
    <w:tblStylePr w:type="firstRow">
      <w:rPr>
        <w:rFonts w:ascii="Arial" w:hAnsi="Arial"/>
        <w:b/>
        <w:color w:val="FFFFFF"/>
        <w:sz w:val="22"/>
      </w:rPr>
      <w:tblPr/>
      <w:tcPr>
        <w:tcBorders>
          <w:top w:val="single" w:sz="4" w:space="0" w:color="F79646"/>
          <w:left w:val="single" w:sz="4" w:space="0" w:color="F79646"/>
          <w:bottom w:val="single" w:sz="4" w:space="0" w:color="F79646"/>
          <w:right w:val="single" w:sz="4" w:space="0" w:color="F79646"/>
        </w:tcBorders>
        <w:shd w:val="clear" w:color="F79646" w:fill="F79646"/>
      </w:tcPr>
    </w:tblStylePr>
    <w:tblStylePr w:type="lastRow">
      <w:rPr>
        <w:b/>
        <w:color w:val="404040"/>
      </w:rPr>
      <w:tblPr/>
      <w:tcPr>
        <w:tcBorders>
          <w:top w:val="single" w:sz="4" w:space="0" w:color="F7964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fill="FDE9D8"/>
      </w:tcPr>
    </w:tblStylePr>
    <w:tblStylePr w:type="band1Horz">
      <w:rPr>
        <w:rFonts w:ascii="Arial" w:hAnsi="Arial"/>
        <w:color w:val="404040"/>
        <w:sz w:val="22"/>
      </w:rPr>
      <w:tblPr/>
      <w:tcPr>
        <w:shd w:val="clear" w:color="FDE9D8" w:fill="FDE9D8"/>
      </w:tcPr>
    </w:tblStylePr>
  </w:style>
  <w:style w:type="table" w:customStyle="1" w:styleId="-51">
    <w:name w:val="Таблица-сетка 5 темная1"/>
    <w:basedOn w:val="a1"/>
    <w:uiPriority w:val="99"/>
    <w:rsid w:val="00074AE5"/>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BFBFBF" w:fill="BFBFBF"/>
    </w:tblPr>
    <w:tblStylePr w:type="firstRow">
      <w:rPr>
        <w:rFonts w:ascii="Arial" w:hAnsi="Arial"/>
        <w:b/>
        <w:color w:val="FFFFFF"/>
        <w:sz w:val="22"/>
      </w:rPr>
      <w:tblPr/>
      <w:tcPr>
        <w:shd w:val="clear" w:color="000000" w:fill="000000"/>
      </w:tcPr>
    </w:tblStylePr>
    <w:tblStylePr w:type="lastRow">
      <w:rPr>
        <w:rFonts w:ascii="Arial" w:hAnsi="Arial"/>
        <w:b/>
        <w:color w:val="FFFFFF"/>
        <w:sz w:val="22"/>
      </w:rPr>
      <w:tblPr/>
      <w:tcPr>
        <w:tcBorders>
          <w:top w:val="single" w:sz="4" w:space="0" w:color="FFFFFF"/>
        </w:tcBorders>
        <w:shd w:val="clear" w:color="000000" w:fill="000000"/>
      </w:tcPr>
    </w:tblStylePr>
    <w:tblStylePr w:type="firstCol">
      <w:rPr>
        <w:rFonts w:ascii="Arial" w:hAnsi="Arial"/>
        <w:b/>
        <w:color w:val="FFFFFF"/>
        <w:sz w:val="22"/>
      </w:rPr>
      <w:tblPr/>
      <w:tcPr>
        <w:shd w:val="clear" w:color="000000" w:fill="000000"/>
      </w:tcPr>
    </w:tblStylePr>
    <w:tblStylePr w:type="lastCol">
      <w:rPr>
        <w:rFonts w:ascii="Arial" w:hAnsi="Arial"/>
        <w:b/>
        <w:color w:val="FFFFFF"/>
        <w:sz w:val="22"/>
      </w:rPr>
      <w:tblPr/>
      <w:tcPr>
        <w:shd w:val="clear" w:color="000000" w:fill="000000"/>
      </w:tcPr>
    </w:tblStylePr>
    <w:tblStylePr w:type="band1Vert">
      <w:tblPr/>
      <w:tcPr>
        <w:shd w:val="clear" w:color="8A8A8A" w:fill="8A8A8A"/>
      </w:tcPr>
    </w:tblStylePr>
    <w:tblStylePr w:type="band1Horz">
      <w:tblPr/>
      <w:tcPr>
        <w:shd w:val="clear" w:color="8A8A8A" w:fill="8A8A8A"/>
      </w:tcPr>
    </w:tblStylePr>
  </w:style>
  <w:style w:type="table" w:customStyle="1" w:styleId="GridTable5Dark-Accent1">
    <w:name w:val="Grid Table 5 Dark- Accent 1"/>
    <w:basedOn w:val="a1"/>
    <w:uiPriority w:val="99"/>
    <w:rsid w:val="00074AE5"/>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AE5F1" w:fill="DAE5F1"/>
    </w:tblPr>
    <w:tblStylePr w:type="firstRow">
      <w:rPr>
        <w:rFonts w:ascii="Arial" w:hAnsi="Arial"/>
        <w:b/>
        <w:color w:val="FFFFFF"/>
        <w:sz w:val="22"/>
      </w:rPr>
      <w:tblPr/>
      <w:tcPr>
        <w:shd w:val="clear" w:color="4F81BD" w:fill="4F81BD"/>
      </w:tcPr>
    </w:tblStylePr>
    <w:tblStylePr w:type="lastRow">
      <w:rPr>
        <w:rFonts w:ascii="Arial" w:hAnsi="Arial"/>
        <w:b/>
        <w:color w:val="FFFFFF"/>
        <w:sz w:val="22"/>
      </w:rPr>
      <w:tblPr/>
      <w:tcPr>
        <w:tcBorders>
          <w:top w:val="single" w:sz="4" w:space="0" w:color="FFFFFF"/>
        </w:tcBorders>
        <w:shd w:val="clear" w:color="4F81BD" w:fill="4F81BD"/>
      </w:tcPr>
    </w:tblStylePr>
    <w:tblStylePr w:type="firstCol">
      <w:rPr>
        <w:rFonts w:ascii="Arial" w:hAnsi="Arial"/>
        <w:b/>
        <w:color w:val="FFFFFF"/>
        <w:sz w:val="22"/>
      </w:rPr>
      <w:tblPr/>
      <w:tcPr>
        <w:shd w:val="clear" w:color="4F81BD" w:fill="4F81BD"/>
      </w:tcPr>
    </w:tblStylePr>
    <w:tblStylePr w:type="lastCol">
      <w:rPr>
        <w:rFonts w:ascii="Arial" w:hAnsi="Arial"/>
        <w:b/>
        <w:color w:val="FFFFFF"/>
        <w:sz w:val="22"/>
      </w:rPr>
      <w:tblPr/>
      <w:tcPr>
        <w:shd w:val="clear" w:color="4F81BD" w:fill="4F81BD"/>
      </w:tcPr>
    </w:tblStylePr>
    <w:tblStylePr w:type="band1Vert">
      <w:tblPr/>
      <w:tcPr>
        <w:shd w:val="clear" w:color="AEC4E0" w:fill="AEC4E0"/>
      </w:tcPr>
    </w:tblStylePr>
    <w:tblStylePr w:type="band1Horz">
      <w:tblPr/>
      <w:tcPr>
        <w:shd w:val="clear" w:color="AEC4E0" w:fill="AEC4E0"/>
      </w:tcPr>
    </w:tblStylePr>
  </w:style>
  <w:style w:type="table" w:customStyle="1" w:styleId="GridTable5Dark-Accent2">
    <w:name w:val="Grid Table 5 Dark - Accent 2"/>
    <w:basedOn w:val="a1"/>
    <w:uiPriority w:val="99"/>
    <w:rsid w:val="00074AE5"/>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2DCDC" w:fill="F2DCDC"/>
    </w:tblPr>
    <w:tblStylePr w:type="firstRow">
      <w:rPr>
        <w:rFonts w:ascii="Arial" w:hAnsi="Arial"/>
        <w:b/>
        <w:color w:val="FFFFFF"/>
        <w:sz w:val="22"/>
      </w:rPr>
      <w:tblPr/>
      <w:tcPr>
        <w:shd w:val="clear" w:color="C0504D" w:fill="C0504D"/>
      </w:tcPr>
    </w:tblStylePr>
    <w:tblStylePr w:type="lastRow">
      <w:rPr>
        <w:rFonts w:ascii="Arial" w:hAnsi="Arial"/>
        <w:b/>
        <w:color w:val="FFFFFF"/>
        <w:sz w:val="22"/>
      </w:rPr>
      <w:tblPr/>
      <w:tcPr>
        <w:tcBorders>
          <w:top w:val="single" w:sz="4" w:space="0" w:color="FFFFFF"/>
        </w:tcBorders>
        <w:shd w:val="clear" w:color="C0504D" w:fill="C0504D"/>
      </w:tcPr>
    </w:tblStylePr>
    <w:tblStylePr w:type="firstCol">
      <w:rPr>
        <w:rFonts w:ascii="Arial" w:hAnsi="Arial"/>
        <w:b/>
        <w:color w:val="FFFFFF"/>
        <w:sz w:val="22"/>
      </w:rPr>
      <w:tblPr/>
      <w:tcPr>
        <w:shd w:val="clear" w:color="C0504D" w:fill="C0504D"/>
      </w:tcPr>
    </w:tblStylePr>
    <w:tblStylePr w:type="lastCol">
      <w:rPr>
        <w:rFonts w:ascii="Arial" w:hAnsi="Arial"/>
        <w:b/>
        <w:color w:val="FFFFFF"/>
        <w:sz w:val="22"/>
      </w:rPr>
      <w:tblPr/>
      <w:tcPr>
        <w:shd w:val="clear" w:color="C0504D" w:fill="C0504D"/>
      </w:tcPr>
    </w:tblStylePr>
    <w:tblStylePr w:type="band1Vert">
      <w:tblPr/>
      <w:tcPr>
        <w:shd w:val="clear" w:color="E2AEAD" w:fill="E2AEAD"/>
      </w:tcPr>
    </w:tblStylePr>
    <w:tblStylePr w:type="band1Horz">
      <w:tblPr/>
      <w:tcPr>
        <w:shd w:val="clear" w:color="E2AEAD" w:fill="E2AEAD"/>
      </w:tcPr>
    </w:tblStylePr>
  </w:style>
  <w:style w:type="table" w:customStyle="1" w:styleId="GridTable5Dark-Accent3">
    <w:name w:val="Grid Table 5 Dark - Accent 3"/>
    <w:basedOn w:val="a1"/>
    <w:uiPriority w:val="99"/>
    <w:rsid w:val="00074AE5"/>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AF1DC" w:fill="EAF1DC"/>
    </w:tblPr>
    <w:tblStylePr w:type="firstRow">
      <w:rPr>
        <w:rFonts w:ascii="Arial" w:hAnsi="Arial"/>
        <w:b/>
        <w:color w:val="FFFFFF"/>
        <w:sz w:val="22"/>
      </w:rPr>
      <w:tblPr/>
      <w:tcPr>
        <w:shd w:val="clear" w:color="9BBB59" w:fill="9BBB59"/>
      </w:tcPr>
    </w:tblStylePr>
    <w:tblStylePr w:type="lastRow">
      <w:rPr>
        <w:rFonts w:ascii="Arial" w:hAnsi="Arial"/>
        <w:b/>
        <w:color w:val="FFFFFF"/>
        <w:sz w:val="22"/>
      </w:rPr>
      <w:tblPr/>
      <w:tcPr>
        <w:tcBorders>
          <w:top w:val="single" w:sz="4" w:space="0" w:color="FFFFFF"/>
        </w:tcBorders>
        <w:shd w:val="clear" w:color="9BBB59" w:fill="9BBB59"/>
      </w:tcPr>
    </w:tblStylePr>
    <w:tblStylePr w:type="firstCol">
      <w:rPr>
        <w:rFonts w:ascii="Arial" w:hAnsi="Arial"/>
        <w:b/>
        <w:color w:val="FFFFFF"/>
        <w:sz w:val="22"/>
      </w:rPr>
      <w:tblPr/>
      <w:tcPr>
        <w:shd w:val="clear" w:color="9BBB59" w:fill="9BBB59"/>
      </w:tcPr>
    </w:tblStylePr>
    <w:tblStylePr w:type="lastCol">
      <w:rPr>
        <w:rFonts w:ascii="Arial" w:hAnsi="Arial"/>
        <w:b/>
        <w:color w:val="FFFFFF"/>
        <w:sz w:val="22"/>
      </w:rPr>
      <w:tblPr/>
      <w:tcPr>
        <w:shd w:val="clear" w:color="9BBB59" w:fill="9BBB59"/>
      </w:tcPr>
    </w:tblStylePr>
    <w:tblStylePr w:type="band1Vert">
      <w:tblPr/>
      <w:tcPr>
        <w:shd w:val="clear" w:color="D0DFB2" w:fill="D0DFB2"/>
      </w:tcPr>
    </w:tblStylePr>
    <w:tblStylePr w:type="band1Horz">
      <w:tblPr/>
      <w:tcPr>
        <w:shd w:val="clear" w:color="D0DFB2" w:fill="D0DFB2"/>
      </w:tcPr>
    </w:tblStylePr>
  </w:style>
  <w:style w:type="table" w:customStyle="1" w:styleId="GridTable5Dark-Accent4">
    <w:name w:val="Grid Table 5 Dark- Accent 4"/>
    <w:basedOn w:val="a1"/>
    <w:uiPriority w:val="99"/>
    <w:rsid w:val="00074AE5"/>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5DFEC" w:fill="E5DFEC"/>
    </w:tblPr>
    <w:tblStylePr w:type="firstRow">
      <w:rPr>
        <w:rFonts w:ascii="Arial" w:hAnsi="Arial"/>
        <w:b/>
        <w:color w:val="FFFFFF"/>
        <w:sz w:val="22"/>
      </w:rPr>
      <w:tblPr/>
      <w:tcPr>
        <w:shd w:val="clear" w:color="8064A2" w:fill="8064A2"/>
      </w:tcPr>
    </w:tblStylePr>
    <w:tblStylePr w:type="lastRow">
      <w:rPr>
        <w:rFonts w:ascii="Arial" w:hAnsi="Arial"/>
        <w:b/>
        <w:color w:val="FFFFFF"/>
        <w:sz w:val="22"/>
      </w:rPr>
      <w:tblPr/>
      <w:tcPr>
        <w:tcBorders>
          <w:top w:val="single" w:sz="4" w:space="0" w:color="FFFFFF"/>
        </w:tcBorders>
        <w:shd w:val="clear" w:color="8064A2" w:fill="8064A2"/>
      </w:tcPr>
    </w:tblStylePr>
    <w:tblStylePr w:type="firstCol">
      <w:rPr>
        <w:rFonts w:ascii="Arial" w:hAnsi="Arial"/>
        <w:b/>
        <w:color w:val="FFFFFF"/>
        <w:sz w:val="22"/>
      </w:rPr>
      <w:tblPr/>
      <w:tcPr>
        <w:shd w:val="clear" w:color="8064A2" w:fill="8064A2"/>
      </w:tcPr>
    </w:tblStylePr>
    <w:tblStylePr w:type="lastCol">
      <w:rPr>
        <w:rFonts w:ascii="Arial" w:hAnsi="Arial"/>
        <w:b/>
        <w:color w:val="FFFFFF"/>
        <w:sz w:val="22"/>
      </w:rPr>
      <w:tblPr/>
      <w:tcPr>
        <w:shd w:val="clear" w:color="8064A2" w:fill="8064A2"/>
      </w:tcPr>
    </w:tblStylePr>
    <w:tblStylePr w:type="band1Vert">
      <w:tblPr/>
      <w:tcPr>
        <w:shd w:val="clear" w:color="C4B7D4" w:fill="C4B7D4"/>
      </w:tcPr>
    </w:tblStylePr>
    <w:tblStylePr w:type="band1Horz">
      <w:tblPr/>
      <w:tcPr>
        <w:shd w:val="clear" w:color="C4B7D4" w:fill="C4B7D4"/>
      </w:tcPr>
    </w:tblStylePr>
  </w:style>
  <w:style w:type="table" w:customStyle="1" w:styleId="GridTable5Dark-Accent5">
    <w:name w:val="Grid Table 5 Dark - Accent 5"/>
    <w:basedOn w:val="a1"/>
    <w:uiPriority w:val="99"/>
    <w:rsid w:val="00074AE5"/>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AEEF3" w:fill="DAEEF3"/>
    </w:tblPr>
    <w:tblStylePr w:type="firstRow">
      <w:rPr>
        <w:rFonts w:ascii="Arial" w:hAnsi="Arial"/>
        <w:b/>
        <w:color w:val="FFFFFF"/>
        <w:sz w:val="22"/>
      </w:rPr>
      <w:tblPr/>
      <w:tcPr>
        <w:shd w:val="clear" w:color="4BACC6" w:fill="4BACC6"/>
      </w:tcPr>
    </w:tblStylePr>
    <w:tblStylePr w:type="lastRow">
      <w:rPr>
        <w:rFonts w:ascii="Arial" w:hAnsi="Arial"/>
        <w:b/>
        <w:color w:val="FFFFFF"/>
        <w:sz w:val="22"/>
      </w:rPr>
      <w:tblPr/>
      <w:tcPr>
        <w:tcBorders>
          <w:top w:val="single" w:sz="4" w:space="0" w:color="FFFFFF"/>
        </w:tcBorders>
        <w:shd w:val="clear" w:color="4BACC6" w:fill="4BACC6"/>
      </w:tcPr>
    </w:tblStylePr>
    <w:tblStylePr w:type="firstCol">
      <w:rPr>
        <w:rFonts w:ascii="Arial" w:hAnsi="Arial"/>
        <w:b/>
        <w:color w:val="FFFFFF"/>
        <w:sz w:val="22"/>
      </w:rPr>
      <w:tblPr/>
      <w:tcPr>
        <w:shd w:val="clear" w:color="4BACC6" w:fill="4BACC6"/>
      </w:tcPr>
    </w:tblStylePr>
    <w:tblStylePr w:type="lastCol">
      <w:rPr>
        <w:rFonts w:ascii="Arial" w:hAnsi="Arial"/>
        <w:b/>
        <w:color w:val="FFFFFF"/>
        <w:sz w:val="22"/>
      </w:rPr>
      <w:tblPr/>
      <w:tcPr>
        <w:shd w:val="clear" w:color="4BACC6" w:fill="4BACC6"/>
      </w:tcPr>
    </w:tblStylePr>
    <w:tblStylePr w:type="band1Vert">
      <w:tblPr/>
      <w:tcPr>
        <w:shd w:val="clear" w:color="ACD8E4" w:fill="ACD8E4"/>
      </w:tcPr>
    </w:tblStylePr>
    <w:tblStylePr w:type="band1Horz">
      <w:tblPr/>
      <w:tcPr>
        <w:shd w:val="clear" w:color="ACD8E4" w:fill="ACD8E4"/>
      </w:tcPr>
    </w:tblStylePr>
  </w:style>
  <w:style w:type="table" w:customStyle="1" w:styleId="GridTable5Dark-Accent6">
    <w:name w:val="Grid Table 5 Dark - Accent 6"/>
    <w:basedOn w:val="a1"/>
    <w:uiPriority w:val="99"/>
    <w:rsid w:val="00074AE5"/>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DE9D8" w:fill="FDE9D8"/>
    </w:tblPr>
    <w:tblStylePr w:type="firstRow">
      <w:rPr>
        <w:rFonts w:ascii="Arial" w:hAnsi="Arial"/>
        <w:b/>
        <w:color w:val="FFFFFF"/>
        <w:sz w:val="22"/>
      </w:rPr>
      <w:tblPr/>
      <w:tcPr>
        <w:shd w:val="clear" w:color="F79646" w:fill="F79646"/>
      </w:tcPr>
    </w:tblStylePr>
    <w:tblStylePr w:type="lastRow">
      <w:rPr>
        <w:rFonts w:ascii="Arial" w:hAnsi="Arial"/>
        <w:b/>
        <w:color w:val="FFFFFF"/>
        <w:sz w:val="22"/>
      </w:rPr>
      <w:tblPr/>
      <w:tcPr>
        <w:tcBorders>
          <w:top w:val="single" w:sz="4" w:space="0" w:color="FFFFFF"/>
        </w:tcBorders>
        <w:shd w:val="clear" w:color="F79646" w:fill="F79646"/>
      </w:tcPr>
    </w:tblStylePr>
    <w:tblStylePr w:type="firstCol">
      <w:rPr>
        <w:rFonts w:ascii="Arial" w:hAnsi="Arial"/>
        <w:b/>
        <w:color w:val="FFFFFF"/>
        <w:sz w:val="22"/>
      </w:rPr>
      <w:tblPr/>
      <w:tcPr>
        <w:shd w:val="clear" w:color="F79646" w:fill="F79646"/>
      </w:tcPr>
    </w:tblStylePr>
    <w:tblStylePr w:type="lastCol">
      <w:rPr>
        <w:rFonts w:ascii="Arial" w:hAnsi="Arial"/>
        <w:b/>
        <w:color w:val="FFFFFF"/>
        <w:sz w:val="22"/>
      </w:rPr>
      <w:tblPr/>
      <w:tcPr>
        <w:shd w:val="clear" w:color="F79646" w:fill="F79646"/>
      </w:tcPr>
    </w:tblStylePr>
    <w:tblStylePr w:type="band1Vert">
      <w:tblPr/>
      <w:tcPr>
        <w:shd w:val="clear" w:color="FBCEAA" w:fill="FBCEAA"/>
      </w:tcPr>
    </w:tblStylePr>
    <w:tblStylePr w:type="band1Horz">
      <w:tblPr/>
      <w:tcPr>
        <w:shd w:val="clear" w:color="FBCEAA" w:fill="FBCEAA"/>
      </w:tcPr>
    </w:tblStylePr>
  </w:style>
  <w:style w:type="table" w:customStyle="1" w:styleId="-61">
    <w:name w:val="Таблица-сетка 6 цветная1"/>
    <w:basedOn w:val="a1"/>
    <w:uiPriority w:val="99"/>
    <w:rsid w:val="00074AE5"/>
    <w:tblPr>
      <w:tblStyleRowBandSize w:val="1"/>
      <w:tblStyleColBandSize w:val="1"/>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Pr>
    <w:tblStylePr w:type="firstRow">
      <w:rPr>
        <w:b/>
        <w:color w:val="7F7F7F"/>
      </w:rPr>
      <w:tblPr/>
      <w:tcPr>
        <w:tcBorders>
          <w:bottom w:val="single" w:sz="12" w:space="0" w:color="7F7F7F"/>
        </w:tcBorders>
      </w:tcPr>
    </w:tblStylePr>
    <w:tblStylePr w:type="lastRow">
      <w:rPr>
        <w:b/>
        <w:color w:val="7F7F7F"/>
      </w:rPr>
    </w:tblStylePr>
    <w:tblStylePr w:type="firstCol">
      <w:rPr>
        <w:b/>
        <w:color w:val="7F7F7F"/>
      </w:rPr>
    </w:tblStylePr>
    <w:tblStylePr w:type="lastCol">
      <w:rPr>
        <w:b/>
        <w:color w:val="7F7F7F"/>
      </w:rPr>
    </w:tblStylePr>
    <w:tblStylePr w:type="band1Vert">
      <w:tblPr/>
      <w:tcPr>
        <w:shd w:val="clear" w:color="CBCBCB" w:fill="CBCBCB"/>
      </w:tcPr>
    </w:tblStylePr>
    <w:tblStylePr w:type="band1Horz">
      <w:rPr>
        <w:rFonts w:ascii="Arial" w:hAnsi="Arial"/>
        <w:color w:val="7F7F7F"/>
        <w:sz w:val="22"/>
      </w:rPr>
      <w:tblPr/>
      <w:tcPr>
        <w:shd w:val="clear" w:color="CBCBCB" w:fill="CBCBCB"/>
      </w:tcPr>
    </w:tblStylePr>
    <w:tblStylePr w:type="band2Horz">
      <w:rPr>
        <w:rFonts w:ascii="Arial" w:hAnsi="Arial"/>
        <w:color w:val="7F7F7F"/>
        <w:sz w:val="22"/>
      </w:rPr>
    </w:tblStylePr>
  </w:style>
  <w:style w:type="table" w:customStyle="1" w:styleId="GridTable6Colorful-Accent1">
    <w:name w:val="Grid Table 6 Colorful - Accent 1"/>
    <w:basedOn w:val="a1"/>
    <w:uiPriority w:val="99"/>
    <w:rsid w:val="00074AE5"/>
    <w:tblPr>
      <w:tblStyleRowBandSize w:val="1"/>
      <w:tblStyleColBandSize w:val="1"/>
      <w:tblBorders>
        <w:top w:val="single" w:sz="4" w:space="0" w:color="A6BFDD"/>
        <w:left w:val="single" w:sz="4" w:space="0" w:color="A6BFDD"/>
        <w:bottom w:val="single" w:sz="4" w:space="0" w:color="A6BFDD"/>
        <w:right w:val="single" w:sz="4" w:space="0" w:color="A6BFDD"/>
        <w:insideH w:val="single" w:sz="4" w:space="0" w:color="A6BFDD"/>
        <w:insideV w:val="single" w:sz="4" w:space="0" w:color="A6BFDD"/>
      </w:tblBorders>
    </w:tblPr>
    <w:tblStylePr w:type="firstRow">
      <w:rPr>
        <w:b/>
        <w:color w:val="A6BFDD"/>
      </w:rPr>
      <w:tblPr/>
      <w:tcPr>
        <w:tcBorders>
          <w:bottom w:val="single" w:sz="12" w:space="0" w:color="A6BFDD"/>
        </w:tcBorders>
      </w:tcPr>
    </w:tblStylePr>
    <w:tblStylePr w:type="lastRow">
      <w:rPr>
        <w:b/>
        <w:color w:val="A6BFDD"/>
      </w:rPr>
    </w:tblStylePr>
    <w:tblStylePr w:type="firstCol">
      <w:rPr>
        <w:b/>
        <w:color w:val="A6BFDD"/>
      </w:rPr>
    </w:tblStylePr>
    <w:tblStylePr w:type="lastCol">
      <w:rPr>
        <w:b/>
        <w:color w:val="A6BFDD"/>
      </w:rPr>
    </w:tblStylePr>
    <w:tblStylePr w:type="band1Vert">
      <w:tblPr/>
      <w:tcPr>
        <w:shd w:val="clear" w:color="DAE5F1" w:fill="DAE5F1"/>
      </w:tcPr>
    </w:tblStylePr>
    <w:tblStylePr w:type="band1Horz">
      <w:rPr>
        <w:rFonts w:ascii="Arial" w:hAnsi="Arial"/>
        <w:color w:val="A6BFDD"/>
        <w:sz w:val="22"/>
      </w:rPr>
      <w:tblPr/>
      <w:tcPr>
        <w:shd w:val="clear" w:color="DAE5F1" w:fill="DAE5F1"/>
      </w:tcPr>
    </w:tblStylePr>
    <w:tblStylePr w:type="band2Horz">
      <w:rPr>
        <w:rFonts w:ascii="Arial" w:hAnsi="Arial"/>
        <w:color w:val="A6BFDD"/>
        <w:sz w:val="22"/>
      </w:rPr>
    </w:tblStylePr>
  </w:style>
  <w:style w:type="table" w:customStyle="1" w:styleId="GridTable6Colorful-Accent2">
    <w:name w:val="Grid Table 6 Colorful - Accent 2"/>
    <w:basedOn w:val="a1"/>
    <w:uiPriority w:val="99"/>
    <w:rsid w:val="00074AE5"/>
    <w:tblPr>
      <w:tblStyleRowBandSize w:val="1"/>
      <w:tblStyleColBandSize w:val="1"/>
      <w:tblBorders>
        <w:top w:val="single" w:sz="4" w:space="0" w:color="D99695"/>
        <w:left w:val="single" w:sz="4" w:space="0" w:color="D99695"/>
        <w:bottom w:val="single" w:sz="4" w:space="0" w:color="D99695"/>
        <w:right w:val="single" w:sz="4" w:space="0" w:color="D99695"/>
        <w:insideH w:val="single" w:sz="4" w:space="0" w:color="D99695"/>
        <w:insideV w:val="single" w:sz="4" w:space="0" w:color="D99695"/>
      </w:tblBorders>
    </w:tblPr>
    <w:tblStylePr w:type="firstRow">
      <w:rPr>
        <w:b/>
        <w:color w:val="D99695"/>
      </w:rPr>
      <w:tblPr/>
      <w:tcPr>
        <w:tcBorders>
          <w:bottom w:val="single" w:sz="12" w:space="0" w:color="D99695"/>
        </w:tcBorders>
      </w:tcPr>
    </w:tblStylePr>
    <w:tblStylePr w:type="lastRow">
      <w:rPr>
        <w:b/>
        <w:color w:val="D99695"/>
      </w:rPr>
    </w:tblStylePr>
    <w:tblStylePr w:type="firstCol">
      <w:rPr>
        <w:b/>
        <w:color w:val="D99695"/>
      </w:rPr>
    </w:tblStylePr>
    <w:tblStylePr w:type="lastCol">
      <w:rPr>
        <w:b/>
        <w:color w:val="D99695"/>
      </w:rPr>
    </w:tblStylePr>
    <w:tblStylePr w:type="band1Vert">
      <w:tblPr/>
      <w:tcPr>
        <w:shd w:val="clear" w:color="F2DCDC" w:fill="F2DCDC"/>
      </w:tcPr>
    </w:tblStylePr>
    <w:tblStylePr w:type="band1Horz">
      <w:rPr>
        <w:rFonts w:ascii="Arial" w:hAnsi="Arial"/>
        <w:color w:val="D99695"/>
        <w:sz w:val="22"/>
      </w:rPr>
      <w:tblPr/>
      <w:tcPr>
        <w:shd w:val="clear" w:color="F2DCDC" w:fill="F2DCDC"/>
      </w:tcPr>
    </w:tblStylePr>
    <w:tblStylePr w:type="band2Horz">
      <w:rPr>
        <w:rFonts w:ascii="Arial" w:hAnsi="Arial"/>
        <w:color w:val="D99695"/>
        <w:sz w:val="22"/>
      </w:rPr>
    </w:tblStylePr>
  </w:style>
  <w:style w:type="table" w:customStyle="1" w:styleId="GridTable6Colorful-Accent3">
    <w:name w:val="Grid Table 6 Colorful - Accent 3"/>
    <w:basedOn w:val="a1"/>
    <w:uiPriority w:val="99"/>
    <w:rsid w:val="00074AE5"/>
    <w:tblPr>
      <w:tblStyleRowBandSize w:val="1"/>
      <w:tblStyleColBandSize w:val="1"/>
      <w:tblBorders>
        <w:top w:val="single" w:sz="4" w:space="0" w:color="9ABB59"/>
        <w:left w:val="single" w:sz="4" w:space="0" w:color="9ABB59"/>
        <w:bottom w:val="single" w:sz="4" w:space="0" w:color="9ABB59"/>
        <w:right w:val="single" w:sz="4" w:space="0" w:color="9ABB59"/>
        <w:insideH w:val="single" w:sz="4" w:space="0" w:color="9ABB59"/>
        <w:insideV w:val="single" w:sz="4" w:space="0" w:color="9ABB59"/>
      </w:tblBorders>
    </w:tblPr>
    <w:tblStylePr w:type="firstRow">
      <w:rPr>
        <w:b/>
        <w:color w:val="9ABB59"/>
      </w:rPr>
      <w:tblPr/>
      <w:tcPr>
        <w:tcBorders>
          <w:bottom w:val="single" w:sz="12" w:space="0" w:color="9ABB59"/>
        </w:tcBorders>
      </w:tcPr>
    </w:tblStylePr>
    <w:tblStylePr w:type="lastRow">
      <w:rPr>
        <w:b/>
        <w:color w:val="9ABB59"/>
      </w:rPr>
    </w:tblStylePr>
    <w:tblStylePr w:type="firstCol">
      <w:rPr>
        <w:b/>
        <w:color w:val="9ABB59"/>
      </w:rPr>
    </w:tblStylePr>
    <w:tblStylePr w:type="lastCol">
      <w:rPr>
        <w:b/>
        <w:color w:val="9ABB59"/>
      </w:rPr>
    </w:tblStylePr>
    <w:tblStylePr w:type="band1Vert">
      <w:tblPr/>
      <w:tcPr>
        <w:shd w:val="clear" w:color="EAF1DC" w:fill="EAF1DC"/>
      </w:tcPr>
    </w:tblStylePr>
    <w:tblStylePr w:type="band1Horz">
      <w:rPr>
        <w:rFonts w:ascii="Arial" w:hAnsi="Arial"/>
        <w:color w:val="9ABB59"/>
        <w:sz w:val="22"/>
      </w:rPr>
      <w:tblPr/>
      <w:tcPr>
        <w:shd w:val="clear" w:color="EAF1DC" w:fill="EAF1DC"/>
      </w:tcPr>
    </w:tblStylePr>
    <w:tblStylePr w:type="band2Horz">
      <w:rPr>
        <w:rFonts w:ascii="Arial" w:hAnsi="Arial"/>
        <w:color w:val="9ABB59"/>
        <w:sz w:val="22"/>
      </w:rPr>
    </w:tblStylePr>
  </w:style>
  <w:style w:type="table" w:customStyle="1" w:styleId="GridTable6Colorful-Accent4">
    <w:name w:val="Grid Table 6 Colorful - Accent 4"/>
    <w:basedOn w:val="a1"/>
    <w:uiPriority w:val="99"/>
    <w:rsid w:val="00074AE5"/>
    <w:tblPr>
      <w:tblStyleRowBandSize w:val="1"/>
      <w:tblStyleColBandSize w:val="1"/>
      <w:tblBorders>
        <w:top w:val="single" w:sz="4" w:space="0" w:color="B2A1C6"/>
        <w:left w:val="single" w:sz="4" w:space="0" w:color="B2A1C6"/>
        <w:bottom w:val="single" w:sz="4" w:space="0" w:color="B2A1C6"/>
        <w:right w:val="single" w:sz="4" w:space="0" w:color="B2A1C6"/>
        <w:insideH w:val="single" w:sz="4" w:space="0" w:color="B2A1C6"/>
        <w:insideV w:val="single" w:sz="4" w:space="0" w:color="B2A1C6"/>
      </w:tblBorders>
    </w:tblPr>
    <w:tblStylePr w:type="firstRow">
      <w:rPr>
        <w:b/>
        <w:color w:val="B2A1C6"/>
      </w:rPr>
      <w:tblPr/>
      <w:tcPr>
        <w:tcBorders>
          <w:bottom w:val="single" w:sz="12" w:space="0" w:color="B2A1C6"/>
        </w:tcBorders>
      </w:tcPr>
    </w:tblStylePr>
    <w:tblStylePr w:type="lastRow">
      <w:rPr>
        <w:b/>
        <w:color w:val="B2A1C6"/>
      </w:rPr>
    </w:tblStylePr>
    <w:tblStylePr w:type="firstCol">
      <w:rPr>
        <w:b/>
        <w:color w:val="B2A1C6"/>
      </w:rPr>
    </w:tblStylePr>
    <w:tblStylePr w:type="lastCol">
      <w:rPr>
        <w:b/>
        <w:color w:val="B2A1C6"/>
      </w:rPr>
    </w:tblStylePr>
    <w:tblStylePr w:type="band1Vert">
      <w:tblPr/>
      <w:tcPr>
        <w:shd w:val="clear" w:color="E5DFEC" w:fill="E5DFEC"/>
      </w:tcPr>
    </w:tblStylePr>
    <w:tblStylePr w:type="band1Horz">
      <w:rPr>
        <w:rFonts w:ascii="Arial" w:hAnsi="Arial"/>
        <w:color w:val="B2A1C6"/>
        <w:sz w:val="22"/>
      </w:rPr>
      <w:tblPr/>
      <w:tcPr>
        <w:shd w:val="clear" w:color="E5DFEC" w:fill="E5DFEC"/>
      </w:tcPr>
    </w:tblStylePr>
    <w:tblStylePr w:type="band2Horz">
      <w:rPr>
        <w:rFonts w:ascii="Arial" w:hAnsi="Arial"/>
        <w:color w:val="B2A1C6"/>
        <w:sz w:val="22"/>
      </w:rPr>
    </w:tblStylePr>
  </w:style>
  <w:style w:type="table" w:customStyle="1" w:styleId="GridTable6Colorful-Accent5">
    <w:name w:val="Grid Table 6 Colorful - Accent 5"/>
    <w:basedOn w:val="a1"/>
    <w:uiPriority w:val="99"/>
    <w:rsid w:val="00074AE5"/>
    <w:tblPr>
      <w:tblStyleRowBandSize w:val="1"/>
      <w:tblStyleColBandSize w:val="1"/>
      <w:tblBorders>
        <w:top w:val="single" w:sz="4" w:space="0" w:color="4BACC6"/>
        <w:left w:val="single" w:sz="4" w:space="0" w:color="4BACC6"/>
        <w:bottom w:val="single" w:sz="4" w:space="0" w:color="4BACC6"/>
        <w:right w:val="single" w:sz="4" w:space="0" w:color="4BACC6"/>
        <w:insideH w:val="single" w:sz="4" w:space="0" w:color="4BACC6"/>
        <w:insideV w:val="single" w:sz="4" w:space="0" w:color="4BACC6"/>
      </w:tblBorders>
    </w:tblPr>
    <w:tblStylePr w:type="firstRow">
      <w:rPr>
        <w:b/>
        <w:color w:val="266779"/>
      </w:rPr>
      <w:tblPr/>
      <w:tcPr>
        <w:tcBorders>
          <w:bottom w:val="single" w:sz="12" w:space="0" w:color="4BACC6"/>
        </w:tcBorders>
      </w:tcPr>
    </w:tblStylePr>
    <w:tblStylePr w:type="lastRow">
      <w:rPr>
        <w:b/>
        <w:color w:val="266779"/>
      </w:rPr>
    </w:tblStylePr>
    <w:tblStylePr w:type="firstCol">
      <w:rPr>
        <w:b/>
        <w:color w:val="266779"/>
      </w:rPr>
    </w:tblStylePr>
    <w:tblStylePr w:type="lastCol">
      <w:rPr>
        <w:b/>
        <w:color w:val="266779"/>
      </w:rPr>
    </w:tblStylePr>
    <w:tblStylePr w:type="band1Vert">
      <w:tblPr/>
      <w:tcPr>
        <w:shd w:val="clear" w:color="DAEEF3" w:fill="DAEEF3"/>
      </w:tcPr>
    </w:tblStylePr>
    <w:tblStylePr w:type="band1Horz">
      <w:rPr>
        <w:rFonts w:ascii="Arial" w:hAnsi="Arial"/>
        <w:color w:val="266779"/>
        <w:sz w:val="22"/>
      </w:rPr>
      <w:tblPr/>
      <w:tcPr>
        <w:shd w:val="clear" w:color="DAEEF3" w:fill="DAEEF3"/>
      </w:tcPr>
    </w:tblStylePr>
    <w:tblStylePr w:type="band2Horz">
      <w:rPr>
        <w:rFonts w:ascii="Arial" w:hAnsi="Arial"/>
        <w:color w:val="266779"/>
        <w:sz w:val="22"/>
      </w:rPr>
    </w:tblStylePr>
  </w:style>
  <w:style w:type="table" w:customStyle="1" w:styleId="GridTable6Colorful-Accent6">
    <w:name w:val="Grid Table 6 Colorful - Accent 6"/>
    <w:basedOn w:val="a1"/>
    <w:uiPriority w:val="99"/>
    <w:rsid w:val="00074AE5"/>
    <w:tblPr>
      <w:tblStyleRowBandSize w:val="1"/>
      <w:tblStyleColBandSize w:val="1"/>
      <w:tblBorders>
        <w:top w:val="single" w:sz="4" w:space="0" w:color="F79646"/>
        <w:left w:val="single" w:sz="4" w:space="0" w:color="F79646"/>
        <w:bottom w:val="single" w:sz="4" w:space="0" w:color="F79646"/>
        <w:right w:val="single" w:sz="4" w:space="0" w:color="F79646"/>
        <w:insideH w:val="single" w:sz="4" w:space="0" w:color="F79646"/>
        <w:insideV w:val="single" w:sz="4" w:space="0" w:color="F79646"/>
      </w:tblBorders>
    </w:tblPr>
    <w:tblStylePr w:type="firstRow">
      <w:rPr>
        <w:b/>
        <w:color w:val="266779"/>
      </w:rPr>
      <w:tblPr/>
      <w:tcPr>
        <w:tcBorders>
          <w:bottom w:val="single" w:sz="12" w:space="0" w:color="F79646"/>
        </w:tcBorders>
      </w:tcPr>
    </w:tblStylePr>
    <w:tblStylePr w:type="lastRow">
      <w:rPr>
        <w:b/>
        <w:color w:val="266779"/>
      </w:rPr>
    </w:tblStylePr>
    <w:tblStylePr w:type="firstCol">
      <w:rPr>
        <w:b/>
        <w:color w:val="266779"/>
      </w:rPr>
    </w:tblStylePr>
    <w:tblStylePr w:type="lastCol">
      <w:rPr>
        <w:b/>
        <w:color w:val="266779"/>
      </w:rPr>
    </w:tblStylePr>
    <w:tblStylePr w:type="band1Vert">
      <w:tblPr/>
      <w:tcPr>
        <w:shd w:val="clear" w:color="FDE9D8" w:fill="FDE9D8"/>
      </w:tcPr>
    </w:tblStylePr>
    <w:tblStylePr w:type="band1Horz">
      <w:rPr>
        <w:rFonts w:ascii="Arial" w:hAnsi="Arial"/>
        <w:color w:val="266779"/>
        <w:sz w:val="22"/>
      </w:rPr>
      <w:tblPr/>
      <w:tcPr>
        <w:shd w:val="clear" w:color="FDE9D8" w:fill="FDE9D8"/>
      </w:tcPr>
    </w:tblStylePr>
    <w:tblStylePr w:type="band2Horz">
      <w:rPr>
        <w:rFonts w:ascii="Arial" w:hAnsi="Arial"/>
        <w:color w:val="266779"/>
        <w:sz w:val="22"/>
      </w:rPr>
    </w:tblStylePr>
  </w:style>
  <w:style w:type="table" w:customStyle="1" w:styleId="-71">
    <w:name w:val="Таблица-сетка 7 цветная1"/>
    <w:basedOn w:val="a1"/>
    <w:uiPriority w:val="99"/>
    <w:rsid w:val="00074AE5"/>
    <w:tblPr>
      <w:tblStyleRowBandSize w:val="1"/>
      <w:tblStyleColBandSize w:val="1"/>
      <w:tblBorders>
        <w:bottom w:val="single" w:sz="4" w:space="0" w:color="7F7F7F"/>
        <w:right w:val="single" w:sz="4" w:space="0" w:color="7F7F7F"/>
        <w:insideH w:val="single" w:sz="4" w:space="0" w:color="7F7F7F"/>
        <w:insideV w:val="single" w:sz="4" w:space="0" w:color="7F7F7F"/>
      </w:tblBorders>
    </w:tblPr>
    <w:tblStylePr w:type="firstRow">
      <w:rPr>
        <w:rFonts w:ascii="Arial" w:hAnsi="Arial"/>
        <w:b/>
        <w:color w:val="7F7F7F"/>
        <w:sz w:val="22"/>
      </w:rPr>
      <w:tblPr/>
      <w:tcPr>
        <w:tcBorders>
          <w:top w:val="none" w:sz="4" w:space="0" w:color="000000"/>
          <w:left w:val="none" w:sz="4" w:space="0" w:color="000000"/>
          <w:bottom w:val="single" w:sz="4" w:space="0" w:color="7F7F7F"/>
          <w:right w:val="none" w:sz="4" w:space="0" w:color="000000"/>
        </w:tcBorders>
        <w:shd w:val="clear" w:color="FFFFFF" w:fill="FFFFFF"/>
      </w:tcPr>
    </w:tblStylePr>
    <w:tblStylePr w:type="lastRow">
      <w:rPr>
        <w:rFonts w:ascii="Arial" w:hAnsi="Arial"/>
        <w:b/>
        <w:color w:val="7F7F7F"/>
        <w:sz w:val="22"/>
      </w:rPr>
      <w:tblPr/>
      <w:tcPr>
        <w:tcBorders>
          <w:top w:val="single" w:sz="4" w:space="0" w:color="7F7F7F"/>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7F7F7F"/>
        <w:sz w:val="22"/>
      </w:rPr>
      <w:tblPr/>
      <w:tcPr>
        <w:tcBorders>
          <w:top w:val="none" w:sz="4" w:space="0" w:color="000000"/>
          <w:left w:val="none" w:sz="4" w:space="0" w:color="000000"/>
          <w:bottom w:val="none" w:sz="4" w:space="0" w:color="000000"/>
          <w:right w:val="single" w:sz="4" w:space="0" w:color="7F7F7F"/>
        </w:tcBorders>
        <w:shd w:val="clear" w:color="FFFFFF" w:fill="auto"/>
      </w:tcPr>
    </w:tblStylePr>
    <w:tblStylePr w:type="lastCol">
      <w:rPr>
        <w:rFonts w:ascii="Arial" w:hAnsi="Arial"/>
        <w:i/>
        <w:color w:val="7F7F7F"/>
        <w:sz w:val="22"/>
      </w:rPr>
      <w:tblPr/>
      <w:tcPr>
        <w:tcBorders>
          <w:top w:val="none" w:sz="4" w:space="0" w:color="000000"/>
          <w:left w:val="single" w:sz="4" w:space="0" w:color="7F7F7F"/>
          <w:bottom w:val="none" w:sz="4" w:space="0" w:color="000000"/>
          <w:right w:val="none" w:sz="4" w:space="0" w:color="000000"/>
        </w:tcBorders>
        <w:shd w:val="clear" w:color="FFFFFF" w:fill="auto"/>
      </w:tcPr>
    </w:tblStylePr>
    <w:tblStylePr w:type="band1Vert">
      <w:tblPr/>
      <w:tcPr>
        <w:shd w:val="clear" w:color="F2F2F2" w:fill="F2F2F2"/>
      </w:tcPr>
    </w:tblStylePr>
    <w:tblStylePr w:type="band1Horz">
      <w:rPr>
        <w:rFonts w:ascii="Arial" w:hAnsi="Arial"/>
        <w:color w:val="7F7F7F"/>
        <w:sz w:val="22"/>
      </w:rPr>
      <w:tblPr/>
      <w:tcPr>
        <w:shd w:val="clear" w:color="F2F2F2" w:fill="F2F2F2"/>
      </w:tcPr>
    </w:tblStylePr>
    <w:tblStylePr w:type="band2Horz">
      <w:rPr>
        <w:rFonts w:ascii="Arial" w:hAnsi="Arial"/>
        <w:color w:val="7F7F7F"/>
        <w:sz w:val="22"/>
      </w:rPr>
    </w:tblStylePr>
  </w:style>
  <w:style w:type="table" w:customStyle="1" w:styleId="GridTable7Colorful-Accent1">
    <w:name w:val="Grid Table 7 Colorful - Accent 1"/>
    <w:basedOn w:val="a1"/>
    <w:uiPriority w:val="99"/>
    <w:rsid w:val="00074AE5"/>
    <w:tblPr>
      <w:tblStyleRowBandSize w:val="1"/>
      <w:tblStyleColBandSize w:val="1"/>
      <w:tblBorders>
        <w:bottom w:val="single" w:sz="4" w:space="0" w:color="A6BFDD"/>
        <w:right w:val="single" w:sz="4" w:space="0" w:color="A6BFDD"/>
        <w:insideH w:val="single" w:sz="4" w:space="0" w:color="A6BFDD"/>
        <w:insideV w:val="single" w:sz="4" w:space="0" w:color="A6BFDD"/>
      </w:tblBorders>
    </w:tblPr>
    <w:tblStylePr w:type="firstRow">
      <w:rPr>
        <w:rFonts w:ascii="Arial" w:hAnsi="Arial"/>
        <w:b/>
        <w:color w:val="A6BFDD"/>
        <w:sz w:val="22"/>
      </w:rPr>
      <w:tblPr/>
      <w:tcPr>
        <w:tcBorders>
          <w:top w:val="none" w:sz="4" w:space="0" w:color="000000"/>
          <w:left w:val="none" w:sz="4" w:space="0" w:color="000000"/>
          <w:bottom w:val="single" w:sz="4" w:space="0" w:color="A6BFDD"/>
          <w:right w:val="none" w:sz="4" w:space="0" w:color="000000"/>
        </w:tcBorders>
        <w:shd w:val="clear" w:color="FFFFFF" w:fill="FFFFFF"/>
      </w:tcPr>
    </w:tblStylePr>
    <w:tblStylePr w:type="lastRow">
      <w:rPr>
        <w:rFonts w:ascii="Arial" w:hAnsi="Arial"/>
        <w:b/>
        <w:color w:val="A6BFDD"/>
        <w:sz w:val="22"/>
      </w:rPr>
      <w:tblPr/>
      <w:tcPr>
        <w:tcBorders>
          <w:top w:val="single" w:sz="4" w:space="0" w:color="A6BFDD"/>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A6BFDD"/>
        <w:sz w:val="22"/>
      </w:rPr>
      <w:tblPr/>
      <w:tcPr>
        <w:tcBorders>
          <w:top w:val="none" w:sz="4" w:space="0" w:color="000000"/>
          <w:left w:val="none" w:sz="4" w:space="0" w:color="000000"/>
          <w:bottom w:val="none" w:sz="4" w:space="0" w:color="000000"/>
          <w:right w:val="single" w:sz="4" w:space="0" w:color="A6BFDD"/>
        </w:tcBorders>
        <w:shd w:val="clear" w:color="FFFFFF" w:fill="auto"/>
      </w:tcPr>
    </w:tblStylePr>
    <w:tblStylePr w:type="lastCol">
      <w:rPr>
        <w:rFonts w:ascii="Arial" w:hAnsi="Arial"/>
        <w:i/>
        <w:color w:val="A6BFDD"/>
        <w:sz w:val="22"/>
      </w:rPr>
      <w:tblPr/>
      <w:tcPr>
        <w:tcBorders>
          <w:top w:val="none" w:sz="4" w:space="0" w:color="000000"/>
          <w:left w:val="single" w:sz="4" w:space="0" w:color="A6BFDD"/>
          <w:bottom w:val="none" w:sz="4" w:space="0" w:color="000000"/>
          <w:right w:val="none" w:sz="4" w:space="0" w:color="000000"/>
        </w:tcBorders>
        <w:shd w:val="clear" w:color="FFFFFF" w:fill="auto"/>
      </w:tcPr>
    </w:tblStylePr>
    <w:tblStylePr w:type="band1Vert">
      <w:tblPr/>
      <w:tcPr>
        <w:shd w:val="clear" w:color="DAE5F1" w:fill="DAE5F1"/>
      </w:tcPr>
    </w:tblStylePr>
    <w:tblStylePr w:type="band1Horz">
      <w:rPr>
        <w:rFonts w:ascii="Arial" w:hAnsi="Arial"/>
        <w:color w:val="A6BFDD"/>
        <w:sz w:val="22"/>
      </w:rPr>
      <w:tblPr/>
      <w:tcPr>
        <w:shd w:val="clear" w:color="DAE5F1" w:fill="DAE5F1"/>
      </w:tcPr>
    </w:tblStylePr>
    <w:tblStylePr w:type="band2Horz">
      <w:rPr>
        <w:rFonts w:ascii="Arial" w:hAnsi="Arial"/>
        <w:color w:val="A6BFDD"/>
        <w:sz w:val="22"/>
      </w:rPr>
    </w:tblStylePr>
  </w:style>
  <w:style w:type="table" w:customStyle="1" w:styleId="GridTable7Colorful-Accent2">
    <w:name w:val="Grid Table 7 Colorful - Accent 2"/>
    <w:basedOn w:val="a1"/>
    <w:uiPriority w:val="99"/>
    <w:rsid w:val="00074AE5"/>
    <w:tblPr>
      <w:tblStyleRowBandSize w:val="1"/>
      <w:tblStyleColBandSize w:val="1"/>
      <w:tblBorders>
        <w:bottom w:val="single" w:sz="4" w:space="0" w:color="D99695"/>
        <w:right w:val="single" w:sz="4" w:space="0" w:color="D99695"/>
        <w:insideH w:val="single" w:sz="4" w:space="0" w:color="D99695"/>
        <w:insideV w:val="single" w:sz="4" w:space="0" w:color="D99695"/>
      </w:tblBorders>
    </w:tblPr>
    <w:tblStylePr w:type="firstRow">
      <w:rPr>
        <w:rFonts w:ascii="Arial" w:hAnsi="Arial"/>
        <w:b/>
        <w:color w:val="D99695"/>
        <w:sz w:val="22"/>
      </w:rPr>
      <w:tblPr/>
      <w:tcPr>
        <w:tcBorders>
          <w:top w:val="none" w:sz="4" w:space="0" w:color="000000"/>
          <w:left w:val="none" w:sz="4" w:space="0" w:color="000000"/>
          <w:bottom w:val="single" w:sz="4" w:space="0" w:color="D99695"/>
          <w:right w:val="none" w:sz="4" w:space="0" w:color="000000"/>
        </w:tcBorders>
        <w:shd w:val="clear" w:color="FFFFFF" w:fill="FFFFFF"/>
      </w:tcPr>
    </w:tblStylePr>
    <w:tblStylePr w:type="lastRow">
      <w:rPr>
        <w:rFonts w:ascii="Arial" w:hAnsi="Arial"/>
        <w:b/>
        <w:color w:val="D99695"/>
        <w:sz w:val="22"/>
      </w:rPr>
      <w:tblPr/>
      <w:tcPr>
        <w:tcBorders>
          <w:top w:val="single" w:sz="4" w:space="0" w:color="D9969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D99695"/>
        <w:sz w:val="22"/>
      </w:rPr>
      <w:tblPr/>
      <w:tcPr>
        <w:tcBorders>
          <w:top w:val="none" w:sz="4" w:space="0" w:color="000000"/>
          <w:left w:val="none" w:sz="4" w:space="0" w:color="000000"/>
          <w:bottom w:val="none" w:sz="4" w:space="0" w:color="000000"/>
          <w:right w:val="single" w:sz="4" w:space="0" w:color="D99695"/>
        </w:tcBorders>
        <w:shd w:val="clear" w:color="FFFFFF" w:fill="auto"/>
      </w:tcPr>
    </w:tblStylePr>
    <w:tblStylePr w:type="lastCol">
      <w:rPr>
        <w:rFonts w:ascii="Arial" w:hAnsi="Arial"/>
        <w:i/>
        <w:color w:val="D99695"/>
        <w:sz w:val="22"/>
      </w:rPr>
      <w:tblPr/>
      <w:tcPr>
        <w:tcBorders>
          <w:top w:val="none" w:sz="4" w:space="0" w:color="000000"/>
          <w:left w:val="single" w:sz="4" w:space="0" w:color="D99695"/>
          <w:bottom w:val="none" w:sz="4" w:space="0" w:color="000000"/>
          <w:right w:val="none" w:sz="4" w:space="0" w:color="000000"/>
        </w:tcBorders>
        <w:shd w:val="clear" w:color="FFFFFF" w:fill="auto"/>
      </w:tcPr>
    </w:tblStylePr>
    <w:tblStylePr w:type="band1Vert">
      <w:tblPr/>
      <w:tcPr>
        <w:shd w:val="clear" w:color="F2DCDC" w:fill="F2DCDC"/>
      </w:tcPr>
    </w:tblStylePr>
    <w:tblStylePr w:type="band1Horz">
      <w:rPr>
        <w:rFonts w:ascii="Arial" w:hAnsi="Arial"/>
        <w:color w:val="D99695"/>
        <w:sz w:val="22"/>
      </w:rPr>
      <w:tblPr/>
      <w:tcPr>
        <w:shd w:val="clear" w:color="F2DCDC" w:fill="F2DCDC"/>
      </w:tcPr>
    </w:tblStylePr>
    <w:tblStylePr w:type="band2Horz">
      <w:rPr>
        <w:rFonts w:ascii="Arial" w:hAnsi="Arial"/>
        <w:color w:val="D99695"/>
        <w:sz w:val="22"/>
      </w:rPr>
    </w:tblStylePr>
  </w:style>
  <w:style w:type="table" w:customStyle="1" w:styleId="GridTable7Colorful-Accent3">
    <w:name w:val="Grid Table 7 Colorful - Accent 3"/>
    <w:basedOn w:val="a1"/>
    <w:uiPriority w:val="99"/>
    <w:rsid w:val="00074AE5"/>
    <w:tblPr>
      <w:tblStyleRowBandSize w:val="1"/>
      <w:tblStyleColBandSize w:val="1"/>
      <w:tblBorders>
        <w:bottom w:val="single" w:sz="4" w:space="0" w:color="9ABB59"/>
        <w:right w:val="single" w:sz="4" w:space="0" w:color="9ABB59"/>
        <w:insideH w:val="single" w:sz="4" w:space="0" w:color="9ABB59"/>
        <w:insideV w:val="single" w:sz="4" w:space="0" w:color="9ABB59"/>
      </w:tblBorders>
    </w:tblPr>
    <w:tblStylePr w:type="firstRow">
      <w:rPr>
        <w:rFonts w:ascii="Arial" w:hAnsi="Arial"/>
        <w:b/>
        <w:color w:val="9ABB59"/>
        <w:sz w:val="22"/>
      </w:rPr>
      <w:tblPr/>
      <w:tcPr>
        <w:tcBorders>
          <w:top w:val="none" w:sz="4" w:space="0" w:color="000000"/>
          <w:left w:val="none" w:sz="4" w:space="0" w:color="000000"/>
          <w:bottom w:val="single" w:sz="4" w:space="0" w:color="9ABB59"/>
          <w:right w:val="none" w:sz="4" w:space="0" w:color="000000"/>
        </w:tcBorders>
        <w:shd w:val="clear" w:color="FFFFFF" w:fill="FFFFFF"/>
      </w:tcPr>
    </w:tblStylePr>
    <w:tblStylePr w:type="lastRow">
      <w:rPr>
        <w:rFonts w:ascii="Arial" w:hAnsi="Arial"/>
        <w:b/>
        <w:color w:val="9ABB59"/>
        <w:sz w:val="22"/>
      </w:rPr>
      <w:tblPr/>
      <w:tcPr>
        <w:tcBorders>
          <w:top w:val="single" w:sz="4" w:space="0" w:color="9ABB59"/>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9ABB59"/>
        <w:sz w:val="22"/>
      </w:rPr>
      <w:tblPr/>
      <w:tcPr>
        <w:tcBorders>
          <w:top w:val="none" w:sz="4" w:space="0" w:color="000000"/>
          <w:left w:val="none" w:sz="4" w:space="0" w:color="000000"/>
          <w:bottom w:val="none" w:sz="4" w:space="0" w:color="000000"/>
          <w:right w:val="single" w:sz="4" w:space="0" w:color="9ABB59"/>
        </w:tcBorders>
        <w:shd w:val="clear" w:color="FFFFFF" w:fill="auto"/>
      </w:tcPr>
    </w:tblStylePr>
    <w:tblStylePr w:type="lastCol">
      <w:rPr>
        <w:rFonts w:ascii="Arial" w:hAnsi="Arial"/>
        <w:i/>
        <w:color w:val="9ABB59"/>
        <w:sz w:val="22"/>
      </w:rPr>
      <w:tblPr/>
      <w:tcPr>
        <w:tcBorders>
          <w:top w:val="none" w:sz="4" w:space="0" w:color="000000"/>
          <w:left w:val="single" w:sz="4" w:space="0" w:color="9ABB59"/>
          <w:bottom w:val="none" w:sz="4" w:space="0" w:color="000000"/>
          <w:right w:val="none" w:sz="4" w:space="0" w:color="000000"/>
        </w:tcBorders>
        <w:shd w:val="clear" w:color="FFFFFF" w:fill="auto"/>
      </w:tcPr>
    </w:tblStylePr>
    <w:tblStylePr w:type="band1Vert">
      <w:tblPr/>
      <w:tcPr>
        <w:shd w:val="clear" w:color="EAF1DC" w:fill="EAF1DC"/>
      </w:tcPr>
    </w:tblStylePr>
    <w:tblStylePr w:type="band1Horz">
      <w:rPr>
        <w:rFonts w:ascii="Arial" w:hAnsi="Arial"/>
        <w:color w:val="9ABB59"/>
        <w:sz w:val="22"/>
      </w:rPr>
      <w:tblPr/>
      <w:tcPr>
        <w:shd w:val="clear" w:color="EAF1DC" w:fill="EAF1DC"/>
      </w:tcPr>
    </w:tblStylePr>
    <w:tblStylePr w:type="band2Horz">
      <w:rPr>
        <w:rFonts w:ascii="Arial" w:hAnsi="Arial"/>
        <w:color w:val="9ABB59"/>
        <w:sz w:val="22"/>
      </w:rPr>
    </w:tblStylePr>
  </w:style>
  <w:style w:type="table" w:customStyle="1" w:styleId="GridTable7Colorful-Accent4">
    <w:name w:val="Grid Table 7 Colorful - Accent 4"/>
    <w:basedOn w:val="a1"/>
    <w:uiPriority w:val="99"/>
    <w:rsid w:val="00074AE5"/>
    <w:tblPr>
      <w:tblStyleRowBandSize w:val="1"/>
      <w:tblStyleColBandSize w:val="1"/>
      <w:tblBorders>
        <w:bottom w:val="single" w:sz="4" w:space="0" w:color="B2A1C6"/>
        <w:right w:val="single" w:sz="4" w:space="0" w:color="B2A1C6"/>
        <w:insideH w:val="single" w:sz="4" w:space="0" w:color="B2A1C6"/>
        <w:insideV w:val="single" w:sz="4" w:space="0" w:color="B2A1C6"/>
      </w:tblBorders>
    </w:tblPr>
    <w:tblStylePr w:type="firstRow">
      <w:rPr>
        <w:rFonts w:ascii="Arial" w:hAnsi="Arial"/>
        <w:b/>
        <w:color w:val="B2A1C6"/>
        <w:sz w:val="22"/>
      </w:rPr>
      <w:tblPr/>
      <w:tcPr>
        <w:tcBorders>
          <w:top w:val="none" w:sz="4" w:space="0" w:color="000000"/>
          <w:left w:val="none" w:sz="4" w:space="0" w:color="000000"/>
          <w:bottom w:val="single" w:sz="4" w:space="0" w:color="B2A1C6"/>
          <w:right w:val="none" w:sz="4" w:space="0" w:color="000000"/>
        </w:tcBorders>
        <w:shd w:val="clear" w:color="FFFFFF" w:fill="FFFFFF"/>
      </w:tcPr>
    </w:tblStylePr>
    <w:tblStylePr w:type="lastRow">
      <w:rPr>
        <w:rFonts w:ascii="Arial" w:hAnsi="Arial"/>
        <w:b/>
        <w:color w:val="B2A1C6"/>
        <w:sz w:val="22"/>
      </w:rPr>
      <w:tblPr/>
      <w:tcPr>
        <w:tcBorders>
          <w:top w:val="single" w:sz="4" w:space="0" w:color="B2A1C6"/>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B2A1C6"/>
        <w:sz w:val="22"/>
      </w:rPr>
      <w:tblPr/>
      <w:tcPr>
        <w:tcBorders>
          <w:top w:val="none" w:sz="4" w:space="0" w:color="000000"/>
          <w:left w:val="none" w:sz="4" w:space="0" w:color="000000"/>
          <w:bottom w:val="none" w:sz="4" w:space="0" w:color="000000"/>
          <w:right w:val="single" w:sz="4" w:space="0" w:color="B2A1C6"/>
        </w:tcBorders>
        <w:shd w:val="clear" w:color="FFFFFF" w:fill="auto"/>
      </w:tcPr>
    </w:tblStylePr>
    <w:tblStylePr w:type="lastCol">
      <w:rPr>
        <w:rFonts w:ascii="Arial" w:hAnsi="Arial"/>
        <w:i/>
        <w:color w:val="B2A1C6"/>
        <w:sz w:val="22"/>
      </w:rPr>
      <w:tblPr/>
      <w:tcPr>
        <w:tcBorders>
          <w:top w:val="none" w:sz="4" w:space="0" w:color="000000"/>
          <w:left w:val="single" w:sz="4" w:space="0" w:color="B2A1C6"/>
          <w:bottom w:val="none" w:sz="4" w:space="0" w:color="000000"/>
          <w:right w:val="none" w:sz="4" w:space="0" w:color="000000"/>
        </w:tcBorders>
        <w:shd w:val="clear" w:color="FFFFFF" w:fill="auto"/>
      </w:tcPr>
    </w:tblStylePr>
    <w:tblStylePr w:type="band1Vert">
      <w:tblPr/>
      <w:tcPr>
        <w:shd w:val="clear" w:color="E5DFEC" w:fill="E5DFEC"/>
      </w:tcPr>
    </w:tblStylePr>
    <w:tblStylePr w:type="band1Horz">
      <w:rPr>
        <w:rFonts w:ascii="Arial" w:hAnsi="Arial"/>
        <w:color w:val="B2A1C6"/>
        <w:sz w:val="22"/>
      </w:rPr>
      <w:tblPr/>
      <w:tcPr>
        <w:shd w:val="clear" w:color="E5DFEC" w:fill="E5DFEC"/>
      </w:tcPr>
    </w:tblStylePr>
    <w:tblStylePr w:type="band2Horz">
      <w:rPr>
        <w:rFonts w:ascii="Arial" w:hAnsi="Arial"/>
        <w:color w:val="B2A1C6"/>
        <w:sz w:val="22"/>
      </w:rPr>
    </w:tblStylePr>
  </w:style>
  <w:style w:type="table" w:customStyle="1" w:styleId="GridTable7Colorful-Accent5">
    <w:name w:val="Grid Table 7 Colorful - Accent 5"/>
    <w:basedOn w:val="a1"/>
    <w:uiPriority w:val="99"/>
    <w:rsid w:val="00074AE5"/>
    <w:tblPr>
      <w:tblStyleRowBandSize w:val="1"/>
      <w:tblStyleColBandSize w:val="1"/>
      <w:tblBorders>
        <w:bottom w:val="single" w:sz="4" w:space="0" w:color="99D0DE"/>
        <w:right w:val="single" w:sz="4" w:space="0" w:color="99D0DE"/>
        <w:insideH w:val="single" w:sz="4" w:space="0" w:color="99D0DE"/>
        <w:insideV w:val="single" w:sz="4" w:space="0" w:color="99D0DE"/>
      </w:tblBorders>
    </w:tblPr>
    <w:tblStylePr w:type="firstRow">
      <w:rPr>
        <w:rFonts w:ascii="Arial" w:hAnsi="Arial"/>
        <w:b/>
        <w:color w:val="266779"/>
        <w:sz w:val="22"/>
      </w:rPr>
      <w:tblPr/>
      <w:tcPr>
        <w:tcBorders>
          <w:top w:val="none" w:sz="4" w:space="0" w:color="000000"/>
          <w:left w:val="none" w:sz="4" w:space="0" w:color="000000"/>
          <w:bottom w:val="single" w:sz="4" w:space="0" w:color="99D0DE"/>
          <w:right w:val="none" w:sz="4" w:space="0" w:color="000000"/>
        </w:tcBorders>
        <w:shd w:val="clear" w:color="FFFFFF" w:fill="FFFFFF"/>
      </w:tcPr>
    </w:tblStylePr>
    <w:tblStylePr w:type="lastRow">
      <w:rPr>
        <w:rFonts w:ascii="Arial" w:hAnsi="Arial"/>
        <w:b/>
        <w:color w:val="266779"/>
        <w:sz w:val="22"/>
      </w:rPr>
      <w:tblPr/>
      <w:tcPr>
        <w:tcBorders>
          <w:top w:val="single" w:sz="4" w:space="0" w:color="99D0DE"/>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266779"/>
        <w:sz w:val="22"/>
      </w:rPr>
      <w:tblPr/>
      <w:tcPr>
        <w:tcBorders>
          <w:top w:val="none" w:sz="4" w:space="0" w:color="000000"/>
          <w:left w:val="none" w:sz="4" w:space="0" w:color="000000"/>
          <w:bottom w:val="none" w:sz="4" w:space="0" w:color="000000"/>
          <w:right w:val="single" w:sz="4" w:space="0" w:color="99D0DE"/>
        </w:tcBorders>
        <w:shd w:val="clear" w:color="FFFFFF" w:fill="auto"/>
      </w:tcPr>
    </w:tblStylePr>
    <w:tblStylePr w:type="lastCol">
      <w:rPr>
        <w:rFonts w:ascii="Arial" w:hAnsi="Arial"/>
        <w:i/>
        <w:color w:val="266779"/>
        <w:sz w:val="22"/>
      </w:rPr>
      <w:tblPr/>
      <w:tcPr>
        <w:tcBorders>
          <w:top w:val="none" w:sz="4" w:space="0" w:color="000000"/>
          <w:left w:val="single" w:sz="4" w:space="0" w:color="99D0DE"/>
          <w:bottom w:val="none" w:sz="4" w:space="0" w:color="000000"/>
          <w:right w:val="none" w:sz="4" w:space="0" w:color="000000"/>
        </w:tcBorders>
        <w:shd w:val="clear" w:color="FFFFFF" w:fill="auto"/>
      </w:tcPr>
    </w:tblStylePr>
    <w:tblStylePr w:type="band1Vert">
      <w:tblPr/>
      <w:tcPr>
        <w:shd w:val="clear" w:color="DAEEF3" w:fill="DAEEF3"/>
      </w:tcPr>
    </w:tblStylePr>
    <w:tblStylePr w:type="band1Horz">
      <w:rPr>
        <w:rFonts w:ascii="Arial" w:hAnsi="Arial"/>
        <w:color w:val="266779"/>
        <w:sz w:val="22"/>
      </w:rPr>
      <w:tblPr/>
      <w:tcPr>
        <w:shd w:val="clear" w:color="DAEEF3" w:fill="DAEEF3"/>
      </w:tcPr>
    </w:tblStylePr>
    <w:tblStylePr w:type="band2Horz">
      <w:rPr>
        <w:rFonts w:ascii="Arial" w:hAnsi="Arial"/>
        <w:color w:val="266779"/>
        <w:sz w:val="22"/>
      </w:rPr>
    </w:tblStylePr>
  </w:style>
  <w:style w:type="table" w:customStyle="1" w:styleId="GridTable7Colorful-Accent6">
    <w:name w:val="Grid Table 7 Colorful - Accent 6"/>
    <w:basedOn w:val="a1"/>
    <w:uiPriority w:val="99"/>
    <w:rsid w:val="00074AE5"/>
    <w:tblPr>
      <w:tblStyleRowBandSize w:val="1"/>
      <w:tblStyleColBandSize w:val="1"/>
      <w:tblBorders>
        <w:bottom w:val="single" w:sz="4" w:space="0" w:color="FAC396"/>
        <w:right w:val="single" w:sz="4" w:space="0" w:color="FAC396"/>
        <w:insideH w:val="single" w:sz="4" w:space="0" w:color="FAC396"/>
        <w:insideV w:val="single" w:sz="4" w:space="0" w:color="FAC396"/>
      </w:tblBorders>
    </w:tblPr>
    <w:tblStylePr w:type="firstRow">
      <w:rPr>
        <w:rFonts w:ascii="Arial" w:hAnsi="Arial"/>
        <w:b/>
        <w:color w:val="B15407"/>
        <w:sz w:val="22"/>
      </w:rPr>
      <w:tblPr/>
      <w:tcPr>
        <w:tcBorders>
          <w:top w:val="none" w:sz="4" w:space="0" w:color="000000"/>
          <w:left w:val="none" w:sz="4" w:space="0" w:color="000000"/>
          <w:bottom w:val="single" w:sz="4" w:space="0" w:color="FAC396"/>
          <w:right w:val="none" w:sz="4" w:space="0" w:color="000000"/>
        </w:tcBorders>
        <w:shd w:val="clear" w:color="FFFFFF" w:fill="FFFFFF"/>
      </w:tcPr>
    </w:tblStylePr>
    <w:tblStylePr w:type="lastRow">
      <w:rPr>
        <w:rFonts w:ascii="Arial" w:hAnsi="Arial"/>
        <w:b/>
        <w:color w:val="B15407"/>
        <w:sz w:val="22"/>
      </w:rPr>
      <w:tblPr/>
      <w:tcPr>
        <w:tcBorders>
          <w:top w:val="single" w:sz="4" w:space="0" w:color="FAC396"/>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B15407"/>
        <w:sz w:val="22"/>
      </w:rPr>
      <w:tblPr/>
      <w:tcPr>
        <w:tcBorders>
          <w:top w:val="none" w:sz="4" w:space="0" w:color="000000"/>
          <w:left w:val="none" w:sz="4" w:space="0" w:color="000000"/>
          <w:bottom w:val="none" w:sz="4" w:space="0" w:color="000000"/>
          <w:right w:val="single" w:sz="4" w:space="0" w:color="FAC396"/>
        </w:tcBorders>
        <w:shd w:val="clear" w:color="FFFFFF" w:fill="auto"/>
      </w:tcPr>
    </w:tblStylePr>
    <w:tblStylePr w:type="lastCol">
      <w:rPr>
        <w:rFonts w:ascii="Arial" w:hAnsi="Arial"/>
        <w:i/>
        <w:color w:val="B15407"/>
        <w:sz w:val="22"/>
      </w:rPr>
      <w:tblPr/>
      <w:tcPr>
        <w:tcBorders>
          <w:top w:val="none" w:sz="4" w:space="0" w:color="000000"/>
          <w:left w:val="single" w:sz="4" w:space="0" w:color="FAC396"/>
          <w:bottom w:val="none" w:sz="4" w:space="0" w:color="000000"/>
          <w:right w:val="none" w:sz="4" w:space="0" w:color="000000"/>
        </w:tcBorders>
        <w:shd w:val="clear" w:color="FFFFFF" w:fill="auto"/>
      </w:tcPr>
    </w:tblStylePr>
    <w:tblStylePr w:type="band1Vert">
      <w:tblPr/>
      <w:tcPr>
        <w:shd w:val="clear" w:color="FDE9D8" w:fill="FDE9D8"/>
      </w:tcPr>
    </w:tblStylePr>
    <w:tblStylePr w:type="band1Horz">
      <w:rPr>
        <w:rFonts w:ascii="Arial" w:hAnsi="Arial"/>
        <w:color w:val="B15407"/>
        <w:sz w:val="22"/>
      </w:rPr>
      <w:tblPr/>
      <w:tcPr>
        <w:shd w:val="clear" w:color="FDE9D8" w:fill="FDE9D8"/>
      </w:tcPr>
    </w:tblStylePr>
    <w:tblStylePr w:type="band2Horz">
      <w:rPr>
        <w:rFonts w:ascii="Arial" w:hAnsi="Arial"/>
        <w:color w:val="B15407"/>
        <w:sz w:val="22"/>
      </w:rPr>
    </w:tblStylePr>
  </w:style>
  <w:style w:type="table" w:customStyle="1" w:styleId="-110">
    <w:name w:val="Список-таблица 1 светлая1"/>
    <w:basedOn w:val="a1"/>
    <w:uiPriority w:val="99"/>
    <w:rsid w:val="00074AE5"/>
    <w:tblPr>
      <w:tblStyleRowBandSize w:val="1"/>
      <w:tblStyleColBandSize w:val="1"/>
    </w:tblPr>
    <w:tblStylePr w:type="firstRow">
      <w:rPr>
        <w:b/>
        <w:color w:val="404040"/>
      </w:rPr>
      <w:tblPr/>
      <w:tcPr>
        <w:tcBorders>
          <w:top w:val="none" w:sz="4" w:space="0" w:color="000000"/>
          <w:left w:val="none" w:sz="4" w:space="0" w:color="000000"/>
          <w:bottom w:val="single" w:sz="4" w:space="0" w:color="000000"/>
          <w:right w:val="none" w:sz="4" w:space="0" w:color="000000"/>
        </w:tcBorders>
      </w:tcPr>
    </w:tblStylePr>
    <w:tblStylePr w:type="lastRow">
      <w:rPr>
        <w:b/>
        <w:color w:val="404040"/>
      </w:rPr>
      <w:tblPr/>
      <w:tcPr>
        <w:tcBorders>
          <w:top w:val="single" w:sz="4" w:space="0" w:color="000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BFBFBF"/>
      </w:tcPr>
    </w:tblStylePr>
    <w:tblStylePr w:type="band1Horz">
      <w:tblPr/>
      <w:tcPr>
        <w:shd w:val="clear" w:color="BFBFBF" w:fill="BFBFBF"/>
      </w:tcPr>
    </w:tblStylePr>
  </w:style>
  <w:style w:type="table" w:customStyle="1" w:styleId="ListTable1Light-Accent1">
    <w:name w:val="List Table 1 Light - Accent 1"/>
    <w:basedOn w:val="a1"/>
    <w:uiPriority w:val="99"/>
    <w:rsid w:val="00074AE5"/>
    <w:tblPr>
      <w:tblStyleRowBandSize w:val="1"/>
      <w:tblStyleColBandSize w:val="1"/>
    </w:tblPr>
    <w:tblStylePr w:type="firstRow">
      <w:rPr>
        <w:b/>
        <w:color w:val="404040"/>
      </w:rPr>
      <w:tblPr/>
      <w:tcPr>
        <w:tcBorders>
          <w:top w:val="none" w:sz="4" w:space="0" w:color="000000"/>
          <w:left w:val="none" w:sz="4" w:space="0" w:color="000000"/>
          <w:bottom w:val="single" w:sz="4" w:space="0" w:color="4F81BD"/>
          <w:right w:val="none" w:sz="4" w:space="0" w:color="000000"/>
        </w:tcBorders>
      </w:tcPr>
    </w:tblStylePr>
    <w:tblStylePr w:type="lastRow">
      <w:rPr>
        <w:b/>
        <w:color w:val="404040"/>
      </w:rPr>
      <w:tblPr/>
      <w:tcPr>
        <w:tcBorders>
          <w:top w:val="single" w:sz="4" w:space="0" w:color="4F81BD"/>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fill="D2DFEE"/>
      </w:tcPr>
    </w:tblStylePr>
    <w:tblStylePr w:type="band1Horz">
      <w:tblPr/>
      <w:tcPr>
        <w:shd w:val="clear" w:color="D2DFEE" w:fill="D2DFEE"/>
      </w:tcPr>
    </w:tblStylePr>
  </w:style>
  <w:style w:type="table" w:customStyle="1" w:styleId="ListTable1Light-Accent2">
    <w:name w:val="List Table 1 Light - Accent 2"/>
    <w:basedOn w:val="a1"/>
    <w:uiPriority w:val="99"/>
    <w:rsid w:val="00074AE5"/>
    <w:tblPr>
      <w:tblStyleRowBandSize w:val="1"/>
      <w:tblStyleColBandSize w:val="1"/>
    </w:tblPr>
    <w:tblStylePr w:type="firstRow">
      <w:rPr>
        <w:b/>
        <w:color w:val="404040"/>
      </w:rPr>
      <w:tblPr/>
      <w:tcPr>
        <w:tcBorders>
          <w:top w:val="none" w:sz="4" w:space="0" w:color="000000"/>
          <w:left w:val="none" w:sz="4" w:space="0" w:color="000000"/>
          <w:bottom w:val="single" w:sz="4" w:space="0" w:color="C0504D"/>
          <w:right w:val="none" w:sz="4" w:space="0" w:color="000000"/>
        </w:tcBorders>
      </w:tcPr>
    </w:tblStylePr>
    <w:tblStylePr w:type="lastRow">
      <w:rPr>
        <w:b/>
        <w:color w:val="404040"/>
      </w:rPr>
      <w:tblPr/>
      <w:tcPr>
        <w:tcBorders>
          <w:top w:val="single" w:sz="4" w:space="0" w:color="C0504D"/>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fill="EFD2D2"/>
      </w:tcPr>
    </w:tblStylePr>
    <w:tblStylePr w:type="band1Horz">
      <w:tblPr/>
      <w:tcPr>
        <w:shd w:val="clear" w:color="EFD2D2" w:fill="EFD2D2"/>
      </w:tcPr>
    </w:tblStylePr>
  </w:style>
  <w:style w:type="table" w:customStyle="1" w:styleId="ListTable1Light-Accent3">
    <w:name w:val="List Table 1 Light - Accent 3"/>
    <w:basedOn w:val="a1"/>
    <w:uiPriority w:val="99"/>
    <w:rsid w:val="00074AE5"/>
    <w:tblPr>
      <w:tblStyleRowBandSize w:val="1"/>
      <w:tblStyleColBandSize w:val="1"/>
    </w:tblPr>
    <w:tblStylePr w:type="firstRow">
      <w:rPr>
        <w:b/>
        <w:color w:val="404040"/>
      </w:rPr>
      <w:tblPr/>
      <w:tcPr>
        <w:tcBorders>
          <w:top w:val="none" w:sz="4" w:space="0" w:color="000000"/>
          <w:left w:val="none" w:sz="4" w:space="0" w:color="000000"/>
          <w:bottom w:val="single" w:sz="4" w:space="0" w:color="9BBB59"/>
          <w:right w:val="none" w:sz="4" w:space="0" w:color="000000"/>
        </w:tcBorders>
      </w:tcPr>
    </w:tblStylePr>
    <w:tblStylePr w:type="lastRow">
      <w:rPr>
        <w:b/>
        <w:color w:val="404040"/>
      </w:rPr>
      <w:tblPr/>
      <w:tcPr>
        <w:tcBorders>
          <w:top w:val="single" w:sz="4" w:space="0" w:color="9BBB59"/>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fill="E5EED5"/>
      </w:tcPr>
    </w:tblStylePr>
    <w:tblStylePr w:type="band1Horz">
      <w:tblPr/>
      <w:tcPr>
        <w:shd w:val="clear" w:color="E5EED5" w:fill="E5EED5"/>
      </w:tcPr>
    </w:tblStylePr>
  </w:style>
  <w:style w:type="table" w:customStyle="1" w:styleId="ListTable1Light-Accent4">
    <w:name w:val="List Table 1 Light - Accent 4"/>
    <w:basedOn w:val="a1"/>
    <w:uiPriority w:val="99"/>
    <w:rsid w:val="00074AE5"/>
    <w:tblPr>
      <w:tblStyleRowBandSize w:val="1"/>
      <w:tblStyleColBandSize w:val="1"/>
    </w:tblPr>
    <w:tblStylePr w:type="firstRow">
      <w:rPr>
        <w:b/>
        <w:color w:val="404040"/>
      </w:rPr>
      <w:tblPr/>
      <w:tcPr>
        <w:tcBorders>
          <w:top w:val="none" w:sz="4" w:space="0" w:color="000000"/>
          <w:left w:val="none" w:sz="4" w:space="0" w:color="000000"/>
          <w:bottom w:val="single" w:sz="4" w:space="0" w:color="8064A2"/>
          <w:right w:val="none" w:sz="4" w:space="0" w:color="000000"/>
        </w:tcBorders>
      </w:tcPr>
    </w:tblStylePr>
    <w:tblStylePr w:type="lastRow">
      <w:rPr>
        <w:b/>
        <w:color w:val="404040"/>
      </w:rPr>
      <w:tblPr/>
      <w:tcPr>
        <w:tcBorders>
          <w:top w:val="single" w:sz="4" w:space="0" w:color="8064A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fill="DFD8E7"/>
      </w:tcPr>
    </w:tblStylePr>
    <w:tblStylePr w:type="band1Horz">
      <w:tblPr/>
      <w:tcPr>
        <w:shd w:val="clear" w:color="DFD8E7" w:fill="DFD8E7"/>
      </w:tcPr>
    </w:tblStylePr>
  </w:style>
  <w:style w:type="table" w:customStyle="1" w:styleId="ListTable1Light-Accent5">
    <w:name w:val="List Table 1 Light - Accent 5"/>
    <w:basedOn w:val="a1"/>
    <w:uiPriority w:val="99"/>
    <w:rsid w:val="00074AE5"/>
    <w:tblPr>
      <w:tblStyleRowBandSize w:val="1"/>
      <w:tblStyleColBandSize w:val="1"/>
    </w:tblPr>
    <w:tblStylePr w:type="firstRow">
      <w:rPr>
        <w:b/>
        <w:color w:val="404040"/>
      </w:rPr>
      <w:tblPr/>
      <w:tcPr>
        <w:tcBorders>
          <w:top w:val="none" w:sz="4" w:space="0" w:color="000000"/>
          <w:left w:val="none" w:sz="4" w:space="0" w:color="000000"/>
          <w:bottom w:val="single" w:sz="4" w:space="0" w:color="4BACC6"/>
          <w:right w:val="none" w:sz="4" w:space="0" w:color="000000"/>
        </w:tcBorders>
      </w:tcPr>
    </w:tblStylePr>
    <w:tblStylePr w:type="lastRow">
      <w:rPr>
        <w:b/>
        <w:color w:val="404040"/>
      </w:rPr>
      <w:tblPr/>
      <w:tcPr>
        <w:tcBorders>
          <w:top w:val="single" w:sz="4" w:space="0" w:color="4BACC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fill="D1EAF0"/>
      </w:tcPr>
    </w:tblStylePr>
    <w:tblStylePr w:type="band1Horz">
      <w:tblPr/>
      <w:tcPr>
        <w:shd w:val="clear" w:color="D1EAF0" w:fill="D1EAF0"/>
      </w:tcPr>
    </w:tblStylePr>
  </w:style>
  <w:style w:type="table" w:customStyle="1" w:styleId="ListTable1Light-Accent6">
    <w:name w:val="List Table 1 Light - Accent 6"/>
    <w:basedOn w:val="a1"/>
    <w:uiPriority w:val="99"/>
    <w:rsid w:val="00074AE5"/>
    <w:tblPr>
      <w:tblStyleRowBandSize w:val="1"/>
      <w:tblStyleColBandSize w:val="1"/>
    </w:tblPr>
    <w:tblStylePr w:type="firstRow">
      <w:rPr>
        <w:b/>
        <w:color w:val="404040"/>
      </w:rPr>
      <w:tblPr/>
      <w:tcPr>
        <w:tcBorders>
          <w:top w:val="none" w:sz="4" w:space="0" w:color="000000"/>
          <w:left w:val="none" w:sz="4" w:space="0" w:color="000000"/>
          <w:bottom w:val="single" w:sz="4" w:space="0" w:color="F79646"/>
          <w:right w:val="none" w:sz="4" w:space="0" w:color="000000"/>
        </w:tcBorders>
      </w:tcPr>
    </w:tblStylePr>
    <w:tblStylePr w:type="lastRow">
      <w:rPr>
        <w:b/>
        <w:color w:val="404040"/>
      </w:rPr>
      <w:tblPr/>
      <w:tcPr>
        <w:tcBorders>
          <w:top w:val="single" w:sz="4" w:space="0" w:color="F7964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fill="FDE4D0"/>
      </w:tcPr>
    </w:tblStylePr>
    <w:tblStylePr w:type="band1Horz">
      <w:tblPr/>
      <w:tcPr>
        <w:shd w:val="clear" w:color="FDE4D0" w:fill="FDE4D0"/>
      </w:tcPr>
    </w:tblStylePr>
  </w:style>
  <w:style w:type="table" w:customStyle="1" w:styleId="-210">
    <w:name w:val="Список-таблица 21"/>
    <w:basedOn w:val="a1"/>
    <w:uiPriority w:val="99"/>
    <w:rsid w:val="00074AE5"/>
    <w:tblPr>
      <w:tblStyleRowBandSize w:val="1"/>
      <w:tblStyleColBandSize w:val="1"/>
      <w:tblBorders>
        <w:top w:val="single" w:sz="4" w:space="0" w:color="6F6F6F"/>
        <w:bottom w:val="single" w:sz="4" w:space="0" w:color="6F6F6F"/>
        <w:insideH w:val="single" w:sz="4" w:space="0" w:color="6F6F6F"/>
      </w:tblBorders>
    </w:tblPr>
    <w:tblStylePr w:type="fir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la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fill="BFBFBF"/>
      </w:tcPr>
    </w:tblStylePr>
    <w:tblStylePr w:type="band1Horz">
      <w:rPr>
        <w:rFonts w:ascii="Arial" w:hAnsi="Arial"/>
        <w:color w:val="404040"/>
        <w:sz w:val="22"/>
      </w:rPr>
      <w:tblPr/>
      <w:tcPr>
        <w:shd w:val="clear" w:color="BFBFBF" w:fill="BFBFBF"/>
      </w:tcPr>
    </w:tblStylePr>
  </w:style>
  <w:style w:type="table" w:customStyle="1" w:styleId="ListTable2-Accent1">
    <w:name w:val="List Table 2 - Accent 1"/>
    <w:basedOn w:val="a1"/>
    <w:uiPriority w:val="99"/>
    <w:rsid w:val="00074AE5"/>
    <w:tblPr>
      <w:tblStyleRowBandSize w:val="1"/>
      <w:tblStyleColBandSize w:val="1"/>
      <w:tblBorders>
        <w:top w:val="single" w:sz="4" w:space="0" w:color="9BB7D9"/>
        <w:bottom w:val="single" w:sz="4" w:space="0" w:color="9BB7D9"/>
        <w:insideH w:val="single" w:sz="4" w:space="0" w:color="9BB7D9"/>
      </w:tblBorders>
    </w:tblPr>
    <w:tblStylePr w:type="firstRow">
      <w:rPr>
        <w:rFonts w:ascii="Arial" w:hAnsi="Arial"/>
        <w:b/>
        <w:color w:val="404040"/>
        <w:sz w:val="22"/>
      </w:rPr>
      <w:tblPr/>
      <w:tcPr>
        <w:tcBorders>
          <w:top w:val="single" w:sz="4" w:space="0" w:color="9BB7D9"/>
          <w:left w:val="none" w:sz="4" w:space="0" w:color="000000"/>
          <w:bottom w:val="single" w:sz="4" w:space="0" w:color="9BB7D9"/>
          <w:right w:val="none" w:sz="4" w:space="0" w:color="000000"/>
        </w:tcBorders>
      </w:tcPr>
    </w:tblStylePr>
    <w:tblStylePr w:type="lastRow">
      <w:rPr>
        <w:rFonts w:ascii="Arial" w:hAnsi="Arial"/>
        <w:b/>
        <w:color w:val="404040"/>
        <w:sz w:val="22"/>
      </w:rPr>
      <w:tblPr/>
      <w:tcPr>
        <w:tcBorders>
          <w:top w:val="single" w:sz="4" w:space="0" w:color="9BB7D9"/>
          <w:left w:val="none" w:sz="4" w:space="0" w:color="000000"/>
          <w:bottom w:val="single" w:sz="4" w:space="0" w:color="9BB7D9"/>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fill="D2DFEE"/>
      </w:tcPr>
    </w:tblStylePr>
    <w:tblStylePr w:type="band1Horz">
      <w:rPr>
        <w:rFonts w:ascii="Arial" w:hAnsi="Arial"/>
        <w:color w:val="404040"/>
        <w:sz w:val="22"/>
      </w:rPr>
      <w:tblPr/>
      <w:tcPr>
        <w:shd w:val="clear" w:color="D2DFEE" w:fill="D2DFEE"/>
      </w:tcPr>
    </w:tblStylePr>
  </w:style>
  <w:style w:type="table" w:customStyle="1" w:styleId="ListTable2-Accent2">
    <w:name w:val="List Table 2 - Accent 2"/>
    <w:basedOn w:val="a1"/>
    <w:uiPriority w:val="99"/>
    <w:rsid w:val="00074AE5"/>
    <w:tblPr>
      <w:tblStyleRowBandSize w:val="1"/>
      <w:tblStyleColBandSize w:val="1"/>
      <w:tblBorders>
        <w:top w:val="single" w:sz="4" w:space="0" w:color="DB9B9A"/>
        <w:bottom w:val="single" w:sz="4" w:space="0" w:color="DB9B9A"/>
        <w:insideH w:val="single" w:sz="4" w:space="0" w:color="DB9B9A"/>
      </w:tblBorders>
    </w:tblPr>
    <w:tblStylePr w:type="firstRow">
      <w:rPr>
        <w:rFonts w:ascii="Arial" w:hAnsi="Arial"/>
        <w:b/>
        <w:color w:val="404040"/>
        <w:sz w:val="22"/>
      </w:rPr>
      <w:tblPr/>
      <w:tcPr>
        <w:tcBorders>
          <w:top w:val="single" w:sz="4" w:space="0" w:color="DB9B9A"/>
          <w:left w:val="none" w:sz="4" w:space="0" w:color="000000"/>
          <w:bottom w:val="single" w:sz="4" w:space="0" w:color="DB9B9A"/>
          <w:right w:val="none" w:sz="4" w:space="0" w:color="000000"/>
        </w:tcBorders>
      </w:tcPr>
    </w:tblStylePr>
    <w:tblStylePr w:type="lastRow">
      <w:rPr>
        <w:rFonts w:ascii="Arial" w:hAnsi="Arial"/>
        <w:b/>
        <w:color w:val="404040"/>
        <w:sz w:val="22"/>
      </w:rPr>
      <w:tblPr/>
      <w:tcPr>
        <w:tcBorders>
          <w:top w:val="single" w:sz="4" w:space="0" w:color="DB9B9A"/>
          <w:left w:val="none" w:sz="4" w:space="0" w:color="000000"/>
          <w:bottom w:val="single" w:sz="4" w:space="0" w:color="DB9B9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fill="EFD2D2"/>
      </w:tcPr>
    </w:tblStylePr>
    <w:tblStylePr w:type="band1Horz">
      <w:rPr>
        <w:rFonts w:ascii="Arial" w:hAnsi="Arial"/>
        <w:color w:val="404040"/>
        <w:sz w:val="22"/>
      </w:rPr>
      <w:tblPr/>
      <w:tcPr>
        <w:shd w:val="clear" w:color="EFD2D2" w:fill="EFD2D2"/>
      </w:tcPr>
    </w:tblStylePr>
  </w:style>
  <w:style w:type="table" w:customStyle="1" w:styleId="ListTable2-Accent3">
    <w:name w:val="List Table 2 - Accent 3"/>
    <w:basedOn w:val="a1"/>
    <w:uiPriority w:val="99"/>
    <w:rsid w:val="00074AE5"/>
    <w:tblPr>
      <w:tblStyleRowBandSize w:val="1"/>
      <w:tblStyleColBandSize w:val="1"/>
      <w:tblBorders>
        <w:top w:val="single" w:sz="4" w:space="0" w:color="C6D8A1"/>
        <w:bottom w:val="single" w:sz="4" w:space="0" w:color="C6D8A1"/>
        <w:insideH w:val="single" w:sz="4" w:space="0" w:color="C6D8A1"/>
      </w:tblBorders>
    </w:tblPr>
    <w:tblStylePr w:type="firstRow">
      <w:rPr>
        <w:rFonts w:ascii="Arial" w:hAnsi="Arial"/>
        <w:b/>
        <w:color w:val="404040"/>
        <w:sz w:val="22"/>
      </w:rPr>
      <w:tblPr/>
      <w:tcPr>
        <w:tcBorders>
          <w:top w:val="single" w:sz="4" w:space="0" w:color="C6D8A1"/>
          <w:left w:val="none" w:sz="4" w:space="0" w:color="000000"/>
          <w:bottom w:val="single" w:sz="4" w:space="0" w:color="C6D8A1"/>
          <w:right w:val="none" w:sz="4" w:space="0" w:color="000000"/>
        </w:tcBorders>
      </w:tcPr>
    </w:tblStylePr>
    <w:tblStylePr w:type="lastRow">
      <w:rPr>
        <w:rFonts w:ascii="Arial" w:hAnsi="Arial"/>
        <w:b/>
        <w:color w:val="404040"/>
        <w:sz w:val="22"/>
      </w:rPr>
      <w:tblPr/>
      <w:tcPr>
        <w:tcBorders>
          <w:top w:val="single" w:sz="4" w:space="0" w:color="C6D8A1"/>
          <w:left w:val="none" w:sz="4" w:space="0" w:color="000000"/>
          <w:bottom w:val="single" w:sz="4" w:space="0" w:color="C6D8A1"/>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fill="E5EED5"/>
      </w:tcPr>
    </w:tblStylePr>
    <w:tblStylePr w:type="band1Horz">
      <w:rPr>
        <w:rFonts w:ascii="Arial" w:hAnsi="Arial"/>
        <w:color w:val="404040"/>
        <w:sz w:val="22"/>
      </w:rPr>
      <w:tblPr/>
      <w:tcPr>
        <w:shd w:val="clear" w:color="E5EED5" w:fill="E5EED5"/>
      </w:tcPr>
    </w:tblStylePr>
  </w:style>
  <w:style w:type="table" w:customStyle="1" w:styleId="ListTable2-Accent4">
    <w:name w:val="List Table 2 - Accent 4"/>
    <w:basedOn w:val="a1"/>
    <w:uiPriority w:val="99"/>
    <w:rsid w:val="00074AE5"/>
    <w:tblPr>
      <w:tblStyleRowBandSize w:val="1"/>
      <w:tblStyleColBandSize w:val="1"/>
      <w:tblBorders>
        <w:top w:val="single" w:sz="4" w:space="0" w:color="B7A7CA"/>
        <w:bottom w:val="single" w:sz="4" w:space="0" w:color="B7A7CA"/>
        <w:insideH w:val="single" w:sz="4" w:space="0" w:color="B7A7CA"/>
      </w:tblBorders>
    </w:tblPr>
    <w:tblStylePr w:type="firstRow">
      <w:rPr>
        <w:rFonts w:ascii="Arial" w:hAnsi="Arial"/>
        <w:b/>
        <w:color w:val="404040"/>
        <w:sz w:val="22"/>
      </w:rPr>
      <w:tblPr/>
      <w:tcPr>
        <w:tcBorders>
          <w:top w:val="single" w:sz="4" w:space="0" w:color="B7A7CA"/>
          <w:left w:val="none" w:sz="4" w:space="0" w:color="000000"/>
          <w:bottom w:val="single" w:sz="4" w:space="0" w:color="B7A7CA"/>
          <w:right w:val="none" w:sz="4" w:space="0" w:color="000000"/>
        </w:tcBorders>
      </w:tcPr>
    </w:tblStylePr>
    <w:tblStylePr w:type="lastRow">
      <w:rPr>
        <w:rFonts w:ascii="Arial" w:hAnsi="Arial"/>
        <w:b/>
        <w:color w:val="404040"/>
        <w:sz w:val="22"/>
      </w:rPr>
      <w:tblPr/>
      <w:tcPr>
        <w:tcBorders>
          <w:top w:val="single" w:sz="4" w:space="0" w:color="B7A7CA"/>
          <w:left w:val="none" w:sz="4" w:space="0" w:color="000000"/>
          <w:bottom w:val="single" w:sz="4" w:space="0" w:color="B7A7C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fill="DFD8E7"/>
      </w:tcPr>
    </w:tblStylePr>
    <w:tblStylePr w:type="band1Horz">
      <w:rPr>
        <w:rFonts w:ascii="Arial" w:hAnsi="Arial"/>
        <w:color w:val="404040"/>
        <w:sz w:val="22"/>
      </w:rPr>
      <w:tblPr/>
      <w:tcPr>
        <w:shd w:val="clear" w:color="DFD8E7" w:fill="DFD8E7"/>
      </w:tcPr>
    </w:tblStylePr>
  </w:style>
  <w:style w:type="table" w:customStyle="1" w:styleId="ListTable2-Accent5">
    <w:name w:val="List Table 2 - Accent 5"/>
    <w:basedOn w:val="a1"/>
    <w:uiPriority w:val="99"/>
    <w:rsid w:val="00074AE5"/>
    <w:tblPr>
      <w:tblStyleRowBandSize w:val="1"/>
      <w:tblStyleColBandSize w:val="1"/>
      <w:tblBorders>
        <w:top w:val="single" w:sz="4" w:space="0" w:color="99D0DE"/>
        <w:bottom w:val="single" w:sz="4" w:space="0" w:color="99D0DE"/>
        <w:insideH w:val="single" w:sz="4" w:space="0" w:color="99D0DE"/>
      </w:tblBorders>
    </w:tblPr>
    <w:tblStylePr w:type="firstRow">
      <w:rPr>
        <w:rFonts w:ascii="Arial" w:hAnsi="Arial"/>
        <w:b/>
        <w:color w:val="404040"/>
        <w:sz w:val="22"/>
      </w:rPr>
      <w:tblPr/>
      <w:tcPr>
        <w:tcBorders>
          <w:top w:val="single" w:sz="4" w:space="0" w:color="99D0DE"/>
          <w:left w:val="none" w:sz="4" w:space="0" w:color="000000"/>
          <w:bottom w:val="single" w:sz="4" w:space="0" w:color="99D0DE"/>
          <w:right w:val="none" w:sz="4" w:space="0" w:color="000000"/>
        </w:tcBorders>
      </w:tcPr>
    </w:tblStylePr>
    <w:tblStylePr w:type="lastRow">
      <w:rPr>
        <w:rFonts w:ascii="Arial" w:hAnsi="Arial"/>
        <w:b/>
        <w:color w:val="404040"/>
        <w:sz w:val="22"/>
      </w:rPr>
      <w:tblPr/>
      <w:tcPr>
        <w:tcBorders>
          <w:top w:val="single" w:sz="4" w:space="0" w:color="99D0DE"/>
          <w:left w:val="none" w:sz="4" w:space="0" w:color="000000"/>
          <w:bottom w:val="single" w:sz="4" w:space="0" w:color="99D0DE"/>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fill="D1EAF0"/>
      </w:tcPr>
    </w:tblStylePr>
    <w:tblStylePr w:type="band1Horz">
      <w:rPr>
        <w:rFonts w:ascii="Arial" w:hAnsi="Arial"/>
        <w:color w:val="404040"/>
        <w:sz w:val="22"/>
      </w:rPr>
      <w:tblPr/>
      <w:tcPr>
        <w:shd w:val="clear" w:color="D1EAF0" w:fill="D1EAF0"/>
      </w:tcPr>
    </w:tblStylePr>
  </w:style>
  <w:style w:type="table" w:customStyle="1" w:styleId="ListTable2-Accent6">
    <w:name w:val="List Table 2 - Accent 6"/>
    <w:basedOn w:val="a1"/>
    <w:uiPriority w:val="99"/>
    <w:rsid w:val="00074AE5"/>
    <w:tblPr>
      <w:tblStyleRowBandSize w:val="1"/>
      <w:tblStyleColBandSize w:val="1"/>
      <w:tblBorders>
        <w:top w:val="single" w:sz="4" w:space="0" w:color="FAC396"/>
        <w:bottom w:val="single" w:sz="4" w:space="0" w:color="FAC396"/>
        <w:insideH w:val="single" w:sz="4" w:space="0" w:color="FAC396"/>
      </w:tblBorders>
    </w:tblPr>
    <w:tblStylePr w:type="firstRow">
      <w:rPr>
        <w:rFonts w:ascii="Arial" w:hAnsi="Arial"/>
        <w:b/>
        <w:color w:val="404040"/>
        <w:sz w:val="22"/>
      </w:rPr>
      <w:tblPr/>
      <w:tcPr>
        <w:tcBorders>
          <w:top w:val="single" w:sz="4" w:space="0" w:color="FAC396"/>
          <w:left w:val="none" w:sz="4" w:space="0" w:color="000000"/>
          <w:bottom w:val="single" w:sz="4" w:space="0" w:color="FAC396"/>
          <w:right w:val="none" w:sz="4" w:space="0" w:color="000000"/>
        </w:tcBorders>
      </w:tcPr>
    </w:tblStylePr>
    <w:tblStylePr w:type="lastRow">
      <w:rPr>
        <w:rFonts w:ascii="Arial" w:hAnsi="Arial"/>
        <w:b/>
        <w:color w:val="404040"/>
        <w:sz w:val="22"/>
      </w:rPr>
      <w:tblPr/>
      <w:tcPr>
        <w:tcBorders>
          <w:top w:val="single" w:sz="4" w:space="0" w:color="FAC396"/>
          <w:left w:val="none" w:sz="4" w:space="0" w:color="000000"/>
          <w:bottom w:val="single" w:sz="4" w:space="0" w:color="FAC396"/>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fill="FDE4D0"/>
      </w:tcPr>
    </w:tblStylePr>
    <w:tblStylePr w:type="band1Horz">
      <w:rPr>
        <w:rFonts w:ascii="Arial" w:hAnsi="Arial"/>
        <w:color w:val="404040"/>
        <w:sz w:val="22"/>
      </w:rPr>
      <w:tblPr/>
      <w:tcPr>
        <w:shd w:val="clear" w:color="FDE4D0" w:fill="FDE4D0"/>
      </w:tcPr>
    </w:tblStylePr>
  </w:style>
  <w:style w:type="table" w:customStyle="1" w:styleId="-310">
    <w:name w:val="Список-таблица 31"/>
    <w:basedOn w:val="a1"/>
    <w:uiPriority w:val="99"/>
    <w:rsid w:val="00074AE5"/>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rFonts w:ascii="Arial" w:hAnsi="Arial"/>
        <w:b/>
        <w:color w:val="FFFFFF"/>
        <w:sz w:val="22"/>
      </w:rPr>
      <w:tblPr/>
      <w:tcPr>
        <w:shd w:val="clear" w:color="000000"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right w:val="single" w:sz="4" w:space="0" w:color="000000"/>
        </w:tcBorders>
      </w:tcPr>
    </w:tblStylePr>
    <w:tblStylePr w:type="band1Horz">
      <w:rPr>
        <w:rFonts w:ascii="Arial" w:hAnsi="Arial"/>
        <w:color w:val="404040"/>
        <w:sz w:val="22"/>
      </w:rPr>
      <w:tblPr/>
      <w:tcPr>
        <w:tcBorders>
          <w:top w:val="single" w:sz="4" w:space="0" w:color="000000"/>
          <w:bottom w:val="single" w:sz="4" w:space="0" w:color="000000"/>
        </w:tcBorders>
      </w:tcPr>
    </w:tblStylePr>
  </w:style>
  <w:style w:type="table" w:customStyle="1" w:styleId="ListTable3-Accent1">
    <w:name w:val="List Table 3 - Accent 1"/>
    <w:basedOn w:val="a1"/>
    <w:uiPriority w:val="99"/>
    <w:rsid w:val="00074AE5"/>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rFonts w:ascii="Arial" w:hAnsi="Arial"/>
        <w:b/>
        <w:color w:val="FFFFFF"/>
        <w:sz w:val="22"/>
      </w:rPr>
      <w:tblPr/>
      <w:tcPr>
        <w:shd w:val="clear" w:color="4F81BD" w:fill="4F81B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right w:val="single" w:sz="4" w:space="0" w:color="4F81BD"/>
        </w:tcBorders>
      </w:tcPr>
    </w:tblStylePr>
    <w:tblStylePr w:type="band1Horz">
      <w:rPr>
        <w:rFonts w:ascii="Arial" w:hAnsi="Arial"/>
        <w:color w:val="404040"/>
        <w:sz w:val="22"/>
      </w:rPr>
      <w:tblPr/>
      <w:tcPr>
        <w:tcBorders>
          <w:top w:val="single" w:sz="4" w:space="0" w:color="4F81BD"/>
          <w:bottom w:val="single" w:sz="4" w:space="0" w:color="4F81BD"/>
        </w:tcBorders>
      </w:tcPr>
    </w:tblStylePr>
  </w:style>
  <w:style w:type="table" w:customStyle="1" w:styleId="ListTable3-Accent2">
    <w:name w:val="List Table 3 - Accent 2"/>
    <w:basedOn w:val="a1"/>
    <w:uiPriority w:val="99"/>
    <w:rsid w:val="00074AE5"/>
    <w:tblPr>
      <w:tblStyleRowBandSize w:val="1"/>
      <w:tblStyleColBandSize w:val="1"/>
      <w:tblBorders>
        <w:top w:val="single" w:sz="4" w:space="0" w:color="D99695"/>
        <w:left w:val="single" w:sz="4" w:space="0" w:color="D99695"/>
        <w:bottom w:val="single" w:sz="4" w:space="0" w:color="D99695"/>
        <w:right w:val="single" w:sz="4" w:space="0" w:color="D99695"/>
      </w:tblBorders>
    </w:tblPr>
    <w:tblStylePr w:type="firstRow">
      <w:rPr>
        <w:rFonts w:ascii="Arial" w:hAnsi="Arial"/>
        <w:b/>
        <w:color w:val="FFFFFF"/>
        <w:sz w:val="22"/>
      </w:rPr>
      <w:tblPr/>
      <w:tcPr>
        <w:shd w:val="clear" w:color="D99695" w:fill="D9969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right w:val="single" w:sz="4" w:space="0" w:color="D99695"/>
        </w:tcBorders>
      </w:tcPr>
    </w:tblStylePr>
    <w:tblStylePr w:type="band1Horz">
      <w:rPr>
        <w:rFonts w:ascii="Arial" w:hAnsi="Arial"/>
        <w:color w:val="404040"/>
        <w:sz w:val="22"/>
      </w:rPr>
      <w:tblPr/>
      <w:tcPr>
        <w:tcBorders>
          <w:top w:val="single" w:sz="4" w:space="0" w:color="D99695"/>
          <w:bottom w:val="single" w:sz="4" w:space="0" w:color="D99695"/>
        </w:tcBorders>
      </w:tcPr>
    </w:tblStylePr>
  </w:style>
  <w:style w:type="table" w:customStyle="1" w:styleId="ListTable3-Accent3">
    <w:name w:val="List Table 3 - Accent 3"/>
    <w:basedOn w:val="a1"/>
    <w:uiPriority w:val="99"/>
    <w:rsid w:val="00074AE5"/>
    <w:tblPr>
      <w:tblStyleRowBandSize w:val="1"/>
      <w:tblStyleColBandSize w:val="1"/>
      <w:tblBorders>
        <w:top w:val="single" w:sz="4" w:space="0" w:color="C3D69B"/>
        <w:left w:val="single" w:sz="4" w:space="0" w:color="C3D69B"/>
        <w:bottom w:val="single" w:sz="4" w:space="0" w:color="C3D69B"/>
        <w:right w:val="single" w:sz="4" w:space="0" w:color="C3D69B"/>
      </w:tblBorders>
    </w:tblPr>
    <w:tblStylePr w:type="firstRow">
      <w:rPr>
        <w:rFonts w:ascii="Arial" w:hAnsi="Arial"/>
        <w:b/>
        <w:color w:val="FFFFFF"/>
        <w:sz w:val="22"/>
      </w:rPr>
      <w:tblPr/>
      <w:tcPr>
        <w:shd w:val="clear" w:color="C3D69B" w:fill="C3D69B"/>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right w:val="single" w:sz="4" w:space="0" w:color="C3D69B"/>
        </w:tcBorders>
      </w:tcPr>
    </w:tblStylePr>
    <w:tblStylePr w:type="band1Horz">
      <w:rPr>
        <w:rFonts w:ascii="Arial" w:hAnsi="Arial"/>
        <w:color w:val="404040"/>
        <w:sz w:val="22"/>
      </w:rPr>
      <w:tblPr/>
      <w:tcPr>
        <w:tcBorders>
          <w:top w:val="single" w:sz="4" w:space="0" w:color="C3D69B"/>
          <w:bottom w:val="single" w:sz="4" w:space="0" w:color="C3D69B"/>
        </w:tcBorders>
      </w:tcPr>
    </w:tblStylePr>
  </w:style>
  <w:style w:type="table" w:customStyle="1" w:styleId="ListTable3-Accent4">
    <w:name w:val="List Table 3 - Accent 4"/>
    <w:basedOn w:val="a1"/>
    <w:uiPriority w:val="99"/>
    <w:rsid w:val="00074AE5"/>
    <w:tblPr>
      <w:tblStyleRowBandSize w:val="1"/>
      <w:tblStyleColBandSize w:val="1"/>
      <w:tblBorders>
        <w:top w:val="single" w:sz="4" w:space="0" w:color="B2A1C6"/>
        <w:left w:val="single" w:sz="4" w:space="0" w:color="B2A1C6"/>
        <w:bottom w:val="single" w:sz="4" w:space="0" w:color="B2A1C6"/>
        <w:right w:val="single" w:sz="4" w:space="0" w:color="B2A1C6"/>
      </w:tblBorders>
    </w:tblPr>
    <w:tblStylePr w:type="firstRow">
      <w:rPr>
        <w:rFonts w:ascii="Arial" w:hAnsi="Arial"/>
        <w:b/>
        <w:color w:val="FFFFFF"/>
        <w:sz w:val="22"/>
      </w:rPr>
      <w:tblPr/>
      <w:tcPr>
        <w:shd w:val="clear" w:color="B2A1C6" w:fill="B2A1C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right w:val="single" w:sz="4" w:space="0" w:color="B2A1C6"/>
        </w:tcBorders>
      </w:tcPr>
    </w:tblStylePr>
    <w:tblStylePr w:type="band1Horz">
      <w:rPr>
        <w:rFonts w:ascii="Arial" w:hAnsi="Arial"/>
        <w:color w:val="404040"/>
        <w:sz w:val="22"/>
      </w:rPr>
      <w:tblPr/>
      <w:tcPr>
        <w:tcBorders>
          <w:top w:val="single" w:sz="4" w:space="0" w:color="B2A1C6"/>
          <w:bottom w:val="single" w:sz="4" w:space="0" w:color="B2A1C6"/>
        </w:tcBorders>
      </w:tcPr>
    </w:tblStylePr>
  </w:style>
  <w:style w:type="table" w:customStyle="1" w:styleId="ListTable3-Accent5">
    <w:name w:val="List Table 3 - Accent 5"/>
    <w:basedOn w:val="a1"/>
    <w:uiPriority w:val="99"/>
    <w:rsid w:val="00074AE5"/>
    <w:tblPr>
      <w:tblStyleRowBandSize w:val="1"/>
      <w:tblStyleColBandSize w:val="1"/>
      <w:tblBorders>
        <w:top w:val="single" w:sz="4" w:space="0" w:color="92CCDC"/>
        <w:left w:val="single" w:sz="4" w:space="0" w:color="92CCDC"/>
        <w:bottom w:val="single" w:sz="4" w:space="0" w:color="92CCDC"/>
        <w:right w:val="single" w:sz="4" w:space="0" w:color="92CCDC"/>
      </w:tblBorders>
    </w:tblPr>
    <w:tblStylePr w:type="firstRow">
      <w:rPr>
        <w:rFonts w:ascii="Arial" w:hAnsi="Arial"/>
        <w:b/>
        <w:color w:val="FFFFFF"/>
        <w:sz w:val="22"/>
      </w:rPr>
      <w:tblPr/>
      <w:tcPr>
        <w:shd w:val="clear" w:color="92CCDC" w:fill="92CCDC"/>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right w:val="single" w:sz="4" w:space="0" w:color="92CCDC"/>
        </w:tcBorders>
      </w:tcPr>
    </w:tblStylePr>
    <w:tblStylePr w:type="band1Horz">
      <w:rPr>
        <w:rFonts w:ascii="Arial" w:hAnsi="Arial"/>
        <w:color w:val="404040"/>
        <w:sz w:val="22"/>
      </w:rPr>
      <w:tblPr/>
      <w:tcPr>
        <w:tcBorders>
          <w:top w:val="single" w:sz="4" w:space="0" w:color="92CCDC"/>
          <w:bottom w:val="single" w:sz="4" w:space="0" w:color="92CCDC"/>
        </w:tcBorders>
      </w:tcPr>
    </w:tblStylePr>
  </w:style>
  <w:style w:type="table" w:customStyle="1" w:styleId="ListTable3-Accent6">
    <w:name w:val="List Table 3 - Accent 6"/>
    <w:basedOn w:val="a1"/>
    <w:uiPriority w:val="99"/>
    <w:rsid w:val="00074AE5"/>
    <w:tblPr>
      <w:tblStyleRowBandSize w:val="1"/>
      <w:tblStyleColBandSize w:val="1"/>
      <w:tblBorders>
        <w:top w:val="single" w:sz="4" w:space="0" w:color="FAC090"/>
        <w:left w:val="single" w:sz="4" w:space="0" w:color="FAC090"/>
        <w:bottom w:val="single" w:sz="4" w:space="0" w:color="FAC090"/>
        <w:right w:val="single" w:sz="4" w:space="0" w:color="FAC090"/>
      </w:tblBorders>
    </w:tblPr>
    <w:tblStylePr w:type="firstRow">
      <w:rPr>
        <w:rFonts w:ascii="Arial" w:hAnsi="Arial"/>
        <w:b/>
        <w:color w:val="FFFFFF"/>
        <w:sz w:val="22"/>
      </w:rPr>
      <w:tblPr/>
      <w:tcPr>
        <w:shd w:val="clear" w:color="FAC090" w:fill="FAC09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right w:val="single" w:sz="4" w:space="0" w:color="FAC090"/>
        </w:tcBorders>
      </w:tcPr>
    </w:tblStylePr>
    <w:tblStylePr w:type="band1Horz">
      <w:rPr>
        <w:rFonts w:ascii="Arial" w:hAnsi="Arial"/>
        <w:color w:val="404040"/>
        <w:sz w:val="22"/>
      </w:rPr>
      <w:tblPr/>
      <w:tcPr>
        <w:tcBorders>
          <w:top w:val="single" w:sz="4" w:space="0" w:color="FAC090"/>
          <w:bottom w:val="single" w:sz="4" w:space="0" w:color="FAC090"/>
        </w:tcBorders>
      </w:tcPr>
    </w:tblStylePr>
  </w:style>
  <w:style w:type="table" w:customStyle="1" w:styleId="-410">
    <w:name w:val="Список-таблица 41"/>
    <w:basedOn w:val="a1"/>
    <w:uiPriority w:val="99"/>
    <w:rsid w:val="00074AE5"/>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tblBorders>
    </w:tblPr>
    <w:tblStylePr w:type="firstRow">
      <w:rPr>
        <w:rFonts w:ascii="Arial" w:hAnsi="Arial"/>
        <w:b/>
        <w:color w:val="FFFFFF"/>
        <w:sz w:val="22"/>
      </w:rPr>
      <w:tblPr/>
      <w:tcPr>
        <w:shd w:val="clear" w:color="000000"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fill="BFBFBF"/>
      </w:tcPr>
    </w:tblStylePr>
    <w:tblStylePr w:type="band1Horz">
      <w:rPr>
        <w:rFonts w:ascii="Arial" w:hAnsi="Arial"/>
        <w:color w:val="404040"/>
        <w:sz w:val="22"/>
      </w:rPr>
      <w:tblPr/>
      <w:tcPr>
        <w:shd w:val="clear" w:color="BFBFBF" w:fill="BFBFBF"/>
      </w:tcPr>
    </w:tblStylePr>
  </w:style>
  <w:style w:type="table" w:customStyle="1" w:styleId="ListTable4-Accent1">
    <w:name w:val="List Table 4 - Accent 1"/>
    <w:basedOn w:val="a1"/>
    <w:uiPriority w:val="99"/>
    <w:rsid w:val="00074AE5"/>
    <w:tblPr>
      <w:tblStyleRowBandSize w:val="1"/>
      <w:tblStyleColBandSize w:val="1"/>
      <w:tblBorders>
        <w:top w:val="single" w:sz="4" w:space="0" w:color="9BB7D9"/>
        <w:left w:val="single" w:sz="4" w:space="0" w:color="9BB7D9"/>
        <w:bottom w:val="single" w:sz="4" w:space="0" w:color="9BB7D9"/>
        <w:right w:val="single" w:sz="4" w:space="0" w:color="9BB7D9"/>
        <w:insideH w:val="single" w:sz="4" w:space="0" w:color="9BB7D9"/>
      </w:tblBorders>
    </w:tblPr>
    <w:tblStylePr w:type="firstRow">
      <w:rPr>
        <w:rFonts w:ascii="Arial" w:hAnsi="Arial"/>
        <w:b/>
        <w:color w:val="FFFFFF"/>
        <w:sz w:val="22"/>
      </w:rPr>
      <w:tblPr/>
      <w:tcPr>
        <w:shd w:val="clear" w:color="4F81BD" w:fill="4F81B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fill="D2DFEE"/>
      </w:tcPr>
    </w:tblStylePr>
    <w:tblStylePr w:type="band1Horz">
      <w:rPr>
        <w:rFonts w:ascii="Arial" w:hAnsi="Arial"/>
        <w:color w:val="404040"/>
        <w:sz w:val="22"/>
      </w:rPr>
      <w:tblPr/>
      <w:tcPr>
        <w:shd w:val="clear" w:color="D2DFEE" w:fill="D2DFEE"/>
      </w:tcPr>
    </w:tblStylePr>
  </w:style>
  <w:style w:type="table" w:customStyle="1" w:styleId="ListTable4-Accent2">
    <w:name w:val="List Table 4 - Accent 2"/>
    <w:basedOn w:val="a1"/>
    <w:uiPriority w:val="99"/>
    <w:rsid w:val="00074AE5"/>
    <w:tblPr>
      <w:tblStyleRowBandSize w:val="1"/>
      <w:tblStyleColBandSize w:val="1"/>
      <w:tblBorders>
        <w:top w:val="single" w:sz="4" w:space="0" w:color="DB9B9A"/>
        <w:left w:val="single" w:sz="4" w:space="0" w:color="DB9B9A"/>
        <w:bottom w:val="single" w:sz="4" w:space="0" w:color="DB9B9A"/>
        <w:right w:val="single" w:sz="4" w:space="0" w:color="DB9B9A"/>
        <w:insideH w:val="single" w:sz="4" w:space="0" w:color="DB9B9A"/>
      </w:tblBorders>
    </w:tblPr>
    <w:tblStylePr w:type="firstRow">
      <w:rPr>
        <w:rFonts w:ascii="Arial" w:hAnsi="Arial"/>
        <w:b/>
        <w:color w:val="FFFFFF"/>
        <w:sz w:val="22"/>
      </w:rPr>
      <w:tblPr/>
      <w:tcPr>
        <w:shd w:val="clear" w:color="C0504D" w:fill="C0504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fill="EFD2D2"/>
      </w:tcPr>
    </w:tblStylePr>
    <w:tblStylePr w:type="band1Horz">
      <w:rPr>
        <w:rFonts w:ascii="Arial" w:hAnsi="Arial"/>
        <w:color w:val="404040"/>
        <w:sz w:val="22"/>
      </w:rPr>
      <w:tblPr/>
      <w:tcPr>
        <w:shd w:val="clear" w:color="EFD2D2" w:fill="EFD2D2"/>
      </w:tcPr>
    </w:tblStylePr>
  </w:style>
  <w:style w:type="table" w:customStyle="1" w:styleId="ListTable4-Accent3">
    <w:name w:val="List Table 4 - Accent 3"/>
    <w:basedOn w:val="a1"/>
    <w:uiPriority w:val="99"/>
    <w:rsid w:val="00074AE5"/>
    <w:tblPr>
      <w:tblStyleRowBandSize w:val="1"/>
      <w:tblStyleColBandSize w:val="1"/>
      <w:tblBorders>
        <w:top w:val="single" w:sz="4" w:space="0" w:color="C6D8A1"/>
        <w:left w:val="single" w:sz="4" w:space="0" w:color="C6D8A1"/>
        <w:bottom w:val="single" w:sz="4" w:space="0" w:color="C6D8A1"/>
        <w:right w:val="single" w:sz="4" w:space="0" w:color="C6D8A1"/>
        <w:insideH w:val="single" w:sz="4" w:space="0" w:color="C6D8A1"/>
      </w:tblBorders>
    </w:tblPr>
    <w:tblStylePr w:type="firstRow">
      <w:rPr>
        <w:rFonts w:ascii="Arial" w:hAnsi="Arial"/>
        <w:b/>
        <w:color w:val="FFFFFF"/>
        <w:sz w:val="22"/>
      </w:rPr>
      <w:tblPr/>
      <w:tcPr>
        <w:shd w:val="clear" w:color="9BBB59" w:fill="9BBB59"/>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fill="E5EED5"/>
      </w:tcPr>
    </w:tblStylePr>
    <w:tblStylePr w:type="band1Horz">
      <w:rPr>
        <w:rFonts w:ascii="Arial" w:hAnsi="Arial"/>
        <w:color w:val="404040"/>
        <w:sz w:val="22"/>
      </w:rPr>
      <w:tblPr/>
      <w:tcPr>
        <w:shd w:val="clear" w:color="E5EED5" w:fill="E5EED5"/>
      </w:tcPr>
    </w:tblStylePr>
  </w:style>
  <w:style w:type="table" w:customStyle="1" w:styleId="ListTable4-Accent4">
    <w:name w:val="List Table 4 - Accent 4"/>
    <w:basedOn w:val="a1"/>
    <w:uiPriority w:val="99"/>
    <w:rsid w:val="00074AE5"/>
    <w:tblPr>
      <w:tblStyleRowBandSize w:val="1"/>
      <w:tblStyleColBandSize w:val="1"/>
      <w:tblBorders>
        <w:top w:val="single" w:sz="4" w:space="0" w:color="B7A7CA"/>
        <w:left w:val="single" w:sz="4" w:space="0" w:color="B7A7CA"/>
        <w:bottom w:val="single" w:sz="4" w:space="0" w:color="B7A7CA"/>
        <w:right w:val="single" w:sz="4" w:space="0" w:color="B7A7CA"/>
        <w:insideH w:val="single" w:sz="4" w:space="0" w:color="B7A7CA"/>
      </w:tblBorders>
    </w:tblPr>
    <w:tblStylePr w:type="firstRow">
      <w:rPr>
        <w:rFonts w:ascii="Arial" w:hAnsi="Arial"/>
        <w:b/>
        <w:color w:val="FFFFFF"/>
        <w:sz w:val="22"/>
      </w:rPr>
      <w:tblPr/>
      <w:tcPr>
        <w:shd w:val="clear" w:color="8064A2" w:fill="8064A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fill="DFD8E7"/>
      </w:tcPr>
    </w:tblStylePr>
    <w:tblStylePr w:type="band1Horz">
      <w:rPr>
        <w:rFonts w:ascii="Arial" w:hAnsi="Arial"/>
        <w:color w:val="404040"/>
        <w:sz w:val="22"/>
      </w:rPr>
      <w:tblPr/>
      <w:tcPr>
        <w:shd w:val="clear" w:color="DFD8E7" w:fill="DFD8E7"/>
      </w:tcPr>
    </w:tblStylePr>
  </w:style>
  <w:style w:type="table" w:customStyle="1" w:styleId="ListTable4-Accent5">
    <w:name w:val="List Table 4 - Accent 5"/>
    <w:basedOn w:val="a1"/>
    <w:uiPriority w:val="99"/>
    <w:rsid w:val="00074AE5"/>
    <w:tblPr>
      <w:tblStyleRowBandSize w:val="1"/>
      <w:tblStyleColBandSize w:val="1"/>
      <w:tblBorders>
        <w:top w:val="single" w:sz="4" w:space="0" w:color="99D0DE"/>
        <w:left w:val="single" w:sz="4" w:space="0" w:color="99D0DE"/>
        <w:bottom w:val="single" w:sz="4" w:space="0" w:color="99D0DE"/>
        <w:right w:val="single" w:sz="4" w:space="0" w:color="99D0DE"/>
        <w:insideH w:val="single" w:sz="4" w:space="0" w:color="99D0DE"/>
      </w:tblBorders>
    </w:tblPr>
    <w:tblStylePr w:type="firstRow">
      <w:rPr>
        <w:rFonts w:ascii="Arial" w:hAnsi="Arial"/>
        <w:b/>
        <w:color w:val="FFFFFF"/>
        <w:sz w:val="22"/>
      </w:rPr>
      <w:tblPr/>
      <w:tcPr>
        <w:shd w:val="clear" w:color="4BACC6" w:fill="4BACC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fill="D1EAF0"/>
      </w:tcPr>
    </w:tblStylePr>
    <w:tblStylePr w:type="band1Horz">
      <w:rPr>
        <w:rFonts w:ascii="Arial" w:hAnsi="Arial"/>
        <w:color w:val="404040"/>
        <w:sz w:val="22"/>
      </w:rPr>
      <w:tblPr/>
      <w:tcPr>
        <w:shd w:val="clear" w:color="D1EAF0" w:fill="D1EAF0"/>
      </w:tcPr>
    </w:tblStylePr>
  </w:style>
  <w:style w:type="table" w:customStyle="1" w:styleId="ListTable4-Accent6">
    <w:name w:val="List Table 4 - Accent 6"/>
    <w:basedOn w:val="a1"/>
    <w:uiPriority w:val="99"/>
    <w:rsid w:val="00074AE5"/>
    <w:tblPr>
      <w:tblStyleRowBandSize w:val="1"/>
      <w:tblStyleColBandSize w:val="1"/>
      <w:tblBorders>
        <w:top w:val="single" w:sz="4" w:space="0" w:color="FAC396"/>
        <w:left w:val="single" w:sz="4" w:space="0" w:color="FAC396"/>
        <w:bottom w:val="single" w:sz="4" w:space="0" w:color="FAC396"/>
        <w:right w:val="single" w:sz="4" w:space="0" w:color="FAC396"/>
        <w:insideH w:val="single" w:sz="4" w:space="0" w:color="FAC396"/>
      </w:tblBorders>
    </w:tblPr>
    <w:tblStylePr w:type="firstRow">
      <w:rPr>
        <w:rFonts w:ascii="Arial" w:hAnsi="Arial"/>
        <w:b/>
        <w:color w:val="FFFFFF"/>
        <w:sz w:val="22"/>
      </w:rPr>
      <w:tblPr/>
      <w:tcPr>
        <w:shd w:val="clear" w:color="F79646" w:fill="F7964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fill="FDE4D0"/>
      </w:tcPr>
    </w:tblStylePr>
    <w:tblStylePr w:type="band1Horz">
      <w:rPr>
        <w:rFonts w:ascii="Arial" w:hAnsi="Arial"/>
        <w:color w:val="404040"/>
        <w:sz w:val="22"/>
      </w:rPr>
      <w:tblPr/>
      <w:tcPr>
        <w:shd w:val="clear" w:color="FDE4D0" w:fill="FDE4D0"/>
      </w:tcPr>
    </w:tblStylePr>
  </w:style>
  <w:style w:type="table" w:customStyle="1" w:styleId="-510">
    <w:name w:val="Список-таблица 5 темная1"/>
    <w:basedOn w:val="a1"/>
    <w:uiPriority w:val="99"/>
    <w:rsid w:val="00074AE5"/>
    <w:tblPr>
      <w:tblStyleRowBandSize w:val="1"/>
      <w:tblStyleColBandSize w:val="1"/>
      <w:tblBorders>
        <w:top w:val="single" w:sz="32" w:space="0" w:color="7F7F7F"/>
        <w:left w:val="single" w:sz="32" w:space="0" w:color="7F7F7F"/>
        <w:bottom w:val="single" w:sz="32" w:space="0" w:color="7F7F7F"/>
        <w:right w:val="single" w:sz="32" w:space="0" w:color="7F7F7F"/>
      </w:tblBorders>
      <w:shd w:val="clear" w:color="7F7F7F" w:fill="7F7F7F"/>
    </w:tblPr>
    <w:tblStylePr w:type="firstRow">
      <w:rPr>
        <w:rFonts w:ascii="Arial" w:hAnsi="Arial"/>
        <w:b/>
        <w:color w:val="FFFFFF"/>
        <w:sz w:val="22"/>
      </w:rPr>
      <w:tblPr/>
      <w:tcPr>
        <w:tcBorders>
          <w:top w:val="single" w:sz="32" w:space="0" w:color="7F7F7F"/>
          <w:bottom w:val="single" w:sz="12" w:space="0" w:color="FFFFFF"/>
        </w:tcBorders>
        <w:shd w:val="clear" w:color="7F7F7F" w:fill="7F7F7F"/>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7F7F7F"/>
          <w:right w:val="single" w:sz="4" w:space="0" w:color="FFFFFF"/>
        </w:tcBorders>
      </w:tcPr>
    </w:tblStylePr>
    <w:tblStylePr w:type="lastCol">
      <w:tblPr/>
      <w:tcPr>
        <w:tcBorders>
          <w:left w:val="single" w:sz="4" w:space="0" w:color="FFFFFF"/>
          <w:right w:val="single" w:sz="32" w:space="0" w:color="7F7F7F"/>
        </w:tcBorders>
      </w:tcPr>
    </w:tblStylePr>
    <w:tblStylePr w:type="band1Vert">
      <w:tblPr/>
      <w:tcPr>
        <w:tcBorders>
          <w:left w:val="single" w:sz="4" w:space="0" w:color="FFFFFF"/>
          <w:right w:val="single" w:sz="4" w:space="0" w:color="FFFFFF"/>
        </w:tcBorders>
        <w:shd w:val="clear" w:color="7F7F7F" w:fill="7F7F7F"/>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7F7F7F" w:fill="7F7F7F"/>
      </w:tcPr>
    </w:tblStylePr>
    <w:tblStylePr w:type="band2Horz">
      <w:tblPr/>
      <w:tcPr>
        <w:tcBorders>
          <w:top w:val="single" w:sz="4" w:space="0" w:color="FFFFFF"/>
          <w:bottom w:val="single" w:sz="4" w:space="0" w:color="FFFFFF"/>
        </w:tcBorders>
        <w:shd w:val="clear" w:color="7F7F7F" w:fill="7F7F7F"/>
      </w:tcPr>
    </w:tblStylePr>
  </w:style>
  <w:style w:type="table" w:customStyle="1" w:styleId="ListTable5Dark-Accent1">
    <w:name w:val="List Table 5 Dark - Accent 1"/>
    <w:basedOn w:val="a1"/>
    <w:uiPriority w:val="99"/>
    <w:rsid w:val="00074AE5"/>
    <w:tblPr>
      <w:tblStyleRowBandSize w:val="1"/>
      <w:tblStyleColBandSize w:val="1"/>
      <w:tblBorders>
        <w:top w:val="single" w:sz="32" w:space="0" w:color="4F81BD"/>
        <w:left w:val="single" w:sz="32" w:space="0" w:color="4F81BD"/>
        <w:bottom w:val="single" w:sz="32" w:space="0" w:color="4F81BD"/>
        <w:right w:val="single" w:sz="32" w:space="0" w:color="4F81BD"/>
      </w:tblBorders>
      <w:shd w:val="clear" w:color="4F81BD" w:fill="4F81BD"/>
    </w:tblPr>
    <w:tblStylePr w:type="firstRow">
      <w:rPr>
        <w:rFonts w:ascii="Arial" w:hAnsi="Arial"/>
        <w:b/>
        <w:color w:val="FFFFFF"/>
        <w:sz w:val="22"/>
      </w:rPr>
      <w:tblPr/>
      <w:tcPr>
        <w:tcBorders>
          <w:top w:val="single" w:sz="32" w:space="0" w:color="4F81BD"/>
          <w:bottom w:val="single" w:sz="12" w:space="0" w:color="FFFFFF"/>
        </w:tcBorders>
        <w:shd w:val="clear" w:color="4F81BD" w:fill="4F81BD"/>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4F81BD"/>
          <w:right w:val="single" w:sz="4" w:space="0" w:color="FFFFFF"/>
        </w:tcBorders>
      </w:tcPr>
    </w:tblStylePr>
    <w:tblStylePr w:type="lastCol">
      <w:tblPr/>
      <w:tcPr>
        <w:tcBorders>
          <w:left w:val="single" w:sz="4" w:space="0" w:color="FFFFFF"/>
          <w:right w:val="single" w:sz="32" w:space="0" w:color="4F81BD"/>
        </w:tcBorders>
      </w:tcPr>
    </w:tblStylePr>
    <w:tblStylePr w:type="band1Vert">
      <w:tblPr/>
      <w:tcPr>
        <w:tcBorders>
          <w:left w:val="single" w:sz="4" w:space="0" w:color="FFFFFF"/>
          <w:right w:val="single" w:sz="4" w:space="0" w:color="FFFFFF"/>
        </w:tcBorders>
        <w:shd w:val="clear" w:color="4F81BD" w:fill="4F81BD"/>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4F81BD" w:fill="4F81BD"/>
      </w:tcPr>
    </w:tblStylePr>
    <w:tblStylePr w:type="band2Horz">
      <w:tblPr/>
      <w:tcPr>
        <w:tcBorders>
          <w:top w:val="single" w:sz="4" w:space="0" w:color="FFFFFF"/>
          <w:bottom w:val="single" w:sz="4" w:space="0" w:color="FFFFFF"/>
        </w:tcBorders>
        <w:shd w:val="clear" w:color="4F81BD" w:fill="4F81BD"/>
      </w:tcPr>
    </w:tblStylePr>
  </w:style>
  <w:style w:type="table" w:customStyle="1" w:styleId="ListTable5Dark-Accent2">
    <w:name w:val="List Table 5 Dark - Accent 2"/>
    <w:basedOn w:val="a1"/>
    <w:uiPriority w:val="99"/>
    <w:rsid w:val="00074AE5"/>
    <w:tblPr>
      <w:tblStyleRowBandSize w:val="1"/>
      <w:tblStyleColBandSize w:val="1"/>
      <w:tblBorders>
        <w:top w:val="single" w:sz="32" w:space="0" w:color="D99695"/>
        <w:left w:val="single" w:sz="32" w:space="0" w:color="D99695"/>
        <w:bottom w:val="single" w:sz="32" w:space="0" w:color="D99695"/>
        <w:right w:val="single" w:sz="32" w:space="0" w:color="D99695"/>
      </w:tblBorders>
      <w:shd w:val="clear" w:color="D99695" w:fill="D99695"/>
    </w:tblPr>
    <w:tblStylePr w:type="firstRow">
      <w:rPr>
        <w:rFonts w:ascii="Arial" w:hAnsi="Arial"/>
        <w:b/>
        <w:color w:val="FFFFFF"/>
        <w:sz w:val="22"/>
      </w:rPr>
      <w:tblPr/>
      <w:tcPr>
        <w:tcBorders>
          <w:top w:val="single" w:sz="32" w:space="0" w:color="D99695"/>
          <w:bottom w:val="single" w:sz="12" w:space="0" w:color="FFFFFF"/>
        </w:tcBorders>
        <w:shd w:val="clear" w:color="D99695" w:fill="D99695"/>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D99695"/>
          <w:right w:val="single" w:sz="4" w:space="0" w:color="FFFFFF"/>
        </w:tcBorders>
      </w:tcPr>
    </w:tblStylePr>
    <w:tblStylePr w:type="lastCol">
      <w:tblPr/>
      <w:tcPr>
        <w:tcBorders>
          <w:left w:val="single" w:sz="4" w:space="0" w:color="FFFFFF"/>
          <w:right w:val="single" w:sz="32" w:space="0" w:color="D99695"/>
        </w:tcBorders>
      </w:tcPr>
    </w:tblStylePr>
    <w:tblStylePr w:type="band1Vert">
      <w:tblPr/>
      <w:tcPr>
        <w:tcBorders>
          <w:left w:val="single" w:sz="4" w:space="0" w:color="FFFFFF"/>
          <w:right w:val="single" w:sz="4" w:space="0" w:color="FFFFFF"/>
        </w:tcBorders>
        <w:shd w:val="clear" w:color="D99695" w:fill="D99695"/>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D99695" w:fill="D99695"/>
      </w:tcPr>
    </w:tblStylePr>
    <w:tblStylePr w:type="band2Horz">
      <w:tblPr/>
      <w:tcPr>
        <w:tcBorders>
          <w:top w:val="single" w:sz="4" w:space="0" w:color="FFFFFF"/>
          <w:bottom w:val="single" w:sz="4" w:space="0" w:color="FFFFFF"/>
        </w:tcBorders>
        <w:shd w:val="clear" w:color="D99695" w:fill="D99695"/>
      </w:tcPr>
    </w:tblStylePr>
  </w:style>
  <w:style w:type="table" w:customStyle="1" w:styleId="ListTable5Dark-Accent3">
    <w:name w:val="List Table 5 Dark - Accent 3"/>
    <w:basedOn w:val="a1"/>
    <w:uiPriority w:val="99"/>
    <w:rsid w:val="00074AE5"/>
    <w:tblPr>
      <w:tblStyleRowBandSize w:val="1"/>
      <w:tblStyleColBandSize w:val="1"/>
      <w:tblBorders>
        <w:top w:val="single" w:sz="32" w:space="0" w:color="C3D69B"/>
        <w:left w:val="single" w:sz="32" w:space="0" w:color="C3D69B"/>
        <w:bottom w:val="single" w:sz="32" w:space="0" w:color="C3D69B"/>
        <w:right w:val="single" w:sz="32" w:space="0" w:color="C3D69B"/>
      </w:tblBorders>
      <w:shd w:val="clear" w:color="C3D69B" w:fill="C3D69B"/>
    </w:tblPr>
    <w:tblStylePr w:type="firstRow">
      <w:rPr>
        <w:rFonts w:ascii="Arial" w:hAnsi="Arial"/>
        <w:b/>
        <w:color w:val="FFFFFF"/>
        <w:sz w:val="22"/>
      </w:rPr>
      <w:tblPr/>
      <w:tcPr>
        <w:tcBorders>
          <w:top w:val="single" w:sz="32" w:space="0" w:color="C3D69B"/>
          <w:bottom w:val="single" w:sz="12" w:space="0" w:color="FFFFFF"/>
        </w:tcBorders>
        <w:shd w:val="clear" w:color="C3D69B" w:fill="C3D69B"/>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C3D69B"/>
          <w:right w:val="single" w:sz="4" w:space="0" w:color="FFFFFF"/>
        </w:tcBorders>
      </w:tcPr>
    </w:tblStylePr>
    <w:tblStylePr w:type="lastCol">
      <w:tblPr/>
      <w:tcPr>
        <w:tcBorders>
          <w:left w:val="single" w:sz="4" w:space="0" w:color="FFFFFF"/>
          <w:right w:val="single" w:sz="32" w:space="0" w:color="C3D69B"/>
        </w:tcBorders>
      </w:tcPr>
    </w:tblStylePr>
    <w:tblStylePr w:type="band1Vert">
      <w:tblPr/>
      <w:tcPr>
        <w:tcBorders>
          <w:left w:val="single" w:sz="4" w:space="0" w:color="FFFFFF"/>
          <w:right w:val="single" w:sz="4" w:space="0" w:color="FFFFFF"/>
        </w:tcBorders>
        <w:shd w:val="clear" w:color="C3D69B" w:fill="C3D69B"/>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C3D69B" w:fill="C3D69B"/>
      </w:tcPr>
    </w:tblStylePr>
    <w:tblStylePr w:type="band2Horz">
      <w:tblPr/>
      <w:tcPr>
        <w:tcBorders>
          <w:top w:val="single" w:sz="4" w:space="0" w:color="FFFFFF"/>
          <w:bottom w:val="single" w:sz="4" w:space="0" w:color="FFFFFF"/>
        </w:tcBorders>
        <w:shd w:val="clear" w:color="C3D69B" w:fill="C3D69B"/>
      </w:tcPr>
    </w:tblStylePr>
  </w:style>
  <w:style w:type="table" w:customStyle="1" w:styleId="ListTable5Dark-Accent4">
    <w:name w:val="List Table 5 Dark - Accent 4"/>
    <w:basedOn w:val="a1"/>
    <w:uiPriority w:val="99"/>
    <w:rsid w:val="00074AE5"/>
    <w:tblPr>
      <w:tblStyleRowBandSize w:val="1"/>
      <w:tblStyleColBandSize w:val="1"/>
      <w:tblBorders>
        <w:top w:val="single" w:sz="32" w:space="0" w:color="B2A1C6"/>
        <w:left w:val="single" w:sz="32" w:space="0" w:color="B2A1C6"/>
        <w:bottom w:val="single" w:sz="32" w:space="0" w:color="B2A1C6"/>
        <w:right w:val="single" w:sz="32" w:space="0" w:color="B2A1C6"/>
      </w:tblBorders>
      <w:shd w:val="clear" w:color="B2A1C6" w:fill="B2A1C6"/>
    </w:tblPr>
    <w:tblStylePr w:type="firstRow">
      <w:rPr>
        <w:rFonts w:ascii="Arial" w:hAnsi="Arial"/>
        <w:b/>
        <w:color w:val="FFFFFF"/>
        <w:sz w:val="22"/>
      </w:rPr>
      <w:tblPr/>
      <w:tcPr>
        <w:tcBorders>
          <w:top w:val="single" w:sz="32" w:space="0" w:color="B2A1C6"/>
          <w:bottom w:val="single" w:sz="12" w:space="0" w:color="FFFFFF"/>
        </w:tcBorders>
        <w:shd w:val="clear" w:color="B2A1C6" w:fill="B2A1C6"/>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B2A1C6"/>
          <w:right w:val="single" w:sz="4" w:space="0" w:color="FFFFFF"/>
        </w:tcBorders>
      </w:tcPr>
    </w:tblStylePr>
    <w:tblStylePr w:type="lastCol">
      <w:tblPr/>
      <w:tcPr>
        <w:tcBorders>
          <w:left w:val="single" w:sz="4" w:space="0" w:color="FFFFFF"/>
          <w:right w:val="single" w:sz="32" w:space="0" w:color="B2A1C6"/>
        </w:tcBorders>
      </w:tcPr>
    </w:tblStylePr>
    <w:tblStylePr w:type="band1Vert">
      <w:tblPr/>
      <w:tcPr>
        <w:tcBorders>
          <w:left w:val="single" w:sz="4" w:space="0" w:color="FFFFFF"/>
          <w:right w:val="single" w:sz="4" w:space="0" w:color="FFFFFF"/>
        </w:tcBorders>
        <w:shd w:val="clear" w:color="B2A1C6" w:fill="B2A1C6"/>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B2A1C6" w:fill="B2A1C6"/>
      </w:tcPr>
    </w:tblStylePr>
    <w:tblStylePr w:type="band2Horz">
      <w:tblPr/>
      <w:tcPr>
        <w:tcBorders>
          <w:top w:val="single" w:sz="4" w:space="0" w:color="FFFFFF"/>
          <w:bottom w:val="single" w:sz="4" w:space="0" w:color="FFFFFF"/>
        </w:tcBorders>
        <w:shd w:val="clear" w:color="B2A1C6" w:fill="B2A1C6"/>
      </w:tcPr>
    </w:tblStylePr>
  </w:style>
  <w:style w:type="table" w:customStyle="1" w:styleId="ListTable5Dark-Accent5">
    <w:name w:val="List Table 5 Dark - Accent 5"/>
    <w:basedOn w:val="a1"/>
    <w:uiPriority w:val="99"/>
    <w:rsid w:val="00074AE5"/>
    <w:tblPr>
      <w:tblStyleRowBandSize w:val="1"/>
      <w:tblStyleColBandSize w:val="1"/>
      <w:tblBorders>
        <w:top w:val="single" w:sz="32" w:space="0" w:color="92CCDC"/>
        <w:left w:val="single" w:sz="32" w:space="0" w:color="92CCDC"/>
        <w:bottom w:val="single" w:sz="32" w:space="0" w:color="92CCDC"/>
        <w:right w:val="single" w:sz="32" w:space="0" w:color="92CCDC"/>
      </w:tblBorders>
      <w:shd w:val="clear" w:color="92CCDC" w:fill="92CCDC"/>
    </w:tblPr>
    <w:tblStylePr w:type="firstRow">
      <w:rPr>
        <w:rFonts w:ascii="Arial" w:hAnsi="Arial"/>
        <w:b/>
        <w:color w:val="FFFFFF"/>
        <w:sz w:val="22"/>
      </w:rPr>
      <w:tblPr/>
      <w:tcPr>
        <w:tcBorders>
          <w:top w:val="single" w:sz="32" w:space="0" w:color="92CCDC"/>
          <w:bottom w:val="single" w:sz="12" w:space="0" w:color="FFFFFF"/>
        </w:tcBorders>
        <w:shd w:val="clear" w:color="92CCDC" w:fill="92CCDC"/>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92CCDC"/>
          <w:right w:val="single" w:sz="4" w:space="0" w:color="FFFFFF"/>
        </w:tcBorders>
      </w:tcPr>
    </w:tblStylePr>
    <w:tblStylePr w:type="lastCol">
      <w:tblPr/>
      <w:tcPr>
        <w:tcBorders>
          <w:left w:val="single" w:sz="4" w:space="0" w:color="FFFFFF"/>
          <w:right w:val="single" w:sz="32" w:space="0" w:color="92CCDC"/>
        </w:tcBorders>
      </w:tcPr>
    </w:tblStylePr>
    <w:tblStylePr w:type="band1Vert">
      <w:tblPr/>
      <w:tcPr>
        <w:tcBorders>
          <w:left w:val="single" w:sz="4" w:space="0" w:color="FFFFFF"/>
          <w:right w:val="single" w:sz="4" w:space="0" w:color="FFFFFF"/>
        </w:tcBorders>
        <w:shd w:val="clear" w:color="92CCDC" w:fill="92CCDC"/>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92CCDC" w:fill="92CCDC"/>
      </w:tcPr>
    </w:tblStylePr>
    <w:tblStylePr w:type="band2Horz">
      <w:tblPr/>
      <w:tcPr>
        <w:tcBorders>
          <w:top w:val="single" w:sz="4" w:space="0" w:color="FFFFFF"/>
          <w:bottom w:val="single" w:sz="4" w:space="0" w:color="FFFFFF"/>
        </w:tcBorders>
        <w:shd w:val="clear" w:color="92CCDC" w:fill="92CCDC"/>
      </w:tcPr>
    </w:tblStylePr>
  </w:style>
  <w:style w:type="table" w:customStyle="1" w:styleId="ListTable5Dark-Accent6">
    <w:name w:val="List Table 5 Dark - Accent 6"/>
    <w:basedOn w:val="a1"/>
    <w:uiPriority w:val="99"/>
    <w:rsid w:val="00074AE5"/>
    <w:tblPr>
      <w:tblStyleRowBandSize w:val="1"/>
      <w:tblStyleColBandSize w:val="1"/>
      <w:tblBorders>
        <w:top w:val="single" w:sz="32" w:space="0" w:color="FAC090"/>
        <w:left w:val="single" w:sz="32" w:space="0" w:color="FAC090"/>
        <w:bottom w:val="single" w:sz="32" w:space="0" w:color="FAC090"/>
        <w:right w:val="single" w:sz="32" w:space="0" w:color="FAC090"/>
      </w:tblBorders>
      <w:shd w:val="clear" w:color="FAC090" w:fill="FAC090"/>
    </w:tblPr>
    <w:tblStylePr w:type="firstRow">
      <w:rPr>
        <w:rFonts w:ascii="Arial" w:hAnsi="Arial"/>
        <w:b/>
        <w:color w:val="FFFFFF"/>
        <w:sz w:val="22"/>
      </w:rPr>
      <w:tblPr/>
      <w:tcPr>
        <w:tcBorders>
          <w:top w:val="single" w:sz="32" w:space="0" w:color="FAC090"/>
          <w:bottom w:val="single" w:sz="12" w:space="0" w:color="FFFFFF"/>
        </w:tcBorders>
        <w:shd w:val="clear" w:color="FAC090" w:fill="FAC090"/>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AC090"/>
          <w:right w:val="single" w:sz="4" w:space="0" w:color="FFFFFF"/>
        </w:tcBorders>
      </w:tcPr>
    </w:tblStylePr>
    <w:tblStylePr w:type="lastCol">
      <w:tblPr/>
      <w:tcPr>
        <w:tcBorders>
          <w:left w:val="single" w:sz="4" w:space="0" w:color="FFFFFF"/>
          <w:right w:val="single" w:sz="32" w:space="0" w:color="FAC090"/>
        </w:tcBorders>
      </w:tcPr>
    </w:tblStylePr>
    <w:tblStylePr w:type="band1Vert">
      <w:tblPr/>
      <w:tcPr>
        <w:tcBorders>
          <w:left w:val="single" w:sz="4" w:space="0" w:color="FFFFFF"/>
          <w:right w:val="single" w:sz="4" w:space="0" w:color="FFFFFF"/>
        </w:tcBorders>
        <w:shd w:val="clear" w:color="FAC090" w:fill="FAC090"/>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AC090" w:fill="FAC090"/>
      </w:tcPr>
    </w:tblStylePr>
    <w:tblStylePr w:type="band2Horz">
      <w:tblPr/>
      <w:tcPr>
        <w:tcBorders>
          <w:top w:val="single" w:sz="4" w:space="0" w:color="FFFFFF"/>
          <w:bottom w:val="single" w:sz="4" w:space="0" w:color="FFFFFF"/>
        </w:tcBorders>
        <w:shd w:val="clear" w:color="FAC090" w:fill="FAC090"/>
      </w:tcPr>
    </w:tblStylePr>
  </w:style>
  <w:style w:type="table" w:customStyle="1" w:styleId="-610">
    <w:name w:val="Список-таблица 6 цветная1"/>
    <w:basedOn w:val="a1"/>
    <w:uiPriority w:val="99"/>
    <w:rsid w:val="00074AE5"/>
    <w:tblPr>
      <w:tblStyleRowBandSize w:val="1"/>
      <w:tblStyleColBandSize w:val="1"/>
      <w:tblBorders>
        <w:top w:val="single" w:sz="4" w:space="0" w:color="7F7F7F"/>
        <w:bottom w:val="single" w:sz="4" w:space="0" w:color="7F7F7F"/>
      </w:tblBorders>
    </w:tblPr>
    <w:tblStylePr w:type="firstRow">
      <w:rPr>
        <w:b/>
        <w:color w:val="000000"/>
      </w:rPr>
      <w:tblPr/>
      <w:tcPr>
        <w:tcBorders>
          <w:bottom w:val="single" w:sz="4" w:space="0" w:color="7F7F7F"/>
        </w:tcBorders>
      </w:tcPr>
    </w:tblStylePr>
    <w:tblStylePr w:type="lastRow">
      <w:rPr>
        <w:b/>
        <w:color w:val="000000"/>
      </w:rPr>
      <w:tblPr/>
      <w:tcPr>
        <w:tcBorders>
          <w:top w:val="single" w:sz="4" w:space="0" w:color="7F7F7F"/>
        </w:tcBorders>
      </w:tcPr>
    </w:tblStylePr>
    <w:tblStylePr w:type="firstCol">
      <w:rPr>
        <w:b/>
        <w:color w:val="000000"/>
      </w:rPr>
    </w:tblStylePr>
    <w:tblStylePr w:type="lastCol">
      <w:rPr>
        <w:b/>
        <w:color w:val="000000"/>
      </w:rPr>
    </w:tblStylePr>
    <w:tblStylePr w:type="band1Vert">
      <w:tblPr/>
      <w:tcPr>
        <w:shd w:val="clear" w:color="BFBFBF" w:fill="BFBFBF"/>
      </w:tcPr>
    </w:tblStylePr>
    <w:tblStylePr w:type="band1Horz">
      <w:rPr>
        <w:rFonts w:ascii="Arial" w:hAnsi="Arial"/>
        <w:color w:val="000000"/>
        <w:sz w:val="22"/>
      </w:rPr>
      <w:tblPr/>
      <w:tcPr>
        <w:shd w:val="clear" w:color="BFBFBF" w:fill="BFBFBF"/>
      </w:tcPr>
    </w:tblStylePr>
    <w:tblStylePr w:type="band2Horz">
      <w:rPr>
        <w:rFonts w:ascii="Arial" w:hAnsi="Arial"/>
        <w:color w:val="000000"/>
        <w:sz w:val="22"/>
      </w:rPr>
    </w:tblStylePr>
  </w:style>
  <w:style w:type="table" w:customStyle="1" w:styleId="ListTable6Colorful-Accent1">
    <w:name w:val="List Table 6 Colorful - Accent 1"/>
    <w:basedOn w:val="a1"/>
    <w:uiPriority w:val="99"/>
    <w:rsid w:val="00074AE5"/>
    <w:tblPr>
      <w:tblStyleRowBandSize w:val="1"/>
      <w:tblStyleColBandSize w:val="1"/>
      <w:tblBorders>
        <w:top w:val="single" w:sz="4" w:space="0" w:color="4F81BD"/>
        <w:bottom w:val="single" w:sz="4" w:space="0" w:color="4F81BD"/>
      </w:tblBorders>
    </w:tblPr>
    <w:tblStylePr w:type="firstRow">
      <w:rPr>
        <w:b/>
        <w:color w:val="2A4A71"/>
      </w:rPr>
      <w:tblPr/>
      <w:tcPr>
        <w:tcBorders>
          <w:bottom w:val="single" w:sz="4" w:space="0" w:color="4F81BD"/>
        </w:tcBorders>
      </w:tcPr>
    </w:tblStylePr>
    <w:tblStylePr w:type="lastRow">
      <w:rPr>
        <w:b/>
        <w:color w:val="2A4A71"/>
      </w:rPr>
      <w:tblPr/>
      <w:tcPr>
        <w:tcBorders>
          <w:top w:val="single" w:sz="4" w:space="0" w:color="4F81BD"/>
        </w:tcBorders>
      </w:tcPr>
    </w:tblStylePr>
    <w:tblStylePr w:type="firstCol">
      <w:rPr>
        <w:b/>
        <w:color w:val="2A4A71"/>
      </w:rPr>
    </w:tblStylePr>
    <w:tblStylePr w:type="lastCol">
      <w:rPr>
        <w:b/>
        <w:color w:val="2A4A71"/>
      </w:rPr>
    </w:tblStylePr>
    <w:tblStylePr w:type="band1Vert">
      <w:tblPr/>
      <w:tcPr>
        <w:shd w:val="clear" w:color="D2DFEE" w:fill="D2DFEE"/>
      </w:tcPr>
    </w:tblStylePr>
    <w:tblStylePr w:type="band1Horz">
      <w:rPr>
        <w:rFonts w:ascii="Arial" w:hAnsi="Arial"/>
        <w:color w:val="2A4A71"/>
        <w:sz w:val="22"/>
      </w:rPr>
      <w:tblPr/>
      <w:tcPr>
        <w:shd w:val="clear" w:color="D2DFEE" w:fill="D2DFEE"/>
      </w:tcPr>
    </w:tblStylePr>
    <w:tblStylePr w:type="band2Horz">
      <w:rPr>
        <w:rFonts w:ascii="Arial" w:hAnsi="Arial"/>
        <w:color w:val="2A4A71"/>
        <w:sz w:val="22"/>
      </w:rPr>
    </w:tblStylePr>
  </w:style>
  <w:style w:type="table" w:customStyle="1" w:styleId="ListTable6Colorful-Accent2">
    <w:name w:val="List Table 6 Colorful - Accent 2"/>
    <w:basedOn w:val="a1"/>
    <w:uiPriority w:val="99"/>
    <w:rsid w:val="00074AE5"/>
    <w:tblPr>
      <w:tblStyleRowBandSize w:val="1"/>
      <w:tblStyleColBandSize w:val="1"/>
      <w:tblBorders>
        <w:top w:val="single" w:sz="4" w:space="0" w:color="D99695"/>
        <w:bottom w:val="single" w:sz="4" w:space="0" w:color="D99695"/>
      </w:tblBorders>
    </w:tblPr>
    <w:tblStylePr w:type="firstRow">
      <w:rPr>
        <w:b/>
        <w:color w:val="D99695"/>
      </w:rPr>
      <w:tblPr/>
      <w:tcPr>
        <w:tcBorders>
          <w:bottom w:val="single" w:sz="4" w:space="0" w:color="D99695"/>
        </w:tcBorders>
      </w:tcPr>
    </w:tblStylePr>
    <w:tblStylePr w:type="lastRow">
      <w:rPr>
        <w:b/>
        <w:color w:val="D99695"/>
      </w:rPr>
      <w:tblPr/>
      <w:tcPr>
        <w:tcBorders>
          <w:top w:val="single" w:sz="4" w:space="0" w:color="D99695"/>
        </w:tcBorders>
      </w:tcPr>
    </w:tblStylePr>
    <w:tblStylePr w:type="firstCol">
      <w:rPr>
        <w:b/>
        <w:color w:val="D99695"/>
      </w:rPr>
    </w:tblStylePr>
    <w:tblStylePr w:type="lastCol">
      <w:rPr>
        <w:b/>
        <w:color w:val="D99695"/>
      </w:rPr>
    </w:tblStylePr>
    <w:tblStylePr w:type="band1Vert">
      <w:tblPr/>
      <w:tcPr>
        <w:shd w:val="clear" w:color="EFD2D2" w:fill="EFD2D2"/>
      </w:tcPr>
    </w:tblStylePr>
    <w:tblStylePr w:type="band1Horz">
      <w:rPr>
        <w:rFonts w:ascii="Arial" w:hAnsi="Arial"/>
        <w:color w:val="D99695"/>
        <w:sz w:val="22"/>
      </w:rPr>
      <w:tblPr/>
      <w:tcPr>
        <w:shd w:val="clear" w:color="EFD2D2" w:fill="EFD2D2"/>
      </w:tcPr>
    </w:tblStylePr>
    <w:tblStylePr w:type="band2Horz">
      <w:rPr>
        <w:rFonts w:ascii="Arial" w:hAnsi="Arial"/>
        <w:color w:val="D99695"/>
        <w:sz w:val="22"/>
      </w:rPr>
    </w:tblStylePr>
  </w:style>
  <w:style w:type="table" w:customStyle="1" w:styleId="ListTable6Colorful-Accent3">
    <w:name w:val="List Table 6 Colorful - Accent 3"/>
    <w:basedOn w:val="a1"/>
    <w:uiPriority w:val="99"/>
    <w:rsid w:val="00074AE5"/>
    <w:tblPr>
      <w:tblStyleRowBandSize w:val="1"/>
      <w:tblStyleColBandSize w:val="1"/>
      <w:tblBorders>
        <w:top w:val="single" w:sz="4" w:space="0" w:color="C3D69B"/>
        <w:bottom w:val="single" w:sz="4" w:space="0" w:color="C3D69B"/>
      </w:tblBorders>
    </w:tblPr>
    <w:tblStylePr w:type="firstRow">
      <w:rPr>
        <w:b/>
        <w:color w:val="C3D69B"/>
      </w:rPr>
      <w:tblPr/>
      <w:tcPr>
        <w:tcBorders>
          <w:bottom w:val="single" w:sz="4" w:space="0" w:color="C3D69B"/>
        </w:tcBorders>
      </w:tcPr>
    </w:tblStylePr>
    <w:tblStylePr w:type="lastRow">
      <w:rPr>
        <w:b/>
        <w:color w:val="C3D69B"/>
      </w:rPr>
      <w:tblPr/>
      <w:tcPr>
        <w:tcBorders>
          <w:top w:val="single" w:sz="4" w:space="0" w:color="C3D69B"/>
        </w:tcBorders>
      </w:tcPr>
    </w:tblStylePr>
    <w:tblStylePr w:type="firstCol">
      <w:rPr>
        <w:b/>
        <w:color w:val="C3D69B"/>
      </w:rPr>
    </w:tblStylePr>
    <w:tblStylePr w:type="lastCol">
      <w:rPr>
        <w:b/>
        <w:color w:val="C3D69B"/>
      </w:rPr>
    </w:tblStylePr>
    <w:tblStylePr w:type="band1Vert">
      <w:tblPr/>
      <w:tcPr>
        <w:shd w:val="clear" w:color="E5EED5" w:fill="E5EED5"/>
      </w:tcPr>
    </w:tblStylePr>
    <w:tblStylePr w:type="band1Horz">
      <w:rPr>
        <w:rFonts w:ascii="Arial" w:hAnsi="Arial"/>
        <w:color w:val="C3D69B"/>
        <w:sz w:val="22"/>
      </w:rPr>
      <w:tblPr/>
      <w:tcPr>
        <w:shd w:val="clear" w:color="E5EED5" w:fill="E5EED5"/>
      </w:tcPr>
    </w:tblStylePr>
    <w:tblStylePr w:type="band2Horz">
      <w:rPr>
        <w:rFonts w:ascii="Arial" w:hAnsi="Arial"/>
        <w:color w:val="C3D69B"/>
        <w:sz w:val="22"/>
      </w:rPr>
    </w:tblStylePr>
  </w:style>
  <w:style w:type="table" w:customStyle="1" w:styleId="ListTable6Colorful-Accent4">
    <w:name w:val="List Table 6 Colorful - Accent 4"/>
    <w:basedOn w:val="a1"/>
    <w:uiPriority w:val="99"/>
    <w:rsid w:val="00074AE5"/>
    <w:tblPr>
      <w:tblStyleRowBandSize w:val="1"/>
      <w:tblStyleColBandSize w:val="1"/>
      <w:tblBorders>
        <w:top w:val="single" w:sz="4" w:space="0" w:color="B2A1C6"/>
        <w:bottom w:val="single" w:sz="4" w:space="0" w:color="B2A1C6"/>
      </w:tblBorders>
    </w:tblPr>
    <w:tblStylePr w:type="firstRow">
      <w:rPr>
        <w:b/>
        <w:color w:val="B2A1C6"/>
      </w:rPr>
      <w:tblPr/>
      <w:tcPr>
        <w:tcBorders>
          <w:bottom w:val="single" w:sz="4" w:space="0" w:color="B2A1C6"/>
        </w:tcBorders>
      </w:tcPr>
    </w:tblStylePr>
    <w:tblStylePr w:type="lastRow">
      <w:rPr>
        <w:b/>
        <w:color w:val="B2A1C6"/>
      </w:rPr>
      <w:tblPr/>
      <w:tcPr>
        <w:tcBorders>
          <w:top w:val="single" w:sz="4" w:space="0" w:color="B2A1C6"/>
        </w:tcBorders>
      </w:tcPr>
    </w:tblStylePr>
    <w:tblStylePr w:type="firstCol">
      <w:rPr>
        <w:b/>
        <w:color w:val="B2A1C6"/>
      </w:rPr>
    </w:tblStylePr>
    <w:tblStylePr w:type="lastCol">
      <w:rPr>
        <w:b/>
        <w:color w:val="B2A1C6"/>
      </w:rPr>
    </w:tblStylePr>
    <w:tblStylePr w:type="band1Vert">
      <w:tblPr/>
      <w:tcPr>
        <w:shd w:val="clear" w:color="DFD8E7" w:fill="DFD8E7"/>
      </w:tcPr>
    </w:tblStylePr>
    <w:tblStylePr w:type="band1Horz">
      <w:rPr>
        <w:rFonts w:ascii="Arial" w:hAnsi="Arial"/>
        <w:color w:val="B2A1C6"/>
        <w:sz w:val="22"/>
      </w:rPr>
      <w:tblPr/>
      <w:tcPr>
        <w:shd w:val="clear" w:color="DFD8E7" w:fill="DFD8E7"/>
      </w:tcPr>
    </w:tblStylePr>
    <w:tblStylePr w:type="band2Horz">
      <w:rPr>
        <w:rFonts w:ascii="Arial" w:hAnsi="Arial"/>
        <w:color w:val="B2A1C6"/>
        <w:sz w:val="22"/>
      </w:rPr>
    </w:tblStylePr>
  </w:style>
  <w:style w:type="table" w:customStyle="1" w:styleId="ListTable6Colorful-Accent5">
    <w:name w:val="List Table 6 Colorful - Accent 5"/>
    <w:basedOn w:val="a1"/>
    <w:uiPriority w:val="99"/>
    <w:rsid w:val="00074AE5"/>
    <w:tblPr>
      <w:tblStyleRowBandSize w:val="1"/>
      <w:tblStyleColBandSize w:val="1"/>
      <w:tblBorders>
        <w:top w:val="single" w:sz="4" w:space="0" w:color="92CCDC"/>
        <w:bottom w:val="single" w:sz="4" w:space="0" w:color="92CCDC"/>
      </w:tblBorders>
    </w:tblPr>
    <w:tblStylePr w:type="firstRow">
      <w:rPr>
        <w:b/>
        <w:color w:val="92CCDC"/>
      </w:rPr>
      <w:tblPr/>
      <w:tcPr>
        <w:tcBorders>
          <w:bottom w:val="single" w:sz="4" w:space="0" w:color="92CCDC"/>
        </w:tcBorders>
      </w:tcPr>
    </w:tblStylePr>
    <w:tblStylePr w:type="lastRow">
      <w:rPr>
        <w:b/>
        <w:color w:val="92CCDC"/>
      </w:rPr>
      <w:tblPr/>
      <w:tcPr>
        <w:tcBorders>
          <w:top w:val="single" w:sz="4" w:space="0" w:color="92CCDC"/>
        </w:tcBorders>
      </w:tcPr>
    </w:tblStylePr>
    <w:tblStylePr w:type="firstCol">
      <w:rPr>
        <w:b/>
        <w:color w:val="92CCDC"/>
      </w:rPr>
    </w:tblStylePr>
    <w:tblStylePr w:type="lastCol">
      <w:rPr>
        <w:b/>
        <w:color w:val="92CCDC"/>
      </w:rPr>
    </w:tblStylePr>
    <w:tblStylePr w:type="band1Vert">
      <w:tblPr/>
      <w:tcPr>
        <w:shd w:val="clear" w:color="D1EAF0" w:fill="D1EAF0"/>
      </w:tcPr>
    </w:tblStylePr>
    <w:tblStylePr w:type="band1Horz">
      <w:rPr>
        <w:rFonts w:ascii="Arial" w:hAnsi="Arial"/>
        <w:color w:val="92CCDC"/>
        <w:sz w:val="22"/>
      </w:rPr>
      <w:tblPr/>
      <w:tcPr>
        <w:shd w:val="clear" w:color="D1EAF0" w:fill="D1EAF0"/>
      </w:tcPr>
    </w:tblStylePr>
    <w:tblStylePr w:type="band2Horz">
      <w:rPr>
        <w:rFonts w:ascii="Arial" w:hAnsi="Arial"/>
        <w:color w:val="92CCDC"/>
        <w:sz w:val="22"/>
      </w:rPr>
    </w:tblStylePr>
  </w:style>
  <w:style w:type="table" w:customStyle="1" w:styleId="ListTable6Colorful-Accent6">
    <w:name w:val="List Table 6 Colorful - Accent 6"/>
    <w:basedOn w:val="a1"/>
    <w:uiPriority w:val="99"/>
    <w:rsid w:val="00074AE5"/>
    <w:tblPr>
      <w:tblStyleRowBandSize w:val="1"/>
      <w:tblStyleColBandSize w:val="1"/>
      <w:tblBorders>
        <w:top w:val="single" w:sz="4" w:space="0" w:color="FAC090"/>
        <w:bottom w:val="single" w:sz="4" w:space="0" w:color="FAC090"/>
      </w:tblBorders>
    </w:tblPr>
    <w:tblStylePr w:type="firstRow">
      <w:rPr>
        <w:b/>
        <w:color w:val="FAC090"/>
      </w:rPr>
      <w:tblPr/>
      <w:tcPr>
        <w:tcBorders>
          <w:bottom w:val="single" w:sz="4" w:space="0" w:color="FAC090"/>
        </w:tcBorders>
      </w:tcPr>
    </w:tblStylePr>
    <w:tblStylePr w:type="lastRow">
      <w:rPr>
        <w:b/>
        <w:color w:val="FAC090"/>
      </w:rPr>
      <w:tblPr/>
      <w:tcPr>
        <w:tcBorders>
          <w:top w:val="single" w:sz="4" w:space="0" w:color="FAC090"/>
        </w:tcBorders>
      </w:tcPr>
    </w:tblStylePr>
    <w:tblStylePr w:type="firstCol">
      <w:rPr>
        <w:b/>
        <w:color w:val="FAC090"/>
      </w:rPr>
    </w:tblStylePr>
    <w:tblStylePr w:type="lastCol">
      <w:rPr>
        <w:b/>
        <w:color w:val="FAC090"/>
      </w:rPr>
    </w:tblStylePr>
    <w:tblStylePr w:type="band1Vert">
      <w:tblPr/>
      <w:tcPr>
        <w:shd w:val="clear" w:color="FDE4D0" w:fill="FDE4D0"/>
      </w:tcPr>
    </w:tblStylePr>
    <w:tblStylePr w:type="band1Horz">
      <w:rPr>
        <w:rFonts w:ascii="Arial" w:hAnsi="Arial"/>
        <w:color w:val="FAC090"/>
        <w:sz w:val="22"/>
      </w:rPr>
      <w:tblPr/>
      <w:tcPr>
        <w:shd w:val="clear" w:color="FDE4D0" w:fill="FDE4D0"/>
      </w:tcPr>
    </w:tblStylePr>
    <w:tblStylePr w:type="band2Horz">
      <w:rPr>
        <w:rFonts w:ascii="Arial" w:hAnsi="Arial"/>
        <w:color w:val="FAC090"/>
        <w:sz w:val="22"/>
      </w:rPr>
    </w:tblStylePr>
  </w:style>
  <w:style w:type="table" w:customStyle="1" w:styleId="-710">
    <w:name w:val="Список-таблица 7 цветная1"/>
    <w:basedOn w:val="a1"/>
    <w:uiPriority w:val="99"/>
    <w:rsid w:val="00074AE5"/>
    <w:tblPr>
      <w:tblStyleRowBandSize w:val="1"/>
      <w:tblStyleColBandSize w:val="1"/>
      <w:tblBorders>
        <w:right w:val="single" w:sz="4" w:space="0" w:color="7F7F7F"/>
      </w:tblBorders>
    </w:tblPr>
    <w:tblStylePr w:type="firstRow">
      <w:rPr>
        <w:rFonts w:ascii="Arial" w:hAnsi="Arial"/>
        <w:i/>
        <w:color w:val="7F7F7F"/>
        <w:sz w:val="22"/>
      </w:rPr>
      <w:tblPr/>
      <w:tcPr>
        <w:tcBorders>
          <w:top w:val="none" w:sz="4" w:space="0" w:color="000000"/>
          <w:left w:val="none" w:sz="4" w:space="0" w:color="000000"/>
          <w:bottom w:val="single" w:sz="4" w:space="0" w:color="7F7F7F"/>
          <w:right w:val="none" w:sz="4" w:space="0" w:color="000000"/>
        </w:tcBorders>
        <w:shd w:val="clear" w:color="FFFFFF" w:fill="FFFFFF"/>
      </w:tcPr>
    </w:tblStylePr>
    <w:tblStylePr w:type="lastRow">
      <w:rPr>
        <w:rFonts w:ascii="Arial" w:hAnsi="Arial"/>
        <w:i/>
        <w:color w:val="7F7F7F"/>
        <w:sz w:val="22"/>
      </w:rPr>
      <w:tblPr/>
      <w:tcPr>
        <w:tcBorders>
          <w:top w:val="single" w:sz="4" w:space="0" w:color="7F7F7F"/>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7F7F7F"/>
        <w:sz w:val="22"/>
      </w:rPr>
      <w:tblPr/>
      <w:tcPr>
        <w:tcBorders>
          <w:top w:val="none" w:sz="4" w:space="0" w:color="000000"/>
          <w:left w:val="none" w:sz="4" w:space="0" w:color="000000"/>
          <w:bottom w:val="none" w:sz="4" w:space="0" w:color="000000"/>
          <w:right w:val="single" w:sz="4" w:space="0" w:color="7F7F7F"/>
        </w:tcBorders>
        <w:shd w:val="clear" w:color="FFFFFF" w:fill="auto"/>
      </w:tcPr>
    </w:tblStylePr>
    <w:tblStylePr w:type="lastCol">
      <w:rPr>
        <w:rFonts w:ascii="Arial" w:hAnsi="Arial"/>
        <w:i/>
        <w:color w:val="7F7F7F"/>
        <w:sz w:val="22"/>
      </w:rPr>
      <w:tblPr/>
      <w:tcPr>
        <w:tcBorders>
          <w:top w:val="none" w:sz="4" w:space="0" w:color="000000"/>
          <w:left w:val="single" w:sz="4" w:space="0" w:color="7F7F7F"/>
          <w:bottom w:val="none" w:sz="4" w:space="0" w:color="000000"/>
          <w:right w:val="none" w:sz="4" w:space="0" w:color="000000"/>
        </w:tcBorders>
        <w:shd w:val="clear" w:color="FFFFFF" w:fill="auto"/>
      </w:tcPr>
    </w:tblStylePr>
    <w:tblStylePr w:type="band1Vert">
      <w:tblPr/>
      <w:tcPr>
        <w:shd w:val="clear" w:color="BFBFBF" w:fill="BFBFBF"/>
      </w:tcPr>
    </w:tblStylePr>
    <w:tblStylePr w:type="band1Horz">
      <w:rPr>
        <w:rFonts w:ascii="Arial" w:hAnsi="Arial"/>
        <w:color w:val="7F7F7F"/>
        <w:sz w:val="22"/>
      </w:rPr>
      <w:tblPr/>
      <w:tcPr>
        <w:shd w:val="clear" w:color="BFBFBF" w:fill="BFBFBF"/>
      </w:tcPr>
    </w:tblStylePr>
    <w:tblStylePr w:type="band2Horz">
      <w:rPr>
        <w:rFonts w:ascii="Arial" w:hAnsi="Arial"/>
        <w:color w:val="7F7F7F"/>
        <w:sz w:val="22"/>
      </w:rPr>
    </w:tblStylePr>
  </w:style>
  <w:style w:type="table" w:customStyle="1" w:styleId="ListTable7Colorful-Accent1">
    <w:name w:val="List Table 7 Colorful - Accent 1"/>
    <w:basedOn w:val="a1"/>
    <w:uiPriority w:val="99"/>
    <w:rsid w:val="00074AE5"/>
    <w:tblPr>
      <w:tblStyleRowBandSize w:val="1"/>
      <w:tblStyleColBandSize w:val="1"/>
      <w:tblBorders>
        <w:right w:val="single" w:sz="4" w:space="0" w:color="4F81BD"/>
      </w:tblBorders>
    </w:tblPr>
    <w:tblStylePr w:type="firstRow">
      <w:rPr>
        <w:rFonts w:ascii="Arial" w:hAnsi="Arial"/>
        <w:i/>
        <w:color w:val="2A4A71"/>
        <w:sz w:val="22"/>
      </w:rPr>
      <w:tblPr/>
      <w:tcPr>
        <w:tcBorders>
          <w:top w:val="none" w:sz="4" w:space="0" w:color="000000"/>
          <w:left w:val="none" w:sz="4" w:space="0" w:color="000000"/>
          <w:bottom w:val="single" w:sz="4" w:space="0" w:color="4F81BD"/>
          <w:right w:val="none" w:sz="4" w:space="0" w:color="000000"/>
        </w:tcBorders>
        <w:shd w:val="clear" w:color="FFFFFF" w:fill="FFFFFF"/>
      </w:tcPr>
    </w:tblStylePr>
    <w:tblStylePr w:type="lastRow">
      <w:rPr>
        <w:rFonts w:ascii="Arial" w:hAnsi="Arial"/>
        <w:i/>
        <w:color w:val="2A4A71"/>
        <w:sz w:val="22"/>
      </w:rPr>
      <w:tblPr/>
      <w:tcPr>
        <w:tcBorders>
          <w:top w:val="single" w:sz="4" w:space="0" w:color="4F81BD"/>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2A4A71"/>
        <w:sz w:val="22"/>
      </w:rPr>
      <w:tblPr/>
      <w:tcPr>
        <w:tcBorders>
          <w:top w:val="none" w:sz="4" w:space="0" w:color="000000"/>
          <w:left w:val="none" w:sz="4" w:space="0" w:color="000000"/>
          <w:bottom w:val="none" w:sz="4" w:space="0" w:color="000000"/>
          <w:right w:val="single" w:sz="4" w:space="0" w:color="4F81BD"/>
        </w:tcBorders>
        <w:shd w:val="clear" w:color="FFFFFF" w:fill="auto"/>
      </w:tcPr>
    </w:tblStylePr>
    <w:tblStylePr w:type="lastCol">
      <w:rPr>
        <w:rFonts w:ascii="Arial" w:hAnsi="Arial"/>
        <w:i/>
        <w:color w:val="2A4A71"/>
        <w:sz w:val="22"/>
      </w:rPr>
      <w:tblPr/>
      <w:tcPr>
        <w:tcBorders>
          <w:top w:val="none" w:sz="4" w:space="0" w:color="000000"/>
          <w:left w:val="single" w:sz="4" w:space="0" w:color="4F81BD"/>
          <w:bottom w:val="none" w:sz="4" w:space="0" w:color="000000"/>
          <w:right w:val="none" w:sz="4" w:space="0" w:color="000000"/>
        </w:tcBorders>
        <w:shd w:val="clear" w:color="FFFFFF" w:fill="auto"/>
      </w:tcPr>
    </w:tblStylePr>
    <w:tblStylePr w:type="band1Vert">
      <w:tblPr/>
      <w:tcPr>
        <w:shd w:val="clear" w:color="D2DFEE" w:fill="D2DFEE"/>
      </w:tcPr>
    </w:tblStylePr>
    <w:tblStylePr w:type="band1Horz">
      <w:rPr>
        <w:rFonts w:ascii="Arial" w:hAnsi="Arial"/>
        <w:color w:val="2A4A71"/>
        <w:sz w:val="22"/>
      </w:rPr>
      <w:tblPr/>
      <w:tcPr>
        <w:shd w:val="clear" w:color="D2DFEE" w:fill="D2DFEE"/>
      </w:tcPr>
    </w:tblStylePr>
    <w:tblStylePr w:type="band2Horz">
      <w:rPr>
        <w:rFonts w:ascii="Arial" w:hAnsi="Arial"/>
        <w:color w:val="2A4A71"/>
        <w:sz w:val="22"/>
      </w:rPr>
    </w:tblStylePr>
  </w:style>
  <w:style w:type="table" w:customStyle="1" w:styleId="ListTable7Colorful-Accent2">
    <w:name w:val="List Table 7 Colorful - Accent 2"/>
    <w:basedOn w:val="a1"/>
    <w:uiPriority w:val="99"/>
    <w:rsid w:val="00074AE5"/>
    <w:tblPr>
      <w:tblStyleRowBandSize w:val="1"/>
      <w:tblStyleColBandSize w:val="1"/>
      <w:tblBorders>
        <w:right w:val="single" w:sz="4" w:space="0" w:color="D99695"/>
      </w:tblBorders>
    </w:tblPr>
    <w:tblStylePr w:type="firstRow">
      <w:rPr>
        <w:rFonts w:ascii="Arial" w:hAnsi="Arial"/>
        <w:i/>
        <w:color w:val="D99695"/>
        <w:sz w:val="22"/>
      </w:rPr>
      <w:tblPr/>
      <w:tcPr>
        <w:tcBorders>
          <w:top w:val="none" w:sz="4" w:space="0" w:color="000000"/>
          <w:left w:val="none" w:sz="4" w:space="0" w:color="000000"/>
          <w:bottom w:val="single" w:sz="4" w:space="0" w:color="D99695"/>
          <w:right w:val="none" w:sz="4" w:space="0" w:color="000000"/>
        </w:tcBorders>
        <w:shd w:val="clear" w:color="FFFFFF" w:fill="FFFFFF"/>
      </w:tcPr>
    </w:tblStylePr>
    <w:tblStylePr w:type="lastRow">
      <w:rPr>
        <w:rFonts w:ascii="Arial" w:hAnsi="Arial"/>
        <w:i/>
        <w:color w:val="D99695"/>
        <w:sz w:val="22"/>
      </w:rPr>
      <w:tblPr/>
      <w:tcPr>
        <w:tcBorders>
          <w:top w:val="single" w:sz="4" w:space="0" w:color="D9969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D99695"/>
        <w:sz w:val="22"/>
      </w:rPr>
      <w:tblPr/>
      <w:tcPr>
        <w:tcBorders>
          <w:top w:val="none" w:sz="4" w:space="0" w:color="000000"/>
          <w:left w:val="none" w:sz="4" w:space="0" w:color="000000"/>
          <w:bottom w:val="none" w:sz="4" w:space="0" w:color="000000"/>
          <w:right w:val="single" w:sz="4" w:space="0" w:color="D99695"/>
        </w:tcBorders>
        <w:shd w:val="clear" w:color="FFFFFF" w:fill="auto"/>
      </w:tcPr>
    </w:tblStylePr>
    <w:tblStylePr w:type="lastCol">
      <w:rPr>
        <w:rFonts w:ascii="Arial" w:hAnsi="Arial"/>
        <w:i/>
        <w:color w:val="D99695"/>
        <w:sz w:val="22"/>
      </w:rPr>
      <w:tblPr/>
      <w:tcPr>
        <w:tcBorders>
          <w:top w:val="none" w:sz="4" w:space="0" w:color="000000"/>
          <w:left w:val="single" w:sz="4" w:space="0" w:color="D99695"/>
          <w:bottom w:val="none" w:sz="4" w:space="0" w:color="000000"/>
          <w:right w:val="none" w:sz="4" w:space="0" w:color="000000"/>
        </w:tcBorders>
        <w:shd w:val="clear" w:color="FFFFFF" w:fill="auto"/>
      </w:tcPr>
    </w:tblStylePr>
    <w:tblStylePr w:type="band1Vert">
      <w:tblPr/>
      <w:tcPr>
        <w:shd w:val="clear" w:color="EFD2D2" w:fill="EFD2D2"/>
      </w:tcPr>
    </w:tblStylePr>
    <w:tblStylePr w:type="band1Horz">
      <w:rPr>
        <w:rFonts w:ascii="Arial" w:hAnsi="Arial"/>
        <w:color w:val="D99695"/>
        <w:sz w:val="22"/>
      </w:rPr>
      <w:tblPr/>
      <w:tcPr>
        <w:shd w:val="clear" w:color="EFD2D2" w:fill="EFD2D2"/>
      </w:tcPr>
    </w:tblStylePr>
    <w:tblStylePr w:type="band2Horz">
      <w:rPr>
        <w:rFonts w:ascii="Arial" w:hAnsi="Arial"/>
        <w:color w:val="D99695"/>
        <w:sz w:val="22"/>
      </w:rPr>
    </w:tblStylePr>
  </w:style>
  <w:style w:type="table" w:customStyle="1" w:styleId="ListTable7Colorful-Accent3">
    <w:name w:val="List Table 7 Colorful - Accent 3"/>
    <w:basedOn w:val="a1"/>
    <w:uiPriority w:val="99"/>
    <w:rsid w:val="00074AE5"/>
    <w:tblPr>
      <w:tblStyleRowBandSize w:val="1"/>
      <w:tblStyleColBandSize w:val="1"/>
      <w:tblBorders>
        <w:right w:val="single" w:sz="4" w:space="0" w:color="C3D69B"/>
      </w:tblBorders>
    </w:tblPr>
    <w:tblStylePr w:type="firstRow">
      <w:rPr>
        <w:rFonts w:ascii="Arial" w:hAnsi="Arial"/>
        <w:i/>
        <w:color w:val="C3D69B"/>
        <w:sz w:val="22"/>
      </w:rPr>
      <w:tblPr/>
      <w:tcPr>
        <w:tcBorders>
          <w:top w:val="none" w:sz="4" w:space="0" w:color="000000"/>
          <w:left w:val="none" w:sz="4" w:space="0" w:color="000000"/>
          <w:bottom w:val="single" w:sz="4" w:space="0" w:color="C3D69B"/>
          <w:right w:val="none" w:sz="4" w:space="0" w:color="000000"/>
        </w:tcBorders>
        <w:shd w:val="clear" w:color="FFFFFF" w:fill="FFFFFF"/>
      </w:tcPr>
    </w:tblStylePr>
    <w:tblStylePr w:type="lastRow">
      <w:rPr>
        <w:rFonts w:ascii="Arial" w:hAnsi="Arial"/>
        <w:i/>
        <w:color w:val="C3D69B"/>
        <w:sz w:val="22"/>
      </w:rPr>
      <w:tblPr/>
      <w:tcPr>
        <w:tcBorders>
          <w:top w:val="single" w:sz="4" w:space="0" w:color="C3D69B"/>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C3D69B"/>
        <w:sz w:val="22"/>
      </w:rPr>
      <w:tblPr/>
      <w:tcPr>
        <w:tcBorders>
          <w:top w:val="none" w:sz="4" w:space="0" w:color="000000"/>
          <w:left w:val="none" w:sz="4" w:space="0" w:color="000000"/>
          <w:bottom w:val="none" w:sz="4" w:space="0" w:color="000000"/>
          <w:right w:val="single" w:sz="4" w:space="0" w:color="C3D69B"/>
        </w:tcBorders>
        <w:shd w:val="clear" w:color="FFFFFF" w:fill="auto"/>
      </w:tcPr>
    </w:tblStylePr>
    <w:tblStylePr w:type="lastCol">
      <w:rPr>
        <w:rFonts w:ascii="Arial" w:hAnsi="Arial"/>
        <w:i/>
        <w:color w:val="C3D69B"/>
        <w:sz w:val="22"/>
      </w:rPr>
      <w:tblPr/>
      <w:tcPr>
        <w:tcBorders>
          <w:top w:val="none" w:sz="4" w:space="0" w:color="000000"/>
          <w:left w:val="single" w:sz="4" w:space="0" w:color="C3D69B"/>
          <w:bottom w:val="none" w:sz="4" w:space="0" w:color="000000"/>
          <w:right w:val="none" w:sz="4" w:space="0" w:color="000000"/>
        </w:tcBorders>
        <w:shd w:val="clear" w:color="FFFFFF" w:fill="auto"/>
      </w:tcPr>
    </w:tblStylePr>
    <w:tblStylePr w:type="band1Vert">
      <w:tblPr/>
      <w:tcPr>
        <w:shd w:val="clear" w:color="E5EED5" w:fill="E5EED5"/>
      </w:tcPr>
    </w:tblStylePr>
    <w:tblStylePr w:type="band1Horz">
      <w:rPr>
        <w:rFonts w:ascii="Arial" w:hAnsi="Arial"/>
        <w:color w:val="C3D69B"/>
        <w:sz w:val="22"/>
      </w:rPr>
      <w:tblPr/>
      <w:tcPr>
        <w:shd w:val="clear" w:color="E5EED5" w:fill="E5EED5"/>
      </w:tcPr>
    </w:tblStylePr>
    <w:tblStylePr w:type="band2Horz">
      <w:rPr>
        <w:rFonts w:ascii="Arial" w:hAnsi="Arial"/>
        <w:color w:val="C3D69B"/>
        <w:sz w:val="22"/>
      </w:rPr>
    </w:tblStylePr>
  </w:style>
  <w:style w:type="table" w:customStyle="1" w:styleId="ListTable7Colorful-Accent4">
    <w:name w:val="List Table 7 Colorful - Accent 4"/>
    <w:basedOn w:val="a1"/>
    <w:uiPriority w:val="99"/>
    <w:rsid w:val="00074AE5"/>
    <w:tblPr>
      <w:tblStyleRowBandSize w:val="1"/>
      <w:tblStyleColBandSize w:val="1"/>
      <w:tblBorders>
        <w:right w:val="single" w:sz="4" w:space="0" w:color="B2A1C6"/>
      </w:tblBorders>
    </w:tblPr>
    <w:tblStylePr w:type="firstRow">
      <w:rPr>
        <w:rFonts w:ascii="Arial" w:hAnsi="Arial"/>
        <w:i/>
        <w:color w:val="B2A1C6"/>
        <w:sz w:val="22"/>
      </w:rPr>
      <w:tblPr/>
      <w:tcPr>
        <w:tcBorders>
          <w:top w:val="none" w:sz="4" w:space="0" w:color="000000"/>
          <w:left w:val="none" w:sz="4" w:space="0" w:color="000000"/>
          <w:bottom w:val="single" w:sz="4" w:space="0" w:color="B2A1C6"/>
          <w:right w:val="none" w:sz="4" w:space="0" w:color="000000"/>
        </w:tcBorders>
        <w:shd w:val="clear" w:color="FFFFFF" w:fill="FFFFFF"/>
      </w:tcPr>
    </w:tblStylePr>
    <w:tblStylePr w:type="lastRow">
      <w:rPr>
        <w:rFonts w:ascii="Arial" w:hAnsi="Arial"/>
        <w:i/>
        <w:color w:val="B2A1C6"/>
        <w:sz w:val="22"/>
      </w:rPr>
      <w:tblPr/>
      <w:tcPr>
        <w:tcBorders>
          <w:top w:val="single" w:sz="4" w:space="0" w:color="B2A1C6"/>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B2A1C6"/>
        <w:sz w:val="22"/>
      </w:rPr>
      <w:tblPr/>
      <w:tcPr>
        <w:tcBorders>
          <w:top w:val="none" w:sz="4" w:space="0" w:color="000000"/>
          <w:left w:val="none" w:sz="4" w:space="0" w:color="000000"/>
          <w:bottom w:val="none" w:sz="4" w:space="0" w:color="000000"/>
          <w:right w:val="single" w:sz="4" w:space="0" w:color="B2A1C6"/>
        </w:tcBorders>
        <w:shd w:val="clear" w:color="FFFFFF" w:fill="auto"/>
      </w:tcPr>
    </w:tblStylePr>
    <w:tblStylePr w:type="lastCol">
      <w:rPr>
        <w:rFonts w:ascii="Arial" w:hAnsi="Arial"/>
        <w:i/>
        <w:color w:val="B2A1C6"/>
        <w:sz w:val="22"/>
      </w:rPr>
      <w:tblPr/>
      <w:tcPr>
        <w:tcBorders>
          <w:top w:val="none" w:sz="4" w:space="0" w:color="000000"/>
          <w:left w:val="single" w:sz="4" w:space="0" w:color="B2A1C6"/>
          <w:bottom w:val="none" w:sz="4" w:space="0" w:color="000000"/>
          <w:right w:val="none" w:sz="4" w:space="0" w:color="000000"/>
        </w:tcBorders>
        <w:shd w:val="clear" w:color="FFFFFF" w:fill="auto"/>
      </w:tcPr>
    </w:tblStylePr>
    <w:tblStylePr w:type="band1Vert">
      <w:tblPr/>
      <w:tcPr>
        <w:shd w:val="clear" w:color="DFD8E7" w:fill="DFD8E7"/>
      </w:tcPr>
    </w:tblStylePr>
    <w:tblStylePr w:type="band1Horz">
      <w:rPr>
        <w:rFonts w:ascii="Arial" w:hAnsi="Arial"/>
        <w:color w:val="B2A1C6"/>
        <w:sz w:val="22"/>
      </w:rPr>
      <w:tblPr/>
      <w:tcPr>
        <w:shd w:val="clear" w:color="DFD8E7" w:fill="DFD8E7"/>
      </w:tcPr>
    </w:tblStylePr>
    <w:tblStylePr w:type="band2Horz">
      <w:rPr>
        <w:rFonts w:ascii="Arial" w:hAnsi="Arial"/>
        <w:color w:val="B2A1C6"/>
        <w:sz w:val="22"/>
      </w:rPr>
    </w:tblStylePr>
  </w:style>
  <w:style w:type="table" w:customStyle="1" w:styleId="ListTable7Colorful-Accent5">
    <w:name w:val="List Table 7 Colorful - Accent 5"/>
    <w:basedOn w:val="a1"/>
    <w:uiPriority w:val="99"/>
    <w:rsid w:val="00074AE5"/>
    <w:tblPr>
      <w:tblStyleRowBandSize w:val="1"/>
      <w:tblStyleColBandSize w:val="1"/>
      <w:tblBorders>
        <w:right w:val="single" w:sz="4" w:space="0" w:color="92CCDC"/>
      </w:tblBorders>
    </w:tblPr>
    <w:tblStylePr w:type="firstRow">
      <w:rPr>
        <w:rFonts w:ascii="Arial" w:hAnsi="Arial"/>
        <w:i/>
        <w:color w:val="92CCDC"/>
        <w:sz w:val="22"/>
      </w:rPr>
      <w:tblPr/>
      <w:tcPr>
        <w:tcBorders>
          <w:top w:val="none" w:sz="4" w:space="0" w:color="000000"/>
          <w:left w:val="none" w:sz="4" w:space="0" w:color="000000"/>
          <w:bottom w:val="single" w:sz="4" w:space="0" w:color="92CCDC"/>
          <w:right w:val="none" w:sz="4" w:space="0" w:color="000000"/>
        </w:tcBorders>
        <w:shd w:val="clear" w:color="FFFFFF" w:fill="FFFFFF"/>
      </w:tcPr>
    </w:tblStylePr>
    <w:tblStylePr w:type="lastRow">
      <w:rPr>
        <w:rFonts w:ascii="Arial" w:hAnsi="Arial"/>
        <w:i/>
        <w:color w:val="92CCDC"/>
        <w:sz w:val="22"/>
      </w:rPr>
      <w:tblPr/>
      <w:tcPr>
        <w:tcBorders>
          <w:top w:val="single" w:sz="4" w:space="0" w:color="92CCDC"/>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92CCDC"/>
        <w:sz w:val="22"/>
      </w:rPr>
      <w:tblPr/>
      <w:tcPr>
        <w:tcBorders>
          <w:top w:val="none" w:sz="4" w:space="0" w:color="000000"/>
          <w:left w:val="none" w:sz="4" w:space="0" w:color="000000"/>
          <w:bottom w:val="none" w:sz="4" w:space="0" w:color="000000"/>
          <w:right w:val="single" w:sz="4" w:space="0" w:color="92CCDC"/>
        </w:tcBorders>
        <w:shd w:val="clear" w:color="FFFFFF" w:fill="auto"/>
      </w:tcPr>
    </w:tblStylePr>
    <w:tblStylePr w:type="lastCol">
      <w:rPr>
        <w:rFonts w:ascii="Arial" w:hAnsi="Arial"/>
        <w:i/>
        <w:color w:val="92CCDC"/>
        <w:sz w:val="22"/>
      </w:rPr>
      <w:tblPr/>
      <w:tcPr>
        <w:tcBorders>
          <w:top w:val="none" w:sz="4" w:space="0" w:color="000000"/>
          <w:left w:val="single" w:sz="4" w:space="0" w:color="92CCDC"/>
          <w:bottom w:val="none" w:sz="4" w:space="0" w:color="000000"/>
          <w:right w:val="none" w:sz="4" w:space="0" w:color="000000"/>
        </w:tcBorders>
        <w:shd w:val="clear" w:color="FFFFFF" w:fill="auto"/>
      </w:tcPr>
    </w:tblStylePr>
    <w:tblStylePr w:type="band1Vert">
      <w:tblPr/>
      <w:tcPr>
        <w:shd w:val="clear" w:color="D1EAF0" w:fill="D1EAF0"/>
      </w:tcPr>
    </w:tblStylePr>
    <w:tblStylePr w:type="band1Horz">
      <w:rPr>
        <w:rFonts w:ascii="Arial" w:hAnsi="Arial"/>
        <w:color w:val="92CCDC"/>
        <w:sz w:val="22"/>
      </w:rPr>
      <w:tblPr/>
      <w:tcPr>
        <w:shd w:val="clear" w:color="D1EAF0" w:fill="D1EAF0"/>
      </w:tcPr>
    </w:tblStylePr>
    <w:tblStylePr w:type="band2Horz">
      <w:rPr>
        <w:rFonts w:ascii="Arial" w:hAnsi="Arial"/>
        <w:color w:val="92CCDC"/>
        <w:sz w:val="22"/>
      </w:rPr>
    </w:tblStylePr>
  </w:style>
  <w:style w:type="table" w:customStyle="1" w:styleId="ListTable7Colorful-Accent6">
    <w:name w:val="List Table 7 Colorful - Accent 6"/>
    <w:basedOn w:val="a1"/>
    <w:uiPriority w:val="99"/>
    <w:rsid w:val="00074AE5"/>
    <w:tblPr>
      <w:tblStyleRowBandSize w:val="1"/>
      <w:tblStyleColBandSize w:val="1"/>
      <w:tblBorders>
        <w:right w:val="single" w:sz="4" w:space="0" w:color="FAC090"/>
      </w:tblBorders>
    </w:tblPr>
    <w:tblStylePr w:type="firstRow">
      <w:rPr>
        <w:rFonts w:ascii="Arial" w:hAnsi="Arial"/>
        <w:i/>
        <w:color w:val="FAC090"/>
        <w:sz w:val="22"/>
      </w:rPr>
      <w:tblPr/>
      <w:tcPr>
        <w:tcBorders>
          <w:top w:val="none" w:sz="4" w:space="0" w:color="000000"/>
          <w:left w:val="none" w:sz="4" w:space="0" w:color="000000"/>
          <w:bottom w:val="single" w:sz="4" w:space="0" w:color="FAC090"/>
          <w:right w:val="none" w:sz="4" w:space="0" w:color="000000"/>
        </w:tcBorders>
        <w:shd w:val="clear" w:color="FFFFFF" w:fill="FFFFFF"/>
      </w:tcPr>
    </w:tblStylePr>
    <w:tblStylePr w:type="lastRow">
      <w:rPr>
        <w:rFonts w:ascii="Arial" w:hAnsi="Arial"/>
        <w:i/>
        <w:color w:val="FAC090"/>
        <w:sz w:val="22"/>
      </w:rPr>
      <w:tblPr/>
      <w:tcPr>
        <w:tcBorders>
          <w:top w:val="single" w:sz="4" w:space="0" w:color="FAC090"/>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FAC090"/>
        <w:sz w:val="22"/>
      </w:rPr>
      <w:tblPr/>
      <w:tcPr>
        <w:tcBorders>
          <w:top w:val="none" w:sz="4" w:space="0" w:color="000000"/>
          <w:left w:val="none" w:sz="4" w:space="0" w:color="000000"/>
          <w:bottom w:val="none" w:sz="4" w:space="0" w:color="000000"/>
          <w:right w:val="single" w:sz="4" w:space="0" w:color="FAC090"/>
        </w:tcBorders>
        <w:shd w:val="clear" w:color="FFFFFF" w:fill="auto"/>
      </w:tcPr>
    </w:tblStylePr>
    <w:tblStylePr w:type="lastCol">
      <w:rPr>
        <w:rFonts w:ascii="Arial" w:hAnsi="Arial"/>
        <w:i/>
        <w:color w:val="FAC090"/>
        <w:sz w:val="22"/>
      </w:rPr>
      <w:tblPr/>
      <w:tcPr>
        <w:tcBorders>
          <w:top w:val="none" w:sz="4" w:space="0" w:color="000000"/>
          <w:left w:val="single" w:sz="4" w:space="0" w:color="FAC090"/>
          <w:bottom w:val="none" w:sz="4" w:space="0" w:color="000000"/>
          <w:right w:val="none" w:sz="4" w:space="0" w:color="000000"/>
        </w:tcBorders>
        <w:shd w:val="clear" w:color="FFFFFF" w:fill="auto"/>
      </w:tcPr>
    </w:tblStylePr>
    <w:tblStylePr w:type="band1Vert">
      <w:tblPr/>
      <w:tcPr>
        <w:shd w:val="clear" w:color="FDE4D0" w:fill="FDE4D0"/>
      </w:tcPr>
    </w:tblStylePr>
    <w:tblStylePr w:type="band1Horz">
      <w:rPr>
        <w:rFonts w:ascii="Arial" w:hAnsi="Arial"/>
        <w:color w:val="FAC090"/>
        <w:sz w:val="22"/>
      </w:rPr>
      <w:tblPr/>
      <w:tcPr>
        <w:shd w:val="clear" w:color="FDE4D0" w:fill="FDE4D0"/>
      </w:tcPr>
    </w:tblStylePr>
    <w:tblStylePr w:type="band2Horz">
      <w:rPr>
        <w:rFonts w:ascii="Arial" w:hAnsi="Arial"/>
        <w:color w:val="FAC090"/>
        <w:sz w:val="22"/>
      </w:rPr>
    </w:tblStylePr>
  </w:style>
  <w:style w:type="table" w:customStyle="1" w:styleId="Lined-Accent">
    <w:name w:val="Lined - Accent"/>
    <w:basedOn w:val="a1"/>
    <w:uiPriority w:val="99"/>
    <w:rsid w:val="00074AE5"/>
    <w:rPr>
      <w:color w:val="404040"/>
    </w:rPr>
    <w:tblPr>
      <w:tblStyleRowBandSize w:val="1"/>
      <w:tblStyleColBandSize w:val="1"/>
    </w:tblPr>
    <w:tblStylePr w:type="firstRow">
      <w:rPr>
        <w:rFonts w:ascii="Arial" w:hAnsi="Arial"/>
        <w:color w:val="F2F2F2"/>
        <w:sz w:val="22"/>
      </w:rPr>
      <w:tblPr/>
      <w:tcPr>
        <w:shd w:val="clear" w:color="7F7F7F" w:fill="7F7F7F"/>
      </w:tcPr>
    </w:tblStylePr>
    <w:tblStylePr w:type="lastRow">
      <w:rPr>
        <w:rFonts w:ascii="Arial" w:hAnsi="Arial"/>
        <w:color w:val="F2F2F2"/>
        <w:sz w:val="22"/>
      </w:rPr>
      <w:tblPr/>
      <w:tcPr>
        <w:shd w:val="clear" w:color="7F7F7F" w:fill="7F7F7F"/>
      </w:tcPr>
    </w:tblStylePr>
    <w:tblStylePr w:type="firstCol">
      <w:rPr>
        <w:rFonts w:ascii="Arial" w:hAnsi="Arial"/>
        <w:color w:val="F2F2F2"/>
        <w:sz w:val="22"/>
      </w:rPr>
      <w:tblPr/>
      <w:tcPr>
        <w:shd w:val="clear" w:color="7F7F7F" w:fill="7F7F7F"/>
      </w:tcPr>
    </w:tblStylePr>
    <w:tblStylePr w:type="lastCol">
      <w:rPr>
        <w:rFonts w:ascii="Arial" w:hAnsi="Arial"/>
        <w:color w:val="F2F2F2"/>
        <w:sz w:val="22"/>
      </w:rPr>
      <w:tblPr/>
      <w:tcPr>
        <w:shd w:val="clear" w:color="7F7F7F" w:fill="7F7F7F"/>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cPr>
    </w:tblStylePr>
  </w:style>
  <w:style w:type="table" w:customStyle="1" w:styleId="Lined-Accent1">
    <w:name w:val="Lined - Accent 1"/>
    <w:basedOn w:val="a1"/>
    <w:uiPriority w:val="99"/>
    <w:rsid w:val="00074AE5"/>
    <w:rPr>
      <w:color w:val="404040"/>
    </w:rPr>
    <w:tblPr>
      <w:tblStyleRowBandSize w:val="1"/>
      <w:tblStyleColBandSize w:val="1"/>
    </w:tblPr>
    <w:tblStylePr w:type="firstRow">
      <w:rPr>
        <w:rFonts w:ascii="Arial" w:hAnsi="Arial"/>
        <w:color w:val="F2F2F2"/>
        <w:sz w:val="22"/>
      </w:rPr>
      <w:tblPr/>
      <w:tcPr>
        <w:shd w:val="clear" w:color="5D8AC2" w:fill="5D8AC2"/>
      </w:tcPr>
    </w:tblStylePr>
    <w:tblStylePr w:type="lastRow">
      <w:rPr>
        <w:rFonts w:ascii="Arial" w:hAnsi="Arial"/>
        <w:color w:val="F2F2F2"/>
        <w:sz w:val="22"/>
      </w:rPr>
      <w:tblPr/>
      <w:tcPr>
        <w:shd w:val="clear" w:color="5D8AC2" w:fill="5D8AC2"/>
      </w:tcPr>
    </w:tblStylePr>
    <w:tblStylePr w:type="firstCol">
      <w:rPr>
        <w:rFonts w:ascii="Arial" w:hAnsi="Arial"/>
        <w:color w:val="F2F2F2"/>
        <w:sz w:val="22"/>
      </w:rPr>
      <w:tblPr/>
      <w:tcPr>
        <w:shd w:val="clear" w:color="5D8AC2" w:fill="5D8AC2"/>
      </w:tcPr>
    </w:tblStylePr>
    <w:tblStylePr w:type="lastCol">
      <w:rPr>
        <w:rFonts w:ascii="Arial" w:hAnsi="Arial"/>
        <w:color w:val="F2F2F2"/>
        <w:sz w:val="22"/>
      </w:rPr>
      <w:tblPr/>
      <w:tcPr>
        <w:shd w:val="clear" w:color="5D8AC2" w:fill="5D8AC2"/>
      </w:tcPr>
    </w:tblStylePr>
    <w:tblStylePr w:type="band1Vert">
      <w:rPr>
        <w:rFonts w:ascii="Arial" w:hAnsi="Arial"/>
        <w:color w:val="404040"/>
        <w:sz w:val="22"/>
      </w:rPr>
    </w:tblStylePr>
    <w:tblStylePr w:type="band2Vert">
      <w:rPr>
        <w:rFonts w:ascii="Arial" w:hAnsi="Arial"/>
        <w:color w:val="404040"/>
        <w:sz w:val="22"/>
      </w:rPr>
      <w:tblPr/>
      <w:tcPr>
        <w:shd w:val="clear" w:color="C7D7EA" w:fill="C7D7EA"/>
      </w:tcPr>
    </w:tblStylePr>
    <w:tblStylePr w:type="band1Horz">
      <w:rPr>
        <w:rFonts w:ascii="Arial" w:hAnsi="Arial"/>
        <w:color w:val="404040"/>
        <w:sz w:val="22"/>
      </w:rPr>
    </w:tblStylePr>
    <w:tblStylePr w:type="band2Horz">
      <w:rPr>
        <w:rFonts w:ascii="Arial" w:hAnsi="Arial"/>
        <w:color w:val="404040"/>
        <w:sz w:val="22"/>
      </w:rPr>
      <w:tblPr/>
      <w:tcPr>
        <w:shd w:val="clear" w:color="C7D7EA" w:fill="C7D7EA"/>
      </w:tcPr>
    </w:tblStylePr>
  </w:style>
  <w:style w:type="table" w:customStyle="1" w:styleId="Lined-Accent2">
    <w:name w:val="Lined - Accent 2"/>
    <w:basedOn w:val="a1"/>
    <w:uiPriority w:val="99"/>
    <w:rsid w:val="00074AE5"/>
    <w:rPr>
      <w:color w:val="404040"/>
    </w:rPr>
    <w:tblPr>
      <w:tblStyleRowBandSize w:val="1"/>
      <w:tblStyleColBandSize w:val="1"/>
    </w:tblPr>
    <w:tblStylePr w:type="firstRow">
      <w:rPr>
        <w:rFonts w:ascii="Arial" w:hAnsi="Arial"/>
        <w:color w:val="F2F2F2"/>
        <w:sz w:val="22"/>
      </w:rPr>
      <w:tblPr/>
      <w:tcPr>
        <w:shd w:val="clear" w:color="D99695" w:fill="D99695"/>
      </w:tcPr>
    </w:tblStylePr>
    <w:tblStylePr w:type="lastRow">
      <w:rPr>
        <w:rFonts w:ascii="Arial" w:hAnsi="Arial"/>
        <w:color w:val="F2F2F2"/>
        <w:sz w:val="22"/>
      </w:rPr>
      <w:tblPr/>
      <w:tcPr>
        <w:shd w:val="clear" w:color="D99695" w:fill="D99695"/>
      </w:tcPr>
    </w:tblStylePr>
    <w:tblStylePr w:type="firstCol">
      <w:rPr>
        <w:rFonts w:ascii="Arial" w:hAnsi="Arial"/>
        <w:color w:val="F2F2F2"/>
        <w:sz w:val="22"/>
      </w:rPr>
      <w:tblPr/>
      <w:tcPr>
        <w:shd w:val="clear" w:color="D99695" w:fill="D99695"/>
      </w:tcPr>
    </w:tblStylePr>
    <w:tblStylePr w:type="lastCol">
      <w:rPr>
        <w:rFonts w:ascii="Arial" w:hAnsi="Arial"/>
        <w:color w:val="F2F2F2"/>
        <w:sz w:val="22"/>
      </w:rPr>
      <w:tblPr/>
      <w:tcPr>
        <w:shd w:val="clear" w:color="D99695" w:fill="D99695"/>
      </w:tcPr>
    </w:tblStylePr>
    <w:tblStylePr w:type="band1Vert">
      <w:rPr>
        <w:rFonts w:ascii="Arial" w:hAnsi="Arial"/>
        <w:color w:val="404040"/>
        <w:sz w:val="22"/>
      </w:rPr>
    </w:tblStylePr>
    <w:tblStylePr w:type="band2Vert">
      <w:rPr>
        <w:rFonts w:ascii="Arial" w:hAnsi="Arial"/>
        <w:color w:val="404040"/>
        <w:sz w:val="22"/>
      </w:rPr>
      <w:tblPr/>
      <w:tcPr>
        <w:shd w:val="clear" w:color="F2DCDC" w:fill="F2DCDC"/>
      </w:tcPr>
    </w:tblStylePr>
    <w:tblStylePr w:type="band1Horz">
      <w:rPr>
        <w:rFonts w:ascii="Arial" w:hAnsi="Arial"/>
        <w:color w:val="404040"/>
        <w:sz w:val="22"/>
      </w:rPr>
    </w:tblStylePr>
    <w:tblStylePr w:type="band2Horz">
      <w:rPr>
        <w:rFonts w:ascii="Arial" w:hAnsi="Arial"/>
        <w:color w:val="404040"/>
        <w:sz w:val="22"/>
      </w:rPr>
      <w:tblPr/>
      <w:tcPr>
        <w:shd w:val="clear" w:color="F2DCDC" w:fill="F2DCDC"/>
      </w:tcPr>
    </w:tblStylePr>
  </w:style>
  <w:style w:type="table" w:customStyle="1" w:styleId="Lined-Accent3">
    <w:name w:val="Lined - Accent 3"/>
    <w:basedOn w:val="a1"/>
    <w:uiPriority w:val="99"/>
    <w:rsid w:val="00074AE5"/>
    <w:rPr>
      <w:color w:val="404040"/>
    </w:rPr>
    <w:tblPr>
      <w:tblStyleRowBandSize w:val="1"/>
      <w:tblStyleColBandSize w:val="1"/>
    </w:tblPr>
    <w:tblStylePr w:type="firstRow">
      <w:rPr>
        <w:rFonts w:ascii="Arial" w:hAnsi="Arial"/>
        <w:color w:val="F2F2F2"/>
        <w:sz w:val="22"/>
      </w:rPr>
      <w:tblPr/>
      <w:tcPr>
        <w:shd w:val="clear" w:color="9ABB59" w:fill="9ABB59"/>
      </w:tcPr>
    </w:tblStylePr>
    <w:tblStylePr w:type="lastRow">
      <w:rPr>
        <w:rFonts w:ascii="Arial" w:hAnsi="Arial"/>
        <w:color w:val="F2F2F2"/>
        <w:sz w:val="22"/>
      </w:rPr>
      <w:tblPr/>
      <w:tcPr>
        <w:shd w:val="clear" w:color="9ABB59" w:fill="9ABB59"/>
      </w:tcPr>
    </w:tblStylePr>
    <w:tblStylePr w:type="firstCol">
      <w:rPr>
        <w:rFonts w:ascii="Arial" w:hAnsi="Arial"/>
        <w:color w:val="F2F2F2"/>
        <w:sz w:val="22"/>
      </w:rPr>
      <w:tblPr/>
      <w:tcPr>
        <w:shd w:val="clear" w:color="9ABB59" w:fill="9ABB59"/>
      </w:tcPr>
    </w:tblStylePr>
    <w:tblStylePr w:type="lastCol">
      <w:rPr>
        <w:rFonts w:ascii="Arial" w:hAnsi="Arial"/>
        <w:color w:val="F2F2F2"/>
        <w:sz w:val="22"/>
      </w:rPr>
      <w:tblPr/>
      <w:tcPr>
        <w:shd w:val="clear" w:color="9ABB59" w:fill="9ABB59"/>
      </w:tcPr>
    </w:tblStylePr>
    <w:tblStylePr w:type="band1Vert">
      <w:rPr>
        <w:rFonts w:ascii="Arial" w:hAnsi="Arial"/>
        <w:color w:val="404040"/>
        <w:sz w:val="22"/>
      </w:rPr>
    </w:tblStylePr>
    <w:tblStylePr w:type="band2Vert">
      <w:rPr>
        <w:rFonts w:ascii="Arial" w:hAnsi="Arial"/>
        <w:color w:val="404040"/>
        <w:sz w:val="22"/>
      </w:rPr>
      <w:tblPr/>
      <w:tcPr>
        <w:shd w:val="clear" w:color="EAF1DC" w:fill="EAF1DC"/>
      </w:tcPr>
    </w:tblStylePr>
    <w:tblStylePr w:type="band1Horz">
      <w:rPr>
        <w:rFonts w:ascii="Arial" w:hAnsi="Arial"/>
        <w:color w:val="404040"/>
        <w:sz w:val="22"/>
      </w:rPr>
    </w:tblStylePr>
    <w:tblStylePr w:type="band2Horz">
      <w:rPr>
        <w:rFonts w:ascii="Arial" w:hAnsi="Arial"/>
        <w:color w:val="404040"/>
        <w:sz w:val="22"/>
      </w:rPr>
      <w:tblPr/>
      <w:tcPr>
        <w:shd w:val="clear" w:color="EAF1DC" w:fill="EAF1DC"/>
      </w:tcPr>
    </w:tblStylePr>
  </w:style>
  <w:style w:type="table" w:customStyle="1" w:styleId="Lined-Accent4">
    <w:name w:val="Lined - Accent 4"/>
    <w:basedOn w:val="a1"/>
    <w:uiPriority w:val="99"/>
    <w:rsid w:val="00074AE5"/>
    <w:rPr>
      <w:color w:val="404040"/>
    </w:rPr>
    <w:tblPr>
      <w:tblStyleRowBandSize w:val="1"/>
      <w:tblStyleColBandSize w:val="1"/>
    </w:tblPr>
    <w:tblStylePr w:type="firstRow">
      <w:rPr>
        <w:rFonts w:ascii="Arial" w:hAnsi="Arial"/>
        <w:color w:val="F2F2F2"/>
        <w:sz w:val="22"/>
      </w:rPr>
      <w:tblPr/>
      <w:tcPr>
        <w:shd w:val="clear" w:color="B2A1C6" w:fill="B2A1C6"/>
      </w:tcPr>
    </w:tblStylePr>
    <w:tblStylePr w:type="lastRow">
      <w:rPr>
        <w:rFonts w:ascii="Arial" w:hAnsi="Arial"/>
        <w:color w:val="F2F2F2"/>
        <w:sz w:val="22"/>
      </w:rPr>
      <w:tblPr/>
      <w:tcPr>
        <w:shd w:val="clear" w:color="B2A1C6" w:fill="B2A1C6"/>
      </w:tcPr>
    </w:tblStylePr>
    <w:tblStylePr w:type="firstCol">
      <w:rPr>
        <w:rFonts w:ascii="Arial" w:hAnsi="Arial"/>
        <w:color w:val="F2F2F2"/>
        <w:sz w:val="22"/>
      </w:rPr>
      <w:tblPr/>
      <w:tcPr>
        <w:shd w:val="clear" w:color="B2A1C6" w:fill="B2A1C6"/>
      </w:tcPr>
    </w:tblStylePr>
    <w:tblStylePr w:type="lastCol">
      <w:rPr>
        <w:rFonts w:ascii="Arial" w:hAnsi="Arial"/>
        <w:color w:val="F2F2F2"/>
        <w:sz w:val="22"/>
      </w:rPr>
      <w:tblPr/>
      <w:tcPr>
        <w:shd w:val="clear" w:color="B2A1C6" w:fill="B2A1C6"/>
      </w:tcPr>
    </w:tblStylePr>
    <w:tblStylePr w:type="band1Vert">
      <w:rPr>
        <w:rFonts w:ascii="Arial" w:hAnsi="Arial"/>
        <w:color w:val="404040"/>
        <w:sz w:val="22"/>
      </w:rPr>
    </w:tblStylePr>
    <w:tblStylePr w:type="band2Vert">
      <w:rPr>
        <w:rFonts w:ascii="Arial" w:hAnsi="Arial"/>
        <w:color w:val="404040"/>
        <w:sz w:val="22"/>
      </w:rPr>
      <w:tblPr/>
      <w:tcPr>
        <w:shd w:val="clear" w:color="E5DFEC" w:fill="E5DFEC"/>
      </w:tcPr>
    </w:tblStylePr>
    <w:tblStylePr w:type="band1Horz">
      <w:rPr>
        <w:rFonts w:ascii="Arial" w:hAnsi="Arial"/>
        <w:color w:val="404040"/>
        <w:sz w:val="22"/>
      </w:rPr>
    </w:tblStylePr>
    <w:tblStylePr w:type="band2Horz">
      <w:rPr>
        <w:rFonts w:ascii="Arial" w:hAnsi="Arial"/>
        <w:color w:val="404040"/>
        <w:sz w:val="22"/>
      </w:rPr>
      <w:tblPr/>
      <w:tcPr>
        <w:shd w:val="clear" w:color="E5DFEC" w:fill="E5DFEC"/>
      </w:tcPr>
    </w:tblStylePr>
  </w:style>
  <w:style w:type="table" w:customStyle="1" w:styleId="Lined-Accent5">
    <w:name w:val="Lined - Accent 5"/>
    <w:basedOn w:val="a1"/>
    <w:uiPriority w:val="99"/>
    <w:rsid w:val="00074AE5"/>
    <w:rPr>
      <w:color w:val="404040"/>
    </w:rPr>
    <w:tblPr>
      <w:tblStyleRowBandSize w:val="1"/>
      <w:tblStyleColBandSize w:val="1"/>
    </w:tblPr>
    <w:tblStylePr w:type="firstRow">
      <w:rPr>
        <w:rFonts w:ascii="Arial" w:hAnsi="Arial"/>
        <w:color w:val="F2F2F2"/>
        <w:sz w:val="22"/>
      </w:rPr>
      <w:tblPr/>
      <w:tcPr>
        <w:shd w:val="clear" w:color="4BACC6" w:fill="4BACC6"/>
      </w:tcPr>
    </w:tblStylePr>
    <w:tblStylePr w:type="lastRow">
      <w:rPr>
        <w:rFonts w:ascii="Arial" w:hAnsi="Arial"/>
        <w:color w:val="F2F2F2"/>
        <w:sz w:val="22"/>
      </w:rPr>
      <w:tblPr/>
      <w:tcPr>
        <w:shd w:val="clear" w:color="4BACC6" w:fill="4BACC6"/>
      </w:tcPr>
    </w:tblStylePr>
    <w:tblStylePr w:type="firstCol">
      <w:rPr>
        <w:rFonts w:ascii="Arial" w:hAnsi="Arial"/>
        <w:color w:val="F2F2F2"/>
        <w:sz w:val="22"/>
      </w:rPr>
      <w:tblPr/>
      <w:tcPr>
        <w:shd w:val="clear" w:color="4BACC6" w:fill="4BACC6"/>
      </w:tcPr>
    </w:tblStylePr>
    <w:tblStylePr w:type="lastCol">
      <w:rPr>
        <w:rFonts w:ascii="Arial" w:hAnsi="Arial"/>
        <w:color w:val="F2F2F2"/>
        <w:sz w:val="22"/>
      </w:rPr>
      <w:tblPr/>
      <w:tcPr>
        <w:shd w:val="clear" w:color="4BACC6" w:fill="4BACC6"/>
      </w:tcPr>
    </w:tblStylePr>
    <w:tblStylePr w:type="band1Vert">
      <w:rPr>
        <w:rFonts w:ascii="Arial" w:hAnsi="Arial"/>
        <w:color w:val="404040"/>
        <w:sz w:val="22"/>
      </w:rPr>
    </w:tblStylePr>
    <w:tblStylePr w:type="band2Vert">
      <w:rPr>
        <w:rFonts w:ascii="Arial" w:hAnsi="Arial"/>
        <w:color w:val="404040"/>
        <w:sz w:val="22"/>
      </w:rPr>
      <w:tblPr/>
      <w:tcPr>
        <w:shd w:val="clear" w:color="DAEEF3" w:fill="DAEEF3"/>
      </w:tcPr>
    </w:tblStylePr>
    <w:tblStylePr w:type="band1Horz">
      <w:rPr>
        <w:rFonts w:ascii="Arial" w:hAnsi="Arial"/>
        <w:color w:val="404040"/>
        <w:sz w:val="22"/>
      </w:rPr>
    </w:tblStylePr>
    <w:tblStylePr w:type="band2Horz">
      <w:rPr>
        <w:rFonts w:ascii="Arial" w:hAnsi="Arial"/>
        <w:color w:val="404040"/>
        <w:sz w:val="22"/>
      </w:rPr>
      <w:tblPr/>
      <w:tcPr>
        <w:shd w:val="clear" w:color="DAEEF3" w:fill="DAEEF3"/>
      </w:tcPr>
    </w:tblStylePr>
  </w:style>
  <w:style w:type="table" w:customStyle="1" w:styleId="Lined-Accent6">
    <w:name w:val="Lined - Accent 6"/>
    <w:basedOn w:val="a1"/>
    <w:uiPriority w:val="99"/>
    <w:rsid w:val="00074AE5"/>
    <w:rPr>
      <w:color w:val="404040"/>
    </w:rPr>
    <w:tblPr>
      <w:tblStyleRowBandSize w:val="1"/>
      <w:tblStyleColBandSize w:val="1"/>
    </w:tblPr>
    <w:tblStylePr w:type="firstRow">
      <w:rPr>
        <w:rFonts w:ascii="Arial" w:hAnsi="Arial"/>
        <w:color w:val="F2F2F2"/>
        <w:sz w:val="22"/>
      </w:rPr>
      <w:tblPr/>
      <w:tcPr>
        <w:shd w:val="clear" w:color="F79646" w:fill="F79646"/>
      </w:tcPr>
    </w:tblStylePr>
    <w:tblStylePr w:type="lastRow">
      <w:rPr>
        <w:rFonts w:ascii="Arial" w:hAnsi="Arial"/>
        <w:color w:val="F2F2F2"/>
        <w:sz w:val="22"/>
      </w:rPr>
      <w:tblPr/>
      <w:tcPr>
        <w:shd w:val="clear" w:color="F79646" w:fill="F79646"/>
      </w:tcPr>
    </w:tblStylePr>
    <w:tblStylePr w:type="firstCol">
      <w:rPr>
        <w:rFonts w:ascii="Arial" w:hAnsi="Arial"/>
        <w:color w:val="F2F2F2"/>
        <w:sz w:val="22"/>
      </w:rPr>
      <w:tblPr/>
      <w:tcPr>
        <w:shd w:val="clear" w:color="F79646" w:fill="F79646"/>
      </w:tcPr>
    </w:tblStylePr>
    <w:tblStylePr w:type="lastCol">
      <w:rPr>
        <w:rFonts w:ascii="Arial" w:hAnsi="Arial"/>
        <w:color w:val="F2F2F2"/>
        <w:sz w:val="22"/>
      </w:rPr>
      <w:tblPr/>
      <w:tcPr>
        <w:shd w:val="clear" w:color="F79646" w:fill="F79646"/>
      </w:tcPr>
    </w:tblStylePr>
    <w:tblStylePr w:type="band1Vert">
      <w:rPr>
        <w:rFonts w:ascii="Arial" w:hAnsi="Arial"/>
        <w:color w:val="404040"/>
        <w:sz w:val="22"/>
      </w:rPr>
    </w:tblStylePr>
    <w:tblStylePr w:type="band2Vert">
      <w:rPr>
        <w:rFonts w:ascii="Arial" w:hAnsi="Arial"/>
        <w:color w:val="404040"/>
        <w:sz w:val="22"/>
      </w:rPr>
      <w:tblPr/>
      <w:tcPr>
        <w:shd w:val="clear" w:color="FDE9D8" w:fill="FDE9D8"/>
      </w:tcPr>
    </w:tblStylePr>
    <w:tblStylePr w:type="band1Horz">
      <w:rPr>
        <w:rFonts w:ascii="Arial" w:hAnsi="Arial"/>
        <w:color w:val="404040"/>
        <w:sz w:val="22"/>
      </w:rPr>
    </w:tblStylePr>
    <w:tblStylePr w:type="band2Horz">
      <w:rPr>
        <w:rFonts w:ascii="Arial" w:hAnsi="Arial"/>
        <w:color w:val="404040"/>
        <w:sz w:val="22"/>
      </w:rPr>
      <w:tblPr/>
      <w:tcPr>
        <w:shd w:val="clear" w:color="FDE9D8" w:fill="FDE9D8"/>
      </w:tcPr>
    </w:tblStylePr>
  </w:style>
  <w:style w:type="table" w:customStyle="1" w:styleId="BorderedLined-Accent">
    <w:name w:val="Bordered &amp; Lined - Accent"/>
    <w:basedOn w:val="a1"/>
    <w:uiPriority w:val="99"/>
    <w:rsid w:val="00074AE5"/>
    <w:rPr>
      <w:color w:val="404040"/>
    </w:rPr>
    <w:tblPr>
      <w:tblStyleRowBandSize w:val="1"/>
      <w:tblStyleColBandSize w:val="1"/>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Pr>
    <w:tblStylePr w:type="firstRow">
      <w:rPr>
        <w:rFonts w:ascii="Arial" w:hAnsi="Arial"/>
        <w:color w:val="F2F2F2"/>
        <w:sz w:val="22"/>
      </w:rPr>
      <w:tblPr/>
      <w:tcPr>
        <w:shd w:val="clear" w:color="7F7F7F" w:fill="7F7F7F"/>
      </w:tcPr>
    </w:tblStylePr>
    <w:tblStylePr w:type="lastRow">
      <w:rPr>
        <w:rFonts w:ascii="Arial" w:hAnsi="Arial"/>
        <w:color w:val="F2F2F2"/>
        <w:sz w:val="22"/>
      </w:rPr>
      <w:tblPr/>
      <w:tcPr>
        <w:shd w:val="clear" w:color="7F7F7F" w:fill="7F7F7F"/>
      </w:tcPr>
    </w:tblStylePr>
    <w:tblStylePr w:type="firstCol">
      <w:rPr>
        <w:rFonts w:ascii="Arial" w:hAnsi="Arial"/>
        <w:color w:val="F2F2F2"/>
        <w:sz w:val="22"/>
      </w:rPr>
      <w:tblPr/>
      <w:tcPr>
        <w:shd w:val="clear" w:color="7F7F7F" w:fill="7F7F7F"/>
      </w:tcPr>
    </w:tblStylePr>
    <w:tblStylePr w:type="lastCol">
      <w:rPr>
        <w:rFonts w:ascii="Arial" w:hAnsi="Arial"/>
        <w:color w:val="F2F2F2"/>
        <w:sz w:val="22"/>
      </w:rPr>
      <w:tblPr/>
      <w:tcPr>
        <w:shd w:val="clear" w:color="7F7F7F" w:fill="7F7F7F"/>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cPr>
    </w:tblStylePr>
  </w:style>
  <w:style w:type="table" w:customStyle="1" w:styleId="BorderedLined-Accent1">
    <w:name w:val="Bordered &amp; Lined - Accent 1"/>
    <w:basedOn w:val="a1"/>
    <w:uiPriority w:val="99"/>
    <w:rsid w:val="00074AE5"/>
    <w:rPr>
      <w:color w:val="404040"/>
    </w:rPr>
    <w:tblPr>
      <w:tblStyleRowBandSize w:val="1"/>
      <w:tblStyleColBandSize w:val="1"/>
      <w:tblBorders>
        <w:top w:val="single" w:sz="4" w:space="0" w:color="2A4A71"/>
        <w:left w:val="single" w:sz="4" w:space="0" w:color="2A4A71"/>
        <w:bottom w:val="single" w:sz="4" w:space="0" w:color="2A4A71"/>
        <w:right w:val="single" w:sz="4" w:space="0" w:color="2A4A71"/>
        <w:insideH w:val="single" w:sz="4" w:space="0" w:color="2A4A71"/>
        <w:insideV w:val="single" w:sz="4" w:space="0" w:color="2A4A71"/>
      </w:tblBorders>
    </w:tblPr>
    <w:tblStylePr w:type="firstRow">
      <w:rPr>
        <w:rFonts w:ascii="Arial" w:hAnsi="Arial"/>
        <w:color w:val="F2F2F2"/>
        <w:sz w:val="22"/>
      </w:rPr>
      <w:tblPr/>
      <w:tcPr>
        <w:shd w:val="clear" w:color="5D8AC2" w:fill="5D8AC2"/>
      </w:tcPr>
    </w:tblStylePr>
    <w:tblStylePr w:type="lastRow">
      <w:rPr>
        <w:rFonts w:ascii="Arial" w:hAnsi="Arial"/>
        <w:color w:val="F2F2F2"/>
        <w:sz w:val="22"/>
      </w:rPr>
      <w:tblPr/>
      <w:tcPr>
        <w:shd w:val="clear" w:color="5D8AC2" w:fill="5D8AC2"/>
      </w:tcPr>
    </w:tblStylePr>
    <w:tblStylePr w:type="firstCol">
      <w:rPr>
        <w:rFonts w:ascii="Arial" w:hAnsi="Arial"/>
        <w:color w:val="F2F2F2"/>
        <w:sz w:val="22"/>
      </w:rPr>
      <w:tblPr/>
      <w:tcPr>
        <w:shd w:val="clear" w:color="5D8AC2" w:fill="5D8AC2"/>
      </w:tcPr>
    </w:tblStylePr>
    <w:tblStylePr w:type="lastCol">
      <w:rPr>
        <w:rFonts w:ascii="Arial" w:hAnsi="Arial"/>
        <w:color w:val="F2F2F2"/>
        <w:sz w:val="22"/>
      </w:rPr>
      <w:tblPr/>
      <w:tcPr>
        <w:shd w:val="clear" w:color="5D8AC2" w:fill="5D8AC2"/>
      </w:tcPr>
    </w:tblStylePr>
    <w:tblStylePr w:type="band1Vert">
      <w:rPr>
        <w:rFonts w:ascii="Arial" w:hAnsi="Arial"/>
        <w:color w:val="404040"/>
        <w:sz w:val="22"/>
      </w:rPr>
    </w:tblStylePr>
    <w:tblStylePr w:type="band2Vert">
      <w:rPr>
        <w:rFonts w:ascii="Arial" w:hAnsi="Arial"/>
        <w:color w:val="404040"/>
        <w:sz w:val="22"/>
      </w:rPr>
      <w:tblPr/>
      <w:tcPr>
        <w:shd w:val="clear" w:color="C7D7EA" w:fill="C7D7EA"/>
      </w:tcPr>
    </w:tblStylePr>
    <w:tblStylePr w:type="band1Horz">
      <w:rPr>
        <w:rFonts w:ascii="Arial" w:hAnsi="Arial"/>
        <w:color w:val="404040"/>
        <w:sz w:val="22"/>
      </w:rPr>
    </w:tblStylePr>
    <w:tblStylePr w:type="band2Horz">
      <w:rPr>
        <w:rFonts w:ascii="Arial" w:hAnsi="Arial"/>
        <w:color w:val="404040"/>
        <w:sz w:val="22"/>
      </w:rPr>
      <w:tblPr/>
      <w:tcPr>
        <w:shd w:val="clear" w:color="C7D7EA" w:fill="C7D7EA"/>
      </w:tcPr>
    </w:tblStylePr>
  </w:style>
  <w:style w:type="table" w:customStyle="1" w:styleId="BorderedLined-Accent2">
    <w:name w:val="Bordered &amp; Lined - Accent 2"/>
    <w:basedOn w:val="a1"/>
    <w:uiPriority w:val="99"/>
    <w:rsid w:val="00074AE5"/>
    <w:rPr>
      <w:color w:val="404040"/>
    </w:rPr>
    <w:tblPr>
      <w:tblStyleRowBandSize w:val="1"/>
      <w:tblStyleColBandSize w:val="1"/>
      <w:tblBorders>
        <w:top w:val="single" w:sz="4" w:space="0" w:color="732A29"/>
        <w:left w:val="single" w:sz="4" w:space="0" w:color="732A29"/>
        <w:bottom w:val="single" w:sz="4" w:space="0" w:color="732A29"/>
        <w:right w:val="single" w:sz="4" w:space="0" w:color="732A29"/>
        <w:insideH w:val="single" w:sz="4" w:space="0" w:color="732A29"/>
        <w:insideV w:val="single" w:sz="4" w:space="0" w:color="732A29"/>
      </w:tblBorders>
    </w:tblPr>
    <w:tblStylePr w:type="firstRow">
      <w:rPr>
        <w:rFonts w:ascii="Arial" w:hAnsi="Arial"/>
        <w:color w:val="F2F2F2"/>
        <w:sz w:val="22"/>
      </w:rPr>
      <w:tblPr/>
      <w:tcPr>
        <w:shd w:val="clear" w:color="D99695" w:fill="D99695"/>
      </w:tcPr>
    </w:tblStylePr>
    <w:tblStylePr w:type="lastRow">
      <w:rPr>
        <w:rFonts w:ascii="Arial" w:hAnsi="Arial"/>
        <w:color w:val="F2F2F2"/>
        <w:sz w:val="22"/>
      </w:rPr>
      <w:tblPr/>
      <w:tcPr>
        <w:shd w:val="clear" w:color="D99695" w:fill="D99695"/>
      </w:tcPr>
    </w:tblStylePr>
    <w:tblStylePr w:type="firstCol">
      <w:rPr>
        <w:rFonts w:ascii="Arial" w:hAnsi="Arial"/>
        <w:color w:val="F2F2F2"/>
        <w:sz w:val="22"/>
      </w:rPr>
      <w:tblPr/>
      <w:tcPr>
        <w:shd w:val="clear" w:color="D99695" w:fill="D99695"/>
      </w:tcPr>
    </w:tblStylePr>
    <w:tblStylePr w:type="lastCol">
      <w:rPr>
        <w:rFonts w:ascii="Arial" w:hAnsi="Arial"/>
        <w:color w:val="F2F2F2"/>
        <w:sz w:val="22"/>
      </w:rPr>
      <w:tblPr/>
      <w:tcPr>
        <w:shd w:val="clear" w:color="D99695" w:fill="D99695"/>
      </w:tcPr>
    </w:tblStylePr>
    <w:tblStylePr w:type="band1Vert">
      <w:rPr>
        <w:rFonts w:ascii="Arial" w:hAnsi="Arial"/>
        <w:color w:val="404040"/>
        <w:sz w:val="22"/>
      </w:rPr>
    </w:tblStylePr>
    <w:tblStylePr w:type="band2Vert">
      <w:rPr>
        <w:rFonts w:ascii="Arial" w:hAnsi="Arial"/>
        <w:color w:val="404040"/>
        <w:sz w:val="22"/>
      </w:rPr>
      <w:tblPr/>
      <w:tcPr>
        <w:shd w:val="clear" w:color="F2DCDC" w:fill="F2DCDC"/>
      </w:tcPr>
    </w:tblStylePr>
    <w:tblStylePr w:type="band1Horz">
      <w:rPr>
        <w:rFonts w:ascii="Arial" w:hAnsi="Arial"/>
        <w:color w:val="404040"/>
        <w:sz w:val="22"/>
      </w:rPr>
    </w:tblStylePr>
    <w:tblStylePr w:type="band2Horz">
      <w:rPr>
        <w:rFonts w:ascii="Arial" w:hAnsi="Arial"/>
        <w:color w:val="404040"/>
        <w:sz w:val="22"/>
      </w:rPr>
      <w:tblPr/>
      <w:tcPr>
        <w:shd w:val="clear" w:color="F2DCDC" w:fill="F2DCDC"/>
      </w:tcPr>
    </w:tblStylePr>
  </w:style>
  <w:style w:type="table" w:customStyle="1" w:styleId="BorderedLined-Accent3">
    <w:name w:val="Bordered &amp; Lined - Accent 3"/>
    <w:basedOn w:val="a1"/>
    <w:uiPriority w:val="99"/>
    <w:rsid w:val="00074AE5"/>
    <w:rPr>
      <w:color w:val="404040"/>
    </w:rPr>
    <w:tblPr>
      <w:tblStyleRowBandSize w:val="1"/>
      <w:tblStyleColBandSize w:val="1"/>
      <w:tblBorders>
        <w:top w:val="single" w:sz="4" w:space="0" w:color="5B722E"/>
        <w:left w:val="single" w:sz="4" w:space="0" w:color="5B722E"/>
        <w:bottom w:val="single" w:sz="4" w:space="0" w:color="5B722E"/>
        <w:right w:val="single" w:sz="4" w:space="0" w:color="5B722E"/>
        <w:insideH w:val="single" w:sz="4" w:space="0" w:color="5B722E"/>
        <w:insideV w:val="single" w:sz="4" w:space="0" w:color="5B722E"/>
      </w:tblBorders>
    </w:tblPr>
    <w:tblStylePr w:type="firstRow">
      <w:rPr>
        <w:rFonts w:ascii="Arial" w:hAnsi="Arial"/>
        <w:color w:val="F2F2F2"/>
        <w:sz w:val="22"/>
      </w:rPr>
      <w:tblPr/>
      <w:tcPr>
        <w:shd w:val="clear" w:color="9ABB59" w:fill="9ABB59"/>
      </w:tcPr>
    </w:tblStylePr>
    <w:tblStylePr w:type="lastRow">
      <w:rPr>
        <w:rFonts w:ascii="Arial" w:hAnsi="Arial"/>
        <w:color w:val="F2F2F2"/>
        <w:sz w:val="22"/>
      </w:rPr>
      <w:tblPr/>
      <w:tcPr>
        <w:shd w:val="clear" w:color="9ABB59" w:fill="9ABB59"/>
      </w:tcPr>
    </w:tblStylePr>
    <w:tblStylePr w:type="firstCol">
      <w:rPr>
        <w:rFonts w:ascii="Arial" w:hAnsi="Arial"/>
        <w:color w:val="F2F2F2"/>
        <w:sz w:val="22"/>
      </w:rPr>
      <w:tblPr/>
      <w:tcPr>
        <w:shd w:val="clear" w:color="9ABB59" w:fill="9ABB59"/>
      </w:tcPr>
    </w:tblStylePr>
    <w:tblStylePr w:type="lastCol">
      <w:rPr>
        <w:rFonts w:ascii="Arial" w:hAnsi="Arial"/>
        <w:color w:val="F2F2F2"/>
        <w:sz w:val="22"/>
      </w:rPr>
      <w:tblPr/>
      <w:tcPr>
        <w:shd w:val="clear" w:color="9ABB59" w:fill="9ABB59"/>
      </w:tcPr>
    </w:tblStylePr>
    <w:tblStylePr w:type="band1Vert">
      <w:rPr>
        <w:rFonts w:ascii="Arial" w:hAnsi="Arial"/>
        <w:color w:val="404040"/>
        <w:sz w:val="22"/>
      </w:rPr>
    </w:tblStylePr>
    <w:tblStylePr w:type="band2Vert">
      <w:rPr>
        <w:rFonts w:ascii="Arial" w:hAnsi="Arial"/>
        <w:color w:val="404040"/>
        <w:sz w:val="22"/>
      </w:rPr>
      <w:tblPr/>
      <w:tcPr>
        <w:shd w:val="clear" w:color="EAF1DC" w:fill="EAF1DC"/>
      </w:tcPr>
    </w:tblStylePr>
    <w:tblStylePr w:type="band1Horz">
      <w:rPr>
        <w:rFonts w:ascii="Arial" w:hAnsi="Arial"/>
        <w:color w:val="404040"/>
        <w:sz w:val="22"/>
      </w:rPr>
    </w:tblStylePr>
    <w:tblStylePr w:type="band2Horz">
      <w:rPr>
        <w:rFonts w:ascii="Arial" w:hAnsi="Arial"/>
        <w:color w:val="404040"/>
        <w:sz w:val="22"/>
      </w:rPr>
      <w:tblPr/>
      <w:tcPr>
        <w:shd w:val="clear" w:color="EAF1DC" w:fill="EAF1DC"/>
      </w:tcPr>
    </w:tblStylePr>
  </w:style>
  <w:style w:type="table" w:customStyle="1" w:styleId="BorderedLined-Accent4">
    <w:name w:val="Bordered &amp; Lined - Accent 4"/>
    <w:basedOn w:val="a1"/>
    <w:uiPriority w:val="99"/>
    <w:rsid w:val="00074AE5"/>
    <w:rPr>
      <w:color w:val="404040"/>
    </w:rPr>
    <w:tblPr>
      <w:tblStyleRowBandSize w:val="1"/>
      <w:tblStyleColBandSize w:val="1"/>
      <w:tblBorders>
        <w:top w:val="single" w:sz="4" w:space="0" w:color="4A395F"/>
        <w:left w:val="single" w:sz="4" w:space="0" w:color="4A395F"/>
        <w:bottom w:val="single" w:sz="4" w:space="0" w:color="4A395F"/>
        <w:right w:val="single" w:sz="4" w:space="0" w:color="4A395F"/>
        <w:insideH w:val="single" w:sz="4" w:space="0" w:color="4A395F"/>
        <w:insideV w:val="single" w:sz="4" w:space="0" w:color="4A395F"/>
      </w:tblBorders>
    </w:tblPr>
    <w:tblStylePr w:type="firstRow">
      <w:rPr>
        <w:rFonts w:ascii="Arial" w:hAnsi="Arial"/>
        <w:color w:val="F2F2F2"/>
        <w:sz w:val="22"/>
      </w:rPr>
      <w:tblPr/>
      <w:tcPr>
        <w:shd w:val="clear" w:color="B2A1C6" w:fill="B2A1C6"/>
      </w:tcPr>
    </w:tblStylePr>
    <w:tblStylePr w:type="lastRow">
      <w:rPr>
        <w:rFonts w:ascii="Arial" w:hAnsi="Arial"/>
        <w:color w:val="F2F2F2"/>
        <w:sz w:val="22"/>
      </w:rPr>
      <w:tblPr/>
      <w:tcPr>
        <w:shd w:val="clear" w:color="B2A1C6" w:fill="B2A1C6"/>
      </w:tcPr>
    </w:tblStylePr>
    <w:tblStylePr w:type="firstCol">
      <w:rPr>
        <w:rFonts w:ascii="Arial" w:hAnsi="Arial"/>
        <w:color w:val="F2F2F2"/>
        <w:sz w:val="22"/>
      </w:rPr>
      <w:tblPr/>
      <w:tcPr>
        <w:shd w:val="clear" w:color="B2A1C6" w:fill="B2A1C6"/>
      </w:tcPr>
    </w:tblStylePr>
    <w:tblStylePr w:type="lastCol">
      <w:rPr>
        <w:rFonts w:ascii="Arial" w:hAnsi="Arial"/>
        <w:color w:val="F2F2F2"/>
        <w:sz w:val="22"/>
      </w:rPr>
      <w:tblPr/>
      <w:tcPr>
        <w:shd w:val="clear" w:color="B2A1C6" w:fill="B2A1C6"/>
      </w:tcPr>
    </w:tblStylePr>
    <w:tblStylePr w:type="band1Vert">
      <w:rPr>
        <w:rFonts w:ascii="Arial" w:hAnsi="Arial"/>
        <w:color w:val="404040"/>
        <w:sz w:val="22"/>
      </w:rPr>
    </w:tblStylePr>
    <w:tblStylePr w:type="band2Vert">
      <w:rPr>
        <w:rFonts w:ascii="Arial" w:hAnsi="Arial"/>
        <w:color w:val="404040"/>
        <w:sz w:val="22"/>
      </w:rPr>
      <w:tblPr/>
      <w:tcPr>
        <w:shd w:val="clear" w:color="E5DFEC" w:fill="E5DFEC"/>
      </w:tcPr>
    </w:tblStylePr>
    <w:tblStylePr w:type="band1Horz">
      <w:rPr>
        <w:rFonts w:ascii="Arial" w:hAnsi="Arial"/>
        <w:color w:val="404040"/>
        <w:sz w:val="22"/>
      </w:rPr>
    </w:tblStylePr>
    <w:tblStylePr w:type="band2Horz">
      <w:rPr>
        <w:rFonts w:ascii="Arial" w:hAnsi="Arial"/>
        <w:color w:val="404040"/>
        <w:sz w:val="22"/>
      </w:rPr>
      <w:tblPr/>
      <w:tcPr>
        <w:shd w:val="clear" w:color="E5DFEC" w:fill="E5DFEC"/>
      </w:tcPr>
    </w:tblStylePr>
  </w:style>
  <w:style w:type="table" w:customStyle="1" w:styleId="BorderedLined-Accent5">
    <w:name w:val="Bordered &amp; Lined - Accent 5"/>
    <w:basedOn w:val="a1"/>
    <w:uiPriority w:val="99"/>
    <w:rsid w:val="00074AE5"/>
    <w:rPr>
      <w:color w:val="404040"/>
    </w:rPr>
    <w:tblPr>
      <w:tblStyleRowBandSize w:val="1"/>
      <w:tblStyleColBandSize w:val="1"/>
      <w:tblBorders>
        <w:top w:val="single" w:sz="4" w:space="0" w:color="266779"/>
        <w:left w:val="single" w:sz="4" w:space="0" w:color="266779"/>
        <w:bottom w:val="single" w:sz="4" w:space="0" w:color="266779"/>
        <w:right w:val="single" w:sz="4" w:space="0" w:color="266779"/>
        <w:insideH w:val="single" w:sz="4" w:space="0" w:color="266779"/>
        <w:insideV w:val="single" w:sz="4" w:space="0" w:color="266779"/>
      </w:tblBorders>
    </w:tblPr>
    <w:tblStylePr w:type="firstRow">
      <w:rPr>
        <w:rFonts w:ascii="Arial" w:hAnsi="Arial"/>
        <w:color w:val="F2F2F2"/>
        <w:sz w:val="22"/>
      </w:rPr>
      <w:tblPr/>
      <w:tcPr>
        <w:shd w:val="clear" w:color="4BACC6" w:fill="4BACC6"/>
      </w:tcPr>
    </w:tblStylePr>
    <w:tblStylePr w:type="lastRow">
      <w:rPr>
        <w:rFonts w:ascii="Arial" w:hAnsi="Arial"/>
        <w:color w:val="F2F2F2"/>
        <w:sz w:val="22"/>
      </w:rPr>
      <w:tblPr/>
      <w:tcPr>
        <w:shd w:val="clear" w:color="4BACC6" w:fill="4BACC6"/>
      </w:tcPr>
    </w:tblStylePr>
    <w:tblStylePr w:type="firstCol">
      <w:rPr>
        <w:rFonts w:ascii="Arial" w:hAnsi="Arial"/>
        <w:color w:val="F2F2F2"/>
        <w:sz w:val="22"/>
      </w:rPr>
      <w:tblPr/>
      <w:tcPr>
        <w:shd w:val="clear" w:color="4BACC6" w:fill="4BACC6"/>
      </w:tcPr>
    </w:tblStylePr>
    <w:tblStylePr w:type="lastCol">
      <w:rPr>
        <w:rFonts w:ascii="Arial" w:hAnsi="Arial"/>
        <w:color w:val="F2F2F2"/>
        <w:sz w:val="22"/>
      </w:rPr>
      <w:tblPr/>
      <w:tcPr>
        <w:shd w:val="clear" w:color="4BACC6" w:fill="4BACC6"/>
      </w:tcPr>
    </w:tblStylePr>
    <w:tblStylePr w:type="band1Vert">
      <w:rPr>
        <w:rFonts w:ascii="Arial" w:hAnsi="Arial"/>
        <w:color w:val="404040"/>
        <w:sz w:val="22"/>
      </w:rPr>
    </w:tblStylePr>
    <w:tblStylePr w:type="band2Vert">
      <w:rPr>
        <w:rFonts w:ascii="Arial" w:hAnsi="Arial"/>
        <w:color w:val="404040"/>
        <w:sz w:val="22"/>
      </w:rPr>
      <w:tblPr/>
      <w:tcPr>
        <w:shd w:val="clear" w:color="DAEEF3" w:fill="DAEEF3"/>
      </w:tcPr>
    </w:tblStylePr>
    <w:tblStylePr w:type="band1Horz">
      <w:rPr>
        <w:rFonts w:ascii="Arial" w:hAnsi="Arial"/>
        <w:color w:val="404040"/>
        <w:sz w:val="22"/>
      </w:rPr>
    </w:tblStylePr>
    <w:tblStylePr w:type="band2Horz">
      <w:rPr>
        <w:rFonts w:ascii="Arial" w:hAnsi="Arial"/>
        <w:color w:val="404040"/>
        <w:sz w:val="22"/>
      </w:rPr>
      <w:tblPr/>
      <w:tcPr>
        <w:shd w:val="clear" w:color="DAEEF3" w:fill="DAEEF3"/>
      </w:tcPr>
    </w:tblStylePr>
  </w:style>
  <w:style w:type="table" w:customStyle="1" w:styleId="BorderedLined-Accent6">
    <w:name w:val="Bordered &amp; Lined - Accent 6"/>
    <w:basedOn w:val="a1"/>
    <w:uiPriority w:val="99"/>
    <w:rsid w:val="00074AE5"/>
    <w:rPr>
      <w:color w:val="404040"/>
    </w:rPr>
    <w:tblPr>
      <w:tblStyleRowBandSize w:val="1"/>
      <w:tblStyleColBandSize w:val="1"/>
      <w:tblBorders>
        <w:top w:val="single" w:sz="4" w:space="0" w:color="B15407"/>
        <w:left w:val="single" w:sz="4" w:space="0" w:color="B15407"/>
        <w:bottom w:val="single" w:sz="4" w:space="0" w:color="B15407"/>
        <w:right w:val="single" w:sz="4" w:space="0" w:color="B15407"/>
        <w:insideH w:val="single" w:sz="4" w:space="0" w:color="B15407"/>
        <w:insideV w:val="single" w:sz="4" w:space="0" w:color="B15407"/>
      </w:tblBorders>
    </w:tblPr>
    <w:tblStylePr w:type="firstRow">
      <w:rPr>
        <w:rFonts w:ascii="Arial" w:hAnsi="Arial"/>
        <w:color w:val="F2F2F2"/>
        <w:sz w:val="22"/>
      </w:rPr>
      <w:tblPr/>
      <w:tcPr>
        <w:shd w:val="clear" w:color="F79646" w:fill="F79646"/>
      </w:tcPr>
    </w:tblStylePr>
    <w:tblStylePr w:type="lastRow">
      <w:rPr>
        <w:rFonts w:ascii="Arial" w:hAnsi="Arial"/>
        <w:color w:val="F2F2F2"/>
        <w:sz w:val="22"/>
      </w:rPr>
      <w:tblPr/>
      <w:tcPr>
        <w:shd w:val="clear" w:color="F79646" w:fill="F79646"/>
      </w:tcPr>
    </w:tblStylePr>
    <w:tblStylePr w:type="firstCol">
      <w:rPr>
        <w:rFonts w:ascii="Arial" w:hAnsi="Arial"/>
        <w:color w:val="F2F2F2"/>
        <w:sz w:val="22"/>
      </w:rPr>
      <w:tblPr/>
      <w:tcPr>
        <w:shd w:val="clear" w:color="F79646" w:fill="F79646"/>
      </w:tcPr>
    </w:tblStylePr>
    <w:tblStylePr w:type="lastCol">
      <w:rPr>
        <w:rFonts w:ascii="Arial" w:hAnsi="Arial"/>
        <w:color w:val="F2F2F2"/>
        <w:sz w:val="22"/>
      </w:rPr>
      <w:tblPr/>
      <w:tcPr>
        <w:shd w:val="clear" w:color="F79646" w:fill="F79646"/>
      </w:tcPr>
    </w:tblStylePr>
    <w:tblStylePr w:type="band1Vert">
      <w:rPr>
        <w:rFonts w:ascii="Arial" w:hAnsi="Arial"/>
        <w:color w:val="404040"/>
        <w:sz w:val="22"/>
      </w:rPr>
    </w:tblStylePr>
    <w:tblStylePr w:type="band2Vert">
      <w:rPr>
        <w:rFonts w:ascii="Arial" w:hAnsi="Arial"/>
        <w:color w:val="404040"/>
        <w:sz w:val="22"/>
      </w:rPr>
      <w:tblPr/>
      <w:tcPr>
        <w:shd w:val="clear" w:color="FDE9D8" w:fill="FDE9D8"/>
      </w:tcPr>
    </w:tblStylePr>
    <w:tblStylePr w:type="band1Horz">
      <w:rPr>
        <w:rFonts w:ascii="Arial" w:hAnsi="Arial"/>
        <w:color w:val="404040"/>
        <w:sz w:val="22"/>
      </w:rPr>
    </w:tblStylePr>
    <w:tblStylePr w:type="band2Horz">
      <w:rPr>
        <w:rFonts w:ascii="Arial" w:hAnsi="Arial"/>
        <w:color w:val="404040"/>
        <w:sz w:val="22"/>
      </w:rPr>
      <w:tblPr/>
      <w:tcPr>
        <w:shd w:val="clear" w:color="FDE9D8" w:fill="FDE9D8"/>
      </w:tcPr>
    </w:tblStylePr>
  </w:style>
  <w:style w:type="table" w:customStyle="1" w:styleId="Bordered">
    <w:name w:val="Bordered"/>
    <w:basedOn w:val="a1"/>
    <w:uiPriority w:val="99"/>
    <w:rsid w:val="00074AE5"/>
    <w:tblPr>
      <w:tblStyleRowBandSize w:val="1"/>
      <w:tblStyleColBandSize w:val="1"/>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
    <w:name w:val="Bordered - Accent 1"/>
    <w:basedOn w:val="a1"/>
    <w:uiPriority w:val="99"/>
    <w:rsid w:val="00074AE5"/>
    <w:tblPr>
      <w:tblStyleRowBandSize w:val="1"/>
      <w:tblStyleColBandSize w:val="1"/>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Pr>
    <w:tblStylePr w:type="firstRow">
      <w:rPr>
        <w:rFonts w:ascii="Arial" w:hAnsi="Arial"/>
        <w:color w:val="404040"/>
        <w:sz w:val="22"/>
      </w:rPr>
      <w:tblPr/>
      <w:tcPr>
        <w:tcBorders>
          <w:bottom w:val="single" w:sz="12" w:space="0" w:color="4F81BD"/>
        </w:tcBorders>
      </w:tcPr>
    </w:tblStylePr>
    <w:tblStylePr w:type="lastRow">
      <w:rPr>
        <w:rFonts w:ascii="Arial" w:hAnsi="Arial"/>
        <w:color w:val="404040"/>
        <w:sz w:val="22"/>
      </w:rPr>
      <w:tblPr/>
      <w:tcPr>
        <w:tcBorders>
          <w:top w:val="single" w:sz="12" w:space="0" w:color="4F81BD"/>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cBorders>
      </w:tcPr>
    </w:tblStylePr>
    <w:tblStylePr w:type="band1Horz">
      <w:rPr>
        <w:rFonts w:ascii="Arial" w:hAnsi="Arial"/>
        <w:color w:val="404040"/>
        <w:sz w:val="22"/>
      </w:rPr>
      <w:tblPr/>
      <w:tcPr>
        <w:tcBorders>
          <w:top w:val="single" w:sz="4" w:space="0" w:color="B7CBE4"/>
          <w:left w:val="single" w:sz="4" w:space="0" w:color="B7CBE4"/>
          <w:bottom w:val="single" w:sz="4" w:space="0" w:color="B7CBE4"/>
          <w:right w:val="single" w:sz="4" w:space="0" w:color="B7CBE4"/>
        </w:tcBorders>
      </w:tcPr>
    </w:tblStylePr>
  </w:style>
  <w:style w:type="table" w:customStyle="1" w:styleId="Bordered-Accent2">
    <w:name w:val="Bordered - Accent 2"/>
    <w:basedOn w:val="a1"/>
    <w:uiPriority w:val="99"/>
    <w:rsid w:val="00074AE5"/>
    <w:tblPr>
      <w:tblStyleRowBandSize w:val="1"/>
      <w:tblStyleColBandSize w:val="1"/>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Pr>
    <w:tblStylePr w:type="firstRow">
      <w:rPr>
        <w:rFonts w:ascii="Arial" w:hAnsi="Arial"/>
        <w:color w:val="404040"/>
        <w:sz w:val="22"/>
      </w:rPr>
      <w:tblPr/>
      <w:tcPr>
        <w:tcBorders>
          <w:bottom w:val="single" w:sz="12" w:space="0" w:color="D99695"/>
        </w:tcBorders>
      </w:tcPr>
    </w:tblStylePr>
    <w:tblStylePr w:type="lastRow">
      <w:rPr>
        <w:rFonts w:ascii="Arial" w:hAnsi="Arial"/>
        <w:color w:val="404040"/>
        <w:sz w:val="22"/>
      </w:rPr>
      <w:tblPr/>
      <w:tcPr>
        <w:tcBorders>
          <w:top w:val="single" w:sz="12" w:space="0" w:color="D9969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cBorders>
      </w:tcPr>
    </w:tblStylePr>
    <w:tblStylePr w:type="band1Horz">
      <w:rPr>
        <w:rFonts w:ascii="Arial" w:hAnsi="Arial"/>
        <w:color w:val="404040"/>
        <w:sz w:val="22"/>
      </w:rPr>
      <w:tblPr/>
      <w:tcPr>
        <w:tcBorders>
          <w:top w:val="single" w:sz="4" w:space="0" w:color="E5B7B6"/>
          <w:left w:val="single" w:sz="4" w:space="0" w:color="E5B7B6"/>
          <w:bottom w:val="single" w:sz="4" w:space="0" w:color="E5B7B6"/>
          <w:right w:val="single" w:sz="4" w:space="0" w:color="E5B7B6"/>
        </w:tcBorders>
      </w:tcPr>
    </w:tblStylePr>
  </w:style>
  <w:style w:type="table" w:customStyle="1" w:styleId="Bordered-Accent3">
    <w:name w:val="Bordered - Accent 3"/>
    <w:basedOn w:val="a1"/>
    <w:uiPriority w:val="99"/>
    <w:rsid w:val="00074AE5"/>
    <w:tblPr>
      <w:tblStyleRowBandSize w:val="1"/>
      <w:tblStyleColBandSize w:val="1"/>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Pr>
    <w:tblStylePr w:type="firstRow">
      <w:rPr>
        <w:rFonts w:ascii="Arial" w:hAnsi="Arial"/>
        <w:color w:val="404040"/>
        <w:sz w:val="22"/>
      </w:rPr>
      <w:tblPr/>
      <w:tcPr>
        <w:tcBorders>
          <w:bottom w:val="single" w:sz="12" w:space="0" w:color="C3D69B"/>
        </w:tcBorders>
      </w:tcPr>
    </w:tblStylePr>
    <w:tblStylePr w:type="lastRow">
      <w:rPr>
        <w:rFonts w:ascii="Arial" w:hAnsi="Arial"/>
        <w:color w:val="404040"/>
        <w:sz w:val="22"/>
      </w:rPr>
      <w:tblPr/>
      <w:tcPr>
        <w:tcBorders>
          <w:top w:val="single" w:sz="12" w:space="0" w:color="C3D69B"/>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cBorders>
      </w:tcPr>
    </w:tblStylePr>
    <w:tblStylePr w:type="band1Horz">
      <w:rPr>
        <w:rFonts w:ascii="Arial" w:hAnsi="Arial"/>
        <w:color w:val="404040"/>
        <w:sz w:val="22"/>
      </w:rPr>
      <w:tblPr/>
      <w:tcPr>
        <w:tcBorders>
          <w:top w:val="single" w:sz="4" w:space="0" w:color="D6E3BB"/>
          <w:left w:val="single" w:sz="4" w:space="0" w:color="D6E3BB"/>
          <w:bottom w:val="single" w:sz="4" w:space="0" w:color="D6E3BB"/>
          <w:right w:val="single" w:sz="4" w:space="0" w:color="D6E3BB"/>
        </w:tcBorders>
      </w:tcPr>
    </w:tblStylePr>
  </w:style>
  <w:style w:type="table" w:customStyle="1" w:styleId="Bordered-Accent4">
    <w:name w:val="Bordered - Accent 4"/>
    <w:basedOn w:val="a1"/>
    <w:uiPriority w:val="99"/>
    <w:rsid w:val="00074AE5"/>
    <w:tblPr>
      <w:tblStyleRowBandSize w:val="1"/>
      <w:tblStyleColBandSize w:val="1"/>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Pr>
    <w:tblStylePr w:type="firstRow">
      <w:rPr>
        <w:rFonts w:ascii="Arial" w:hAnsi="Arial"/>
        <w:color w:val="404040"/>
        <w:sz w:val="22"/>
      </w:rPr>
      <w:tblPr/>
      <w:tcPr>
        <w:tcBorders>
          <w:bottom w:val="single" w:sz="12" w:space="0" w:color="B2A1C6"/>
        </w:tcBorders>
      </w:tcPr>
    </w:tblStylePr>
    <w:tblStylePr w:type="lastRow">
      <w:rPr>
        <w:rFonts w:ascii="Arial" w:hAnsi="Arial"/>
        <w:color w:val="404040"/>
        <w:sz w:val="22"/>
      </w:rPr>
      <w:tblPr/>
      <w:tcPr>
        <w:tcBorders>
          <w:top w:val="single" w:sz="12" w:space="0" w:color="B2A1C6"/>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cBorders>
      </w:tcPr>
    </w:tblStylePr>
    <w:tblStylePr w:type="band1Horz">
      <w:rPr>
        <w:rFonts w:ascii="Arial" w:hAnsi="Arial"/>
        <w:color w:val="404040"/>
        <w:sz w:val="22"/>
      </w:rPr>
      <w:tblPr/>
      <w:tcPr>
        <w:tcBorders>
          <w:top w:val="single" w:sz="4" w:space="0" w:color="CBC0D9"/>
          <w:left w:val="single" w:sz="4" w:space="0" w:color="CBC0D9"/>
          <w:bottom w:val="single" w:sz="4" w:space="0" w:color="CBC0D9"/>
          <w:right w:val="single" w:sz="4" w:space="0" w:color="CBC0D9"/>
        </w:tcBorders>
      </w:tcPr>
    </w:tblStylePr>
  </w:style>
  <w:style w:type="table" w:customStyle="1" w:styleId="Bordered-Accent5">
    <w:name w:val="Bordered - Accent 5"/>
    <w:basedOn w:val="a1"/>
    <w:uiPriority w:val="99"/>
    <w:rsid w:val="00074AE5"/>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Pr>
    <w:tblStylePr w:type="firstRow">
      <w:rPr>
        <w:rFonts w:ascii="Arial" w:hAnsi="Arial"/>
        <w:color w:val="404040"/>
        <w:sz w:val="22"/>
      </w:rPr>
      <w:tblPr/>
      <w:tcPr>
        <w:tcBorders>
          <w:bottom w:val="single" w:sz="12" w:space="0" w:color="92CCDC"/>
        </w:tcBorders>
      </w:tcPr>
    </w:tblStylePr>
    <w:tblStylePr w:type="lastRow">
      <w:rPr>
        <w:rFonts w:ascii="Arial" w:hAnsi="Arial"/>
        <w:color w:val="404040"/>
        <w:sz w:val="22"/>
      </w:rPr>
      <w:tblPr/>
      <w:tcPr>
        <w:tcBorders>
          <w:top w:val="single" w:sz="12" w:space="0" w:color="92CCDC"/>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cBorders>
      </w:tcPr>
    </w:tblStylePr>
    <w:tblStylePr w:type="band1Horz">
      <w:rPr>
        <w:rFonts w:ascii="Arial" w:hAnsi="Arial"/>
        <w:color w:val="404040"/>
        <w:sz w:val="22"/>
      </w:rPr>
      <w:tblPr/>
      <w:tcPr>
        <w:tcBorders>
          <w:top w:val="single" w:sz="4" w:space="0" w:color="B6DDE8"/>
          <w:left w:val="single" w:sz="4" w:space="0" w:color="B6DDE8"/>
          <w:bottom w:val="single" w:sz="4" w:space="0" w:color="B6DDE8"/>
          <w:right w:val="single" w:sz="4" w:space="0" w:color="B6DDE8"/>
        </w:tcBorders>
      </w:tcPr>
    </w:tblStylePr>
  </w:style>
  <w:style w:type="table" w:customStyle="1" w:styleId="Bordered-Accent6">
    <w:name w:val="Bordered - Accent 6"/>
    <w:basedOn w:val="a1"/>
    <w:uiPriority w:val="99"/>
    <w:rsid w:val="00074AE5"/>
    <w:tblPr>
      <w:tblStyleRowBandSize w:val="1"/>
      <w:tblStyleColBandSize w:val="1"/>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Pr>
    <w:tblStylePr w:type="firstRow">
      <w:rPr>
        <w:rFonts w:ascii="Arial" w:hAnsi="Arial"/>
        <w:color w:val="404040"/>
        <w:sz w:val="22"/>
      </w:rPr>
      <w:tblPr/>
      <w:tcPr>
        <w:tcBorders>
          <w:bottom w:val="single" w:sz="12" w:space="0" w:color="FAC090"/>
        </w:tcBorders>
      </w:tcPr>
    </w:tblStylePr>
    <w:tblStylePr w:type="lastRow">
      <w:rPr>
        <w:rFonts w:ascii="Arial" w:hAnsi="Arial"/>
        <w:color w:val="404040"/>
        <w:sz w:val="22"/>
      </w:rPr>
      <w:tblPr/>
      <w:tcPr>
        <w:tcBorders>
          <w:top w:val="single" w:sz="12" w:space="0" w:color="FAC09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cBorders>
      </w:tcPr>
    </w:tblStylePr>
    <w:tblStylePr w:type="band1Horz">
      <w:rPr>
        <w:rFonts w:ascii="Arial" w:hAnsi="Arial"/>
        <w:color w:val="404040"/>
        <w:sz w:val="22"/>
      </w:rPr>
      <w:tblPr/>
      <w:tcPr>
        <w:tcBorders>
          <w:top w:val="single" w:sz="4" w:space="0" w:color="FBD4B4"/>
          <w:left w:val="single" w:sz="4" w:space="0" w:color="FBD4B4"/>
          <w:bottom w:val="single" w:sz="4" w:space="0" w:color="FBD4B4"/>
          <w:right w:val="single" w:sz="4" w:space="0" w:color="FBD4B4"/>
        </w:tcBorders>
      </w:tcPr>
    </w:tblStylePr>
  </w:style>
  <w:style w:type="character" w:customStyle="1" w:styleId="Heading1Char">
    <w:name w:val="Heading 1 Char"/>
    <w:uiPriority w:val="9"/>
    <w:rsid w:val="00074AE5"/>
    <w:rPr>
      <w:rFonts w:ascii="Arial" w:eastAsia="Arial" w:hAnsi="Arial" w:cs="Arial"/>
      <w:color w:val="365F91"/>
      <w:sz w:val="40"/>
      <w:szCs w:val="40"/>
    </w:rPr>
  </w:style>
  <w:style w:type="character" w:customStyle="1" w:styleId="Heading2Char">
    <w:name w:val="Heading 2 Char"/>
    <w:uiPriority w:val="9"/>
    <w:rsid w:val="00074AE5"/>
    <w:rPr>
      <w:rFonts w:ascii="Arial" w:eastAsia="Arial" w:hAnsi="Arial" w:cs="Arial"/>
      <w:color w:val="365F91"/>
      <w:sz w:val="32"/>
      <w:szCs w:val="32"/>
    </w:rPr>
  </w:style>
  <w:style w:type="character" w:customStyle="1" w:styleId="Heading3Char">
    <w:name w:val="Heading 3 Char"/>
    <w:uiPriority w:val="9"/>
    <w:rsid w:val="00074AE5"/>
    <w:rPr>
      <w:rFonts w:ascii="Arial" w:eastAsia="Arial" w:hAnsi="Arial" w:cs="Arial"/>
      <w:color w:val="365F91"/>
      <w:sz w:val="28"/>
      <w:szCs w:val="28"/>
    </w:rPr>
  </w:style>
  <w:style w:type="character" w:customStyle="1" w:styleId="40">
    <w:name w:val="Заголовок 4 Знак"/>
    <w:link w:val="4"/>
    <w:uiPriority w:val="9"/>
    <w:rsid w:val="00074AE5"/>
    <w:rPr>
      <w:rFonts w:ascii="Arial" w:eastAsia="Arial" w:hAnsi="Arial" w:cs="Arial"/>
      <w:i/>
      <w:iCs/>
      <w:color w:val="365F91"/>
    </w:rPr>
  </w:style>
  <w:style w:type="character" w:customStyle="1" w:styleId="50">
    <w:name w:val="Заголовок 5 Знак"/>
    <w:link w:val="5"/>
    <w:uiPriority w:val="9"/>
    <w:rsid w:val="00074AE5"/>
    <w:rPr>
      <w:rFonts w:ascii="Arial" w:eastAsia="Arial" w:hAnsi="Arial" w:cs="Arial"/>
      <w:color w:val="365F91"/>
    </w:rPr>
  </w:style>
  <w:style w:type="character" w:customStyle="1" w:styleId="60">
    <w:name w:val="Заголовок 6 Знак"/>
    <w:link w:val="6"/>
    <w:uiPriority w:val="9"/>
    <w:rsid w:val="00074AE5"/>
    <w:rPr>
      <w:rFonts w:ascii="Arial" w:eastAsia="Arial" w:hAnsi="Arial" w:cs="Arial"/>
      <w:i/>
      <w:iCs/>
      <w:color w:val="595959"/>
    </w:rPr>
  </w:style>
  <w:style w:type="character" w:customStyle="1" w:styleId="70">
    <w:name w:val="Заголовок 7 Знак"/>
    <w:link w:val="7"/>
    <w:uiPriority w:val="9"/>
    <w:rsid w:val="00074AE5"/>
    <w:rPr>
      <w:rFonts w:ascii="Arial" w:eastAsia="Arial" w:hAnsi="Arial" w:cs="Arial"/>
      <w:color w:val="595959"/>
    </w:rPr>
  </w:style>
  <w:style w:type="character" w:customStyle="1" w:styleId="80">
    <w:name w:val="Заголовок 8 Знак"/>
    <w:link w:val="8"/>
    <w:uiPriority w:val="9"/>
    <w:rsid w:val="00074AE5"/>
    <w:rPr>
      <w:rFonts w:ascii="Arial" w:eastAsia="Arial" w:hAnsi="Arial" w:cs="Arial"/>
      <w:i/>
      <w:iCs/>
      <w:color w:val="272727"/>
    </w:rPr>
  </w:style>
  <w:style w:type="character" w:customStyle="1" w:styleId="90">
    <w:name w:val="Заголовок 9 Знак"/>
    <w:link w:val="9"/>
    <w:uiPriority w:val="9"/>
    <w:rsid w:val="00074AE5"/>
    <w:rPr>
      <w:rFonts w:ascii="Arial" w:eastAsia="Arial" w:hAnsi="Arial" w:cs="Arial"/>
      <w:i/>
      <w:iCs/>
      <w:color w:val="272727"/>
    </w:rPr>
  </w:style>
  <w:style w:type="paragraph" w:styleId="a3">
    <w:name w:val="Title"/>
    <w:basedOn w:val="a"/>
    <w:next w:val="a"/>
    <w:link w:val="a4"/>
    <w:uiPriority w:val="10"/>
    <w:qFormat/>
    <w:rsid w:val="00074AE5"/>
    <w:pPr>
      <w:spacing w:after="80" w:line="240" w:lineRule="auto"/>
      <w:contextualSpacing/>
    </w:pPr>
    <w:rPr>
      <w:rFonts w:ascii="Arial" w:eastAsia="Arial" w:hAnsi="Arial"/>
      <w:spacing w:val="-10"/>
      <w:sz w:val="56"/>
      <w:szCs w:val="56"/>
    </w:rPr>
  </w:style>
  <w:style w:type="character" w:customStyle="1" w:styleId="a4">
    <w:name w:val="Название Знак"/>
    <w:link w:val="a3"/>
    <w:uiPriority w:val="10"/>
    <w:rsid w:val="00074AE5"/>
    <w:rPr>
      <w:rFonts w:ascii="Arial" w:eastAsia="Arial" w:hAnsi="Arial" w:cs="Arial"/>
      <w:spacing w:val="-10"/>
      <w:sz w:val="56"/>
      <w:szCs w:val="56"/>
    </w:rPr>
  </w:style>
  <w:style w:type="character" w:customStyle="1" w:styleId="SubtitleChar">
    <w:name w:val="Subtitle Char"/>
    <w:uiPriority w:val="11"/>
    <w:rsid w:val="00074AE5"/>
    <w:rPr>
      <w:color w:val="595959"/>
      <w:spacing w:val="15"/>
      <w:sz w:val="28"/>
      <w:szCs w:val="28"/>
    </w:rPr>
  </w:style>
  <w:style w:type="paragraph" w:styleId="22">
    <w:name w:val="Quote"/>
    <w:basedOn w:val="a"/>
    <w:next w:val="a"/>
    <w:link w:val="23"/>
    <w:uiPriority w:val="29"/>
    <w:qFormat/>
    <w:rsid w:val="00074AE5"/>
    <w:pPr>
      <w:spacing w:before="160"/>
      <w:jc w:val="center"/>
    </w:pPr>
    <w:rPr>
      <w:i/>
      <w:iCs/>
      <w:color w:val="404040"/>
      <w:sz w:val="20"/>
      <w:szCs w:val="20"/>
    </w:rPr>
  </w:style>
  <w:style w:type="character" w:customStyle="1" w:styleId="23">
    <w:name w:val="Цитата 2 Знак"/>
    <w:link w:val="22"/>
    <w:uiPriority w:val="29"/>
    <w:rsid w:val="00074AE5"/>
    <w:rPr>
      <w:i/>
      <w:iCs/>
      <w:color w:val="404040"/>
    </w:rPr>
  </w:style>
  <w:style w:type="character" w:styleId="a5">
    <w:name w:val="Intense Emphasis"/>
    <w:uiPriority w:val="21"/>
    <w:qFormat/>
    <w:rsid w:val="00074AE5"/>
    <w:rPr>
      <w:i/>
      <w:iCs/>
      <w:color w:val="365F91"/>
    </w:rPr>
  </w:style>
  <w:style w:type="paragraph" w:styleId="a6">
    <w:name w:val="Intense Quote"/>
    <w:basedOn w:val="a"/>
    <w:next w:val="a"/>
    <w:link w:val="a7"/>
    <w:uiPriority w:val="30"/>
    <w:qFormat/>
    <w:rsid w:val="00074AE5"/>
    <w:pPr>
      <w:pBdr>
        <w:top w:val="single" w:sz="4" w:space="10" w:color="365F91"/>
        <w:bottom w:val="single" w:sz="4" w:space="10" w:color="365F91"/>
      </w:pBdr>
      <w:spacing w:before="360" w:after="360"/>
      <w:ind w:left="864" w:right="864"/>
      <w:jc w:val="center"/>
    </w:pPr>
    <w:rPr>
      <w:i/>
      <w:iCs/>
      <w:color w:val="365F91"/>
      <w:sz w:val="20"/>
      <w:szCs w:val="20"/>
    </w:rPr>
  </w:style>
  <w:style w:type="character" w:customStyle="1" w:styleId="a7">
    <w:name w:val="Выделенная цитата Знак"/>
    <w:link w:val="a6"/>
    <w:uiPriority w:val="30"/>
    <w:rsid w:val="00074AE5"/>
    <w:rPr>
      <w:i/>
      <w:iCs/>
      <w:color w:val="365F91"/>
    </w:rPr>
  </w:style>
  <w:style w:type="character" w:styleId="a8">
    <w:name w:val="Intense Reference"/>
    <w:uiPriority w:val="32"/>
    <w:qFormat/>
    <w:rsid w:val="00074AE5"/>
    <w:rPr>
      <w:b/>
      <w:bCs/>
      <w:smallCaps/>
      <w:color w:val="365F91"/>
      <w:spacing w:val="5"/>
    </w:rPr>
  </w:style>
  <w:style w:type="character" w:styleId="a9">
    <w:name w:val="Subtle Emphasis"/>
    <w:uiPriority w:val="19"/>
    <w:qFormat/>
    <w:rsid w:val="00074AE5"/>
    <w:rPr>
      <w:i/>
      <w:iCs/>
      <w:color w:val="404040"/>
    </w:rPr>
  </w:style>
  <w:style w:type="character" w:styleId="aa">
    <w:name w:val="Emphasis"/>
    <w:uiPriority w:val="20"/>
    <w:qFormat/>
    <w:rsid w:val="00074AE5"/>
    <w:rPr>
      <w:i/>
      <w:iCs/>
    </w:rPr>
  </w:style>
  <w:style w:type="character" w:styleId="ab">
    <w:name w:val="Strong"/>
    <w:uiPriority w:val="22"/>
    <w:qFormat/>
    <w:rsid w:val="00074AE5"/>
    <w:rPr>
      <w:b/>
      <w:bCs/>
    </w:rPr>
  </w:style>
  <w:style w:type="character" w:styleId="ac">
    <w:name w:val="Subtle Reference"/>
    <w:uiPriority w:val="31"/>
    <w:qFormat/>
    <w:rsid w:val="00074AE5"/>
    <w:rPr>
      <w:smallCaps/>
      <w:color w:val="5A5A5A"/>
    </w:rPr>
  </w:style>
  <w:style w:type="character" w:styleId="ad">
    <w:name w:val="Book Title"/>
    <w:uiPriority w:val="33"/>
    <w:qFormat/>
    <w:rsid w:val="00074AE5"/>
    <w:rPr>
      <w:b/>
      <w:bCs/>
      <w:i/>
      <w:iCs/>
      <w:spacing w:val="5"/>
    </w:rPr>
  </w:style>
  <w:style w:type="character" w:customStyle="1" w:styleId="HeaderChar">
    <w:name w:val="Header Char"/>
    <w:basedOn w:val="a0"/>
    <w:uiPriority w:val="99"/>
    <w:rsid w:val="00074AE5"/>
  </w:style>
  <w:style w:type="character" w:customStyle="1" w:styleId="FooterChar">
    <w:name w:val="Footer Char"/>
    <w:basedOn w:val="a0"/>
    <w:uiPriority w:val="99"/>
    <w:rsid w:val="00074AE5"/>
  </w:style>
  <w:style w:type="character" w:customStyle="1" w:styleId="FootnoteTextChar">
    <w:name w:val="Footnote Text Char"/>
    <w:uiPriority w:val="99"/>
    <w:semiHidden/>
    <w:rsid w:val="00074AE5"/>
    <w:rPr>
      <w:sz w:val="20"/>
      <w:szCs w:val="20"/>
    </w:rPr>
  </w:style>
  <w:style w:type="paragraph" w:styleId="ae">
    <w:name w:val="endnote text"/>
    <w:basedOn w:val="a"/>
    <w:link w:val="af"/>
    <w:uiPriority w:val="99"/>
    <w:semiHidden/>
    <w:unhideWhenUsed/>
    <w:rsid w:val="00074AE5"/>
    <w:pPr>
      <w:spacing w:after="0" w:line="240" w:lineRule="auto"/>
    </w:pPr>
    <w:rPr>
      <w:sz w:val="20"/>
      <w:szCs w:val="20"/>
    </w:rPr>
  </w:style>
  <w:style w:type="character" w:customStyle="1" w:styleId="af">
    <w:name w:val="Текст концевой сноски Знак"/>
    <w:link w:val="ae"/>
    <w:uiPriority w:val="99"/>
    <w:semiHidden/>
    <w:rsid w:val="00074AE5"/>
    <w:rPr>
      <w:sz w:val="20"/>
      <w:szCs w:val="20"/>
    </w:rPr>
  </w:style>
  <w:style w:type="character" w:styleId="af0">
    <w:name w:val="endnote reference"/>
    <w:uiPriority w:val="99"/>
    <w:semiHidden/>
    <w:unhideWhenUsed/>
    <w:rsid w:val="00074AE5"/>
    <w:rPr>
      <w:vertAlign w:val="superscript"/>
    </w:rPr>
  </w:style>
  <w:style w:type="paragraph" w:styleId="af1">
    <w:name w:val="table of figures"/>
    <w:basedOn w:val="a"/>
    <w:next w:val="a"/>
    <w:uiPriority w:val="99"/>
    <w:unhideWhenUsed/>
    <w:rsid w:val="00074AE5"/>
    <w:pPr>
      <w:spacing w:after="0"/>
    </w:pPr>
  </w:style>
  <w:style w:type="table" w:styleId="af2">
    <w:name w:val="Table Grid"/>
    <w:basedOn w:val="a1"/>
    <w:uiPriority w:val="39"/>
    <w:rsid w:val="00074AE5"/>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3">
    <w:name w:val="Balloon Text"/>
    <w:basedOn w:val="a"/>
    <w:link w:val="af4"/>
    <w:uiPriority w:val="99"/>
    <w:semiHidden/>
    <w:unhideWhenUsed/>
    <w:rsid w:val="00074AE5"/>
    <w:pPr>
      <w:spacing w:after="0" w:line="240" w:lineRule="auto"/>
    </w:pPr>
    <w:rPr>
      <w:rFonts w:ascii="Tahoma" w:hAnsi="Tahoma"/>
      <w:sz w:val="16"/>
      <w:szCs w:val="16"/>
    </w:rPr>
  </w:style>
  <w:style w:type="character" w:customStyle="1" w:styleId="af4">
    <w:name w:val="Текст выноски Знак"/>
    <w:link w:val="af3"/>
    <w:uiPriority w:val="99"/>
    <w:semiHidden/>
    <w:rsid w:val="00074AE5"/>
    <w:rPr>
      <w:rFonts w:ascii="Tahoma" w:hAnsi="Tahoma" w:cs="Tahoma"/>
      <w:sz w:val="16"/>
      <w:szCs w:val="16"/>
    </w:rPr>
  </w:style>
  <w:style w:type="paragraph" w:customStyle="1" w:styleId="ConsPlusNormal">
    <w:name w:val="ConsPlusNormal"/>
    <w:rsid w:val="00074AE5"/>
    <w:pPr>
      <w:widowControl w:val="0"/>
    </w:pPr>
    <w:rPr>
      <w:rFonts w:ascii="Arial Unicode MS" w:eastAsia="Times New Roman" w:hAnsi="Arial Unicode MS" w:cs="Arial Unicode MS"/>
      <w:sz w:val="24"/>
    </w:rPr>
  </w:style>
  <w:style w:type="paragraph" w:styleId="af5">
    <w:name w:val="List Paragraph"/>
    <w:basedOn w:val="a"/>
    <w:link w:val="af6"/>
    <w:uiPriority w:val="34"/>
    <w:qFormat/>
    <w:rsid w:val="00074AE5"/>
    <w:pPr>
      <w:ind w:left="720"/>
      <w:contextualSpacing/>
    </w:pPr>
  </w:style>
  <w:style w:type="paragraph" w:styleId="af7">
    <w:name w:val="footnote text"/>
    <w:basedOn w:val="a"/>
    <w:link w:val="af8"/>
    <w:uiPriority w:val="99"/>
    <w:semiHidden/>
    <w:unhideWhenUsed/>
    <w:rsid w:val="00074AE5"/>
    <w:pPr>
      <w:spacing w:after="0" w:line="240" w:lineRule="auto"/>
    </w:pPr>
    <w:rPr>
      <w:sz w:val="20"/>
      <w:szCs w:val="20"/>
    </w:rPr>
  </w:style>
  <w:style w:type="character" w:customStyle="1" w:styleId="af8">
    <w:name w:val="Текст сноски Знак"/>
    <w:link w:val="af7"/>
    <w:uiPriority w:val="99"/>
    <w:semiHidden/>
    <w:rsid w:val="00074AE5"/>
    <w:rPr>
      <w:sz w:val="20"/>
      <w:szCs w:val="20"/>
    </w:rPr>
  </w:style>
  <w:style w:type="character" w:styleId="af9">
    <w:name w:val="footnote reference"/>
    <w:uiPriority w:val="99"/>
    <w:rsid w:val="00074AE5"/>
    <w:rPr>
      <w:vertAlign w:val="superscript"/>
    </w:rPr>
  </w:style>
  <w:style w:type="character" w:customStyle="1" w:styleId="20">
    <w:name w:val="Заголовок 2 Знак"/>
    <w:link w:val="2"/>
    <w:uiPriority w:val="9"/>
    <w:rsid w:val="00074AE5"/>
    <w:rPr>
      <w:rFonts w:ascii="Cambria" w:eastAsia="Arial" w:hAnsi="Cambria" w:cs="Times New Roman"/>
      <w:b/>
      <w:bCs/>
      <w:color w:val="4F81BD"/>
      <w:sz w:val="26"/>
      <w:szCs w:val="26"/>
    </w:rPr>
  </w:style>
  <w:style w:type="paragraph" w:customStyle="1" w:styleId="afa">
    <w:name w:val="Сокращения и обозначения"/>
    <w:basedOn w:val="a"/>
    <w:qFormat/>
    <w:rsid w:val="00074AE5"/>
    <w:pPr>
      <w:spacing w:after="0" w:line="360" w:lineRule="auto"/>
      <w:jc w:val="both"/>
    </w:pPr>
    <w:rPr>
      <w:rFonts w:ascii="Times New Roman" w:eastAsia="Times New Roman" w:hAnsi="Times New Roman"/>
      <w:sz w:val="24"/>
      <w:szCs w:val="24"/>
      <w:lang w:eastAsia="ru-RU"/>
    </w:rPr>
  </w:style>
  <w:style w:type="paragraph" w:customStyle="1" w:styleId="afb">
    <w:name w:val="Термины и определения"/>
    <w:basedOn w:val="a"/>
    <w:qFormat/>
    <w:rsid w:val="00074AE5"/>
    <w:pPr>
      <w:spacing w:after="240" w:line="360" w:lineRule="auto"/>
      <w:jc w:val="both"/>
    </w:pPr>
    <w:rPr>
      <w:rFonts w:ascii="Times New Roman" w:eastAsia="Times New Roman" w:hAnsi="Times New Roman"/>
      <w:sz w:val="24"/>
      <w:szCs w:val="24"/>
      <w:lang w:eastAsia="ru-RU"/>
    </w:rPr>
  </w:style>
  <w:style w:type="character" w:styleId="afc">
    <w:name w:val="Hyperlink"/>
    <w:uiPriority w:val="99"/>
    <w:unhideWhenUsed/>
    <w:rsid w:val="00074AE5"/>
    <w:rPr>
      <w:color w:val="0000FF"/>
      <w:u w:val="single"/>
    </w:rPr>
  </w:style>
  <w:style w:type="character" w:styleId="afd">
    <w:name w:val="FollowedHyperlink"/>
    <w:uiPriority w:val="99"/>
    <w:semiHidden/>
    <w:unhideWhenUsed/>
    <w:rsid w:val="00074AE5"/>
    <w:rPr>
      <w:color w:val="800080"/>
      <w:u w:val="single"/>
    </w:rPr>
  </w:style>
  <w:style w:type="paragraph" w:styleId="afe">
    <w:name w:val="header"/>
    <w:basedOn w:val="a"/>
    <w:link w:val="aff"/>
    <w:uiPriority w:val="99"/>
    <w:unhideWhenUsed/>
    <w:rsid w:val="00074AE5"/>
    <w:pPr>
      <w:tabs>
        <w:tab w:val="center" w:pos="4677"/>
        <w:tab w:val="right" w:pos="9355"/>
      </w:tabs>
      <w:spacing w:after="0" w:line="240" w:lineRule="auto"/>
    </w:pPr>
  </w:style>
  <w:style w:type="character" w:customStyle="1" w:styleId="aff">
    <w:name w:val="Верхний колонтитул Знак"/>
    <w:basedOn w:val="a0"/>
    <w:link w:val="afe"/>
    <w:uiPriority w:val="99"/>
    <w:rsid w:val="00074AE5"/>
  </w:style>
  <w:style w:type="paragraph" w:styleId="aff0">
    <w:name w:val="footer"/>
    <w:basedOn w:val="a"/>
    <w:link w:val="aff1"/>
    <w:uiPriority w:val="99"/>
    <w:unhideWhenUsed/>
    <w:rsid w:val="00074AE5"/>
    <w:pPr>
      <w:tabs>
        <w:tab w:val="center" w:pos="4677"/>
        <w:tab w:val="right" w:pos="9355"/>
      </w:tabs>
      <w:spacing w:after="0" w:line="240" w:lineRule="auto"/>
    </w:pPr>
  </w:style>
  <w:style w:type="character" w:customStyle="1" w:styleId="aff1">
    <w:name w:val="Нижний колонтитул Знак"/>
    <w:basedOn w:val="a0"/>
    <w:link w:val="aff0"/>
    <w:uiPriority w:val="99"/>
    <w:rsid w:val="00074AE5"/>
  </w:style>
  <w:style w:type="character" w:styleId="aff2">
    <w:name w:val="Placeholder Text"/>
    <w:uiPriority w:val="99"/>
    <w:semiHidden/>
    <w:rsid w:val="00074AE5"/>
    <w:rPr>
      <w:color w:val="808080"/>
    </w:rPr>
  </w:style>
  <w:style w:type="character" w:styleId="aff3">
    <w:name w:val="annotation reference"/>
    <w:uiPriority w:val="99"/>
    <w:semiHidden/>
    <w:unhideWhenUsed/>
    <w:rsid w:val="00074AE5"/>
    <w:rPr>
      <w:sz w:val="16"/>
      <w:szCs w:val="16"/>
    </w:rPr>
  </w:style>
  <w:style w:type="paragraph" w:styleId="aff4">
    <w:name w:val="annotation text"/>
    <w:basedOn w:val="a"/>
    <w:link w:val="aff5"/>
    <w:uiPriority w:val="99"/>
    <w:semiHidden/>
    <w:unhideWhenUsed/>
    <w:rsid w:val="00074AE5"/>
    <w:pPr>
      <w:spacing w:after="0" w:line="240" w:lineRule="auto"/>
    </w:pPr>
    <w:rPr>
      <w:rFonts w:ascii="Times New Roman" w:eastAsia="Times New Roman" w:hAnsi="Times New Roman"/>
      <w:sz w:val="20"/>
      <w:szCs w:val="20"/>
      <w:lang w:eastAsia="ru-RU"/>
    </w:rPr>
  </w:style>
  <w:style w:type="character" w:customStyle="1" w:styleId="aff5">
    <w:name w:val="Текст примечания Знак"/>
    <w:link w:val="aff4"/>
    <w:uiPriority w:val="99"/>
    <w:semiHidden/>
    <w:rsid w:val="00074AE5"/>
    <w:rPr>
      <w:rFonts w:ascii="Times New Roman" w:eastAsia="Times New Roman" w:hAnsi="Times New Roman" w:cs="Times New Roman"/>
      <w:sz w:val="20"/>
      <w:szCs w:val="20"/>
      <w:lang w:eastAsia="ru-RU"/>
    </w:rPr>
  </w:style>
  <w:style w:type="character" w:customStyle="1" w:styleId="10">
    <w:name w:val="Заголовок 1 Знак"/>
    <w:link w:val="1"/>
    <w:uiPriority w:val="9"/>
    <w:rsid w:val="00074AE5"/>
    <w:rPr>
      <w:rFonts w:ascii="Cambria" w:eastAsia="Arial" w:hAnsi="Cambria" w:cs="Times New Roman"/>
      <w:b/>
      <w:bCs/>
      <w:color w:val="365F91"/>
      <w:sz w:val="28"/>
      <w:szCs w:val="28"/>
    </w:rPr>
  </w:style>
  <w:style w:type="paragraph" w:styleId="aff6">
    <w:name w:val="TOC Heading"/>
    <w:basedOn w:val="1"/>
    <w:next w:val="a"/>
    <w:uiPriority w:val="39"/>
    <w:semiHidden/>
    <w:unhideWhenUsed/>
    <w:qFormat/>
    <w:rsid w:val="00074AE5"/>
    <w:pPr>
      <w:outlineLvl w:val="9"/>
    </w:pPr>
    <w:rPr>
      <w:lang w:eastAsia="ru-RU"/>
    </w:rPr>
  </w:style>
  <w:style w:type="paragraph" w:styleId="12">
    <w:name w:val="toc 1"/>
    <w:basedOn w:val="a"/>
    <w:next w:val="a"/>
    <w:uiPriority w:val="39"/>
    <w:unhideWhenUsed/>
    <w:rsid w:val="00074AE5"/>
    <w:pPr>
      <w:spacing w:after="100"/>
    </w:pPr>
  </w:style>
  <w:style w:type="paragraph" w:styleId="aff7">
    <w:name w:val="Subtitle"/>
    <w:basedOn w:val="a"/>
    <w:next w:val="a"/>
    <w:link w:val="aff8"/>
    <w:uiPriority w:val="11"/>
    <w:qFormat/>
    <w:rsid w:val="00074AE5"/>
    <w:pPr>
      <w:numPr>
        <w:ilvl w:val="1"/>
      </w:numPr>
    </w:pPr>
    <w:rPr>
      <w:rFonts w:ascii="Cambria" w:eastAsia="Arial" w:hAnsi="Cambria"/>
      <w:i/>
      <w:iCs/>
      <w:color w:val="4F81BD"/>
      <w:spacing w:val="15"/>
      <w:sz w:val="24"/>
      <w:szCs w:val="24"/>
    </w:rPr>
  </w:style>
  <w:style w:type="character" w:customStyle="1" w:styleId="aff8">
    <w:name w:val="Подзаголовок Знак"/>
    <w:link w:val="aff7"/>
    <w:uiPriority w:val="11"/>
    <w:rsid w:val="00074AE5"/>
    <w:rPr>
      <w:rFonts w:ascii="Cambria" w:eastAsia="Arial" w:hAnsi="Cambria" w:cs="Times New Roman"/>
      <w:i/>
      <w:iCs/>
      <w:color w:val="4F81BD"/>
      <w:spacing w:val="15"/>
      <w:sz w:val="24"/>
      <w:szCs w:val="24"/>
    </w:rPr>
  </w:style>
  <w:style w:type="character" w:customStyle="1" w:styleId="13">
    <w:name w:val="Неразрешенное упоминание1"/>
    <w:uiPriority w:val="99"/>
    <w:semiHidden/>
    <w:unhideWhenUsed/>
    <w:rsid w:val="00074AE5"/>
    <w:rPr>
      <w:color w:val="605E5C"/>
      <w:shd w:val="clear" w:color="auto" w:fill="E1DFDD"/>
    </w:rPr>
  </w:style>
  <w:style w:type="paragraph" w:styleId="24">
    <w:name w:val="toc 2"/>
    <w:basedOn w:val="a"/>
    <w:next w:val="a"/>
    <w:uiPriority w:val="39"/>
    <w:unhideWhenUsed/>
    <w:rsid w:val="00074AE5"/>
    <w:pPr>
      <w:spacing w:after="100"/>
      <w:ind w:left="220"/>
    </w:pPr>
  </w:style>
  <w:style w:type="paragraph" w:styleId="32">
    <w:name w:val="toc 3"/>
    <w:basedOn w:val="a"/>
    <w:next w:val="a"/>
    <w:uiPriority w:val="39"/>
    <w:unhideWhenUsed/>
    <w:rsid w:val="00074AE5"/>
    <w:pPr>
      <w:spacing w:after="100"/>
      <w:ind w:left="440"/>
    </w:pPr>
  </w:style>
  <w:style w:type="character" w:customStyle="1" w:styleId="normaltextrun">
    <w:name w:val="normaltextrun"/>
    <w:basedOn w:val="a0"/>
    <w:rsid w:val="00074AE5"/>
  </w:style>
  <w:style w:type="character" w:customStyle="1" w:styleId="25">
    <w:name w:val="Неразрешенное упоминание2"/>
    <w:uiPriority w:val="99"/>
    <w:semiHidden/>
    <w:unhideWhenUsed/>
    <w:rsid w:val="00074AE5"/>
    <w:rPr>
      <w:color w:val="605E5C"/>
      <w:shd w:val="clear" w:color="auto" w:fill="E1DFDD"/>
    </w:rPr>
  </w:style>
  <w:style w:type="paragraph" w:customStyle="1" w:styleId="paragraph">
    <w:name w:val="paragraph"/>
    <w:basedOn w:val="a"/>
    <w:rsid w:val="00074AE5"/>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eop">
    <w:name w:val="eop"/>
    <w:basedOn w:val="a0"/>
    <w:rsid w:val="00074AE5"/>
  </w:style>
  <w:style w:type="paragraph" w:styleId="aff9">
    <w:name w:val="caption"/>
    <w:basedOn w:val="a"/>
    <w:next w:val="a"/>
    <w:uiPriority w:val="35"/>
    <w:unhideWhenUsed/>
    <w:qFormat/>
    <w:rsid w:val="00074AE5"/>
    <w:pPr>
      <w:spacing w:line="240" w:lineRule="auto"/>
    </w:pPr>
    <w:rPr>
      <w:i/>
      <w:iCs/>
      <w:color w:val="1F497D"/>
      <w:sz w:val="18"/>
      <w:szCs w:val="18"/>
    </w:rPr>
  </w:style>
  <w:style w:type="character" w:customStyle="1" w:styleId="superscript">
    <w:name w:val="superscript"/>
    <w:basedOn w:val="a0"/>
    <w:rsid w:val="00074AE5"/>
  </w:style>
  <w:style w:type="paragraph" w:styleId="affa">
    <w:name w:val="Normal (Web)"/>
    <w:basedOn w:val="a"/>
    <w:uiPriority w:val="99"/>
    <w:unhideWhenUsed/>
    <w:rsid w:val="00074AE5"/>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tgc">
    <w:name w:val="_tgc"/>
    <w:rsid w:val="00074AE5"/>
    <w:rPr>
      <w:lang w:val="ru-RU"/>
    </w:rPr>
  </w:style>
  <w:style w:type="character" w:customStyle="1" w:styleId="30">
    <w:name w:val="Заголовок 3 Знак"/>
    <w:link w:val="3"/>
    <w:uiPriority w:val="9"/>
    <w:rsid w:val="00074AE5"/>
    <w:rPr>
      <w:rFonts w:ascii="Cambria" w:eastAsia="Arial" w:hAnsi="Cambria" w:cs="Times New Roman"/>
      <w:color w:val="243F60"/>
      <w:sz w:val="24"/>
      <w:szCs w:val="24"/>
    </w:rPr>
  </w:style>
  <w:style w:type="paragraph" w:styleId="affb">
    <w:name w:val="No Spacing"/>
    <w:uiPriority w:val="1"/>
    <w:qFormat/>
    <w:rsid w:val="00074AE5"/>
    <w:pPr>
      <w:ind w:firstLine="709"/>
      <w:contextualSpacing/>
      <w:jc w:val="both"/>
    </w:pPr>
    <w:rPr>
      <w:rFonts w:ascii="Times New Roman" w:hAnsi="Times New Roman"/>
      <w:sz w:val="24"/>
      <w:szCs w:val="24"/>
      <w:lang w:eastAsia="en-US"/>
    </w:rPr>
  </w:style>
  <w:style w:type="character" w:customStyle="1" w:styleId="af6">
    <w:name w:val="Абзац списка Знак"/>
    <w:link w:val="af5"/>
    <w:uiPriority w:val="34"/>
    <w:rsid w:val="00074AE5"/>
  </w:style>
  <w:style w:type="character" w:customStyle="1" w:styleId="findhit">
    <w:name w:val="findhit"/>
    <w:basedOn w:val="a0"/>
    <w:rsid w:val="00074AE5"/>
  </w:style>
  <w:style w:type="character" w:customStyle="1" w:styleId="scxw11496387">
    <w:name w:val="scxw11496387"/>
    <w:basedOn w:val="a0"/>
    <w:rsid w:val="00074AE5"/>
  </w:style>
  <w:style w:type="table" w:customStyle="1" w:styleId="14">
    <w:name w:val="Сетка таблицы1"/>
    <w:basedOn w:val="a1"/>
    <w:next w:val="af2"/>
    <w:uiPriority w:val="39"/>
    <w:rsid w:val="00074AE5"/>
    <w:rPr>
      <w:rFonts w:eastAsia="MS Minch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6">
    <w:name w:val="Сетка таблицы2"/>
    <w:basedOn w:val="a1"/>
    <w:next w:val="af2"/>
    <w:uiPriority w:val="39"/>
    <w:rsid w:val="00074AE5"/>
    <w:rPr>
      <w:rFonts w:eastAsia="MS Minch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3">
    <w:name w:val="Сетка таблицы3"/>
    <w:basedOn w:val="a1"/>
    <w:next w:val="af2"/>
    <w:uiPriority w:val="39"/>
    <w:rsid w:val="00074AE5"/>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2">
    <w:name w:val="Сетка таблицы4"/>
    <w:basedOn w:val="a1"/>
    <w:next w:val="af2"/>
    <w:uiPriority w:val="39"/>
    <w:rsid w:val="00074AE5"/>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2">
    <w:name w:val="Сетка таблицы5"/>
    <w:basedOn w:val="a1"/>
    <w:next w:val="af2"/>
    <w:uiPriority w:val="39"/>
    <w:rsid w:val="00074AE5"/>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nsPlusTitle">
    <w:name w:val="ConsPlusTitle"/>
    <w:rsid w:val="00074AE5"/>
    <w:pPr>
      <w:widowControl w:val="0"/>
    </w:pPr>
    <w:rPr>
      <w:rFonts w:ascii="Times New Roman" w:eastAsia="Arial" w:hAnsi="Times New Roman"/>
      <w:b/>
      <w:sz w:val="28"/>
      <w:szCs w:val="22"/>
    </w:rPr>
  </w:style>
  <w:style w:type="paragraph" w:styleId="affc">
    <w:name w:val="annotation subject"/>
    <w:basedOn w:val="aff4"/>
    <w:next w:val="aff4"/>
    <w:link w:val="affd"/>
    <w:uiPriority w:val="99"/>
    <w:semiHidden/>
    <w:unhideWhenUsed/>
    <w:rsid w:val="00074AE5"/>
    <w:pPr>
      <w:spacing w:after="160"/>
    </w:pPr>
    <w:rPr>
      <w:b/>
      <w:bCs/>
    </w:rPr>
  </w:style>
  <w:style w:type="character" w:customStyle="1" w:styleId="affd">
    <w:name w:val="Тема примечания Знак"/>
    <w:link w:val="affc"/>
    <w:uiPriority w:val="99"/>
    <w:semiHidden/>
    <w:rsid w:val="00074AE5"/>
    <w:rPr>
      <w:rFonts w:ascii="Times New Roman" w:eastAsia="Times New Roman" w:hAnsi="Times New Roman" w:cs="Times New Roman"/>
      <w:b/>
      <w:bCs/>
      <w:sz w:val="20"/>
      <w:szCs w:val="20"/>
      <w:lang w:eastAsia="ru-RU"/>
    </w:rPr>
  </w:style>
  <w:style w:type="paragraph" w:styleId="43">
    <w:name w:val="toc 4"/>
    <w:basedOn w:val="a"/>
    <w:next w:val="a"/>
    <w:uiPriority w:val="39"/>
    <w:unhideWhenUsed/>
    <w:rsid w:val="00074AE5"/>
    <w:pPr>
      <w:spacing w:after="100" w:line="259" w:lineRule="auto"/>
      <w:ind w:left="660"/>
    </w:pPr>
    <w:rPr>
      <w:rFonts w:eastAsia="Arial"/>
      <w:lang w:eastAsia="ru-RU"/>
    </w:rPr>
  </w:style>
  <w:style w:type="paragraph" w:styleId="53">
    <w:name w:val="toc 5"/>
    <w:basedOn w:val="a"/>
    <w:next w:val="a"/>
    <w:uiPriority w:val="39"/>
    <w:unhideWhenUsed/>
    <w:rsid w:val="00074AE5"/>
    <w:pPr>
      <w:spacing w:after="100" w:line="259" w:lineRule="auto"/>
      <w:ind w:left="880"/>
    </w:pPr>
    <w:rPr>
      <w:rFonts w:eastAsia="Arial"/>
      <w:lang w:eastAsia="ru-RU"/>
    </w:rPr>
  </w:style>
  <w:style w:type="paragraph" w:styleId="61">
    <w:name w:val="toc 6"/>
    <w:basedOn w:val="a"/>
    <w:next w:val="a"/>
    <w:uiPriority w:val="39"/>
    <w:unhideWhenUsed/>
    <w:rsid w:val="00074AE5"/>
    <w:pPr>
      <w:spacing w:after="100" w:line="259" w:lineRule="auto"/>
      <w:ind w:left="1100"/>
    </w:pPr>
    <w:rPr>
      <w:rFonts w:eastAsia="Arial"/>
      <w:lang w:eastAsia="ru-RU"/>
    </w:rPr>
  </w:style>
  <w:style w:type="paragraph" w:styleId="71">
    <w:name w:val="toc 7"/>
    <w:basedOn w:val="a"/>
    <w:next w:val="a"/>
    <w:uiPriority w:val="39"/>
    <w:unhideWhenUsed/>
    <w:rsid w:val="00074AE5"/>
    <w:pPr>
      <w:spacing w:after="100" w:line="259" w:lineRule="auto"/>
      <w:ind w:left="1320"/>
    </w:pPr>
    <w:rPr>
      <w:rFonts w:eastAsia="Arial"/>
      <w:lang w:eastAsia="ru-RU"/>
    </w:rPr>
  </w:style>
  <w:style w:type="paragraph" w:styleId="81">
    <w:name w:val="toc 8"/>
    <w:basedOn w:val="a"/>
    <w:next w:val="a"/>
    <w:uiPriority w:val="39"/>
    <w:unhideWhenUsed/>
    <w:rsid w:val="00074AE5"/>
    <w:pPr>
      <w:spacing w:after="100" w:line="259" w:lineRule="auto"/>
      <w:ind w:left="1540"/>
    </w:pPr>
    <w:rPr>
      <w:rFonts w:eastAsia="Arial"/>
      <w:lang w:eastAsia="ru-RU"/>
    </w:rPr>
  </w:style>
  <w:style w:type="paragraph" w:styleId="91">
    <w:name w:val="toc 9"/>
    <w:basedOn w:val="a"/>
    <w:next w:val="a"/>
    <w:uiPriority w:val="39"/>
    <w:unhideWhenUsed/>
    <w:rsid w:val="00074AE5"/>
    <w:pPr>
      <w:spacing w:after="100" w:line="259" w:lineRule="auto"/>
      <w:ind w:left="1760"/>
    </w:pPr>
    <w:rPr>
      <w:rFonts w:eastAsia="Arial"/>
      <w:lang w:eastAsia="ru-RU"/>
    </w:rPr>
  </w:style>
  <w:style w:type="character" w:customStyle="1" w:styleId="docdata">
    <w:name w:val="docdata"/>
    <w:basedOn w:val="a0"/>
    <w:rsid w:val="00074AE5"/>
  </w:style>
  <w:style w:type="character" w:customStyle="1" w:styleId="UnresolvedMention">
    <w:name w:val="Unresolved Mention"/>
    <w:uiPriority w:val="99"/>
    <w:semiHidden/>
    <w:unhideWhenUsed/>
    <w:rsid w:val="00074AE5"/>
    <w:rPr>
      <w:color w:val="605E5C"/>
      <w:shd w:val="clear" w:color="auto" w:fill="E1DFDD"/>
    </w:rPr>
  </w:style>
  <w:style w:type="paragraph" w:customStyle="1" w:styleId="my-2">
    <w:name w:val="my-2"/>
    <w:basedOn w:val="a"/>
    <w:rsid w:val="0016050E"/>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15">
    <w:name w:val="Основной текст1"/>
    <w:rsid w:val="00490067"/>
    <w:rPr>
      <w:rFonts w:ascii="Times New Roman" w:eastAsia="Times New Roman" w:hAnsi="Times New Roman"/>
      <w:color w:val="000000"/>
      <w:spacing w:val="0"/>
      <w:w w:val="100"/>
      <w:position w:val="0"/>
      <w:sz w:val="26"/>
      <w:szCs w:val="26"/>
      <w:u w:val="single"/>
      <w:shd w:val="clear" w:color="auto" w:fill="FFFFFF"/>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576772">
      <w:bodyDiv w:val="1"/>
      <w:marLeft w:val="0"/>
      <w:marRight w:val="0"/>
      <w:marTop w:val="0"/>
      <w:marBottom w:val="0"/>
      <w:divBdr>
        <w:top w:val="none" w:sz="0" w:space="0" w:color="auto"/>
        <w:left w:val="none" w:sz="0" w:space="0" w:color="auto"/>
        <w:bottom w:val="none" w:sz="0" w:space="0" w:color="auto"/>
        <w:right w:val="none" w:sz="0" w:space="0" w:color="auto"/>
      </w:divBdr>
      <w:divsChild>
        <w:div w:id="17197784">
          <w:marLeft w:val="0"/>
          <w:marRight w:val="0"/>
          <w:marTop w:val="0"/>
          <w:marBottom w:val="0"/>
          <w:divBdr>
            <w:top w:val="none" w:sz="0" w:space="0" w:color="auto"/>
            <w:left w:val="none" w:sz="0" w:space="0" w:color="auto"/>
            <w:bottom w:val="none" w:sz="0" w:space="0" w:color="auto"/>
            <w:right w:val="none" w:sz="0" w:space="0" w:color="auto"/>
          </w:divBdr>
        </w:div>
      </w:divsChild>
    </w:div>
    <w:div w:id="509219055">
      <w:bodyDiv w:val="1"/>
      <w:marLeft w:val="0"/>
      <w:marRight w:val="0"/>
      <w:marTop w:val="0"/>
      <w:marBottom w:val="0"/>
      <w:divBdr>
        <w:top w:val="none" w:sz="0" w:space="0" w:color="auto"/>
        <w:left w:val="none" w:sz="0" w:space="0" w:color="auto"/>
        <w:bottom w:val="none" w:sz="0" w:space="0" w:color="auto"/>
        <w:right w:val="none" w:sz="0" w:space="0" w:color="auto"/>
      </w:divBdr>
      <w:divsChild>
        <w:div w:id="1726415579">
          <w:marLeft w:val="0"/>
          <w:marRight w:val="0"/>
          <w:marTop w:val="0"/>
          <w:marBottom w:val="0"/>
          <w:divBdr>
            <w:top w:val="none" w:sz="0" w:space="0" w:color="auto"/>
            <w:left w:val="none" w:sz="0" w:space="0" w:color="auto"/>
            <w:bottom w:val="none" w:sz="0" w:space="0" w:color="auto"/>
            <w:right w:val="none" w:sz="0" w:space="0" w:color="auto"/>
          </w:divBdr>
        </w:div>
      </w:divsChild>
    </w:div>
    <w:div w:id="694035464">
      <w:bodyDiv w:val="1"/>
      <w:marLeft w:val="0"/>
      <w:marRight w:val="0"/>
      <w:marTop w:val="0"/>
      <w:marBottom w:val="0"/>
      <w:divBdr>
        <w:top w:val="none" w:sz="0" w:space="0" w:color="auto"/>
        <w:left w:val="none" w:sz="0" w:space="0" w:color="auto"/>
        <w:bottom w:val="none" w:sz="0" w:space="0" w:color="auto"/>
        <w:right w:val="none" w:sz="0" w:space="0" w:color="auto"/>
      </w:divBdr>
      <w:divsChild>
        <w:div w:id="608126351">
          <w:marLeft w:val="0"/>
          <w:marRight w:val="0"/>
          <w:marTop w:val="0"/>
          <w:marBottom w:val="0"/>
          <w:divBdr>
            <w:top w:val="none" w:sz="0" w:space="0" w:color="auto"/>
            <w:left w:val="none" w:sz="0" w:space="0" w:color="auto"/>
            <w:bottom w:val="none" w:sz="0" w:space="0" w:color="auto"/>
            <w:right w:val="none" w:sz="0" w:space="0" w:color="auto"/>
          </w:divBdr>
          <w:divsChild>
            <w:div w:id="1689943180">
              <w:marLeft w:val="0"/>
              <w:marRight w:val="0"/>
              <w:marTop w:val="0"/>
              <w:marBottom w:val="0"/>
              <w:divBdr>
                <w:top w:val="none" w:sz="0" w:space="0" w:color="auto"/>
                <w:left w:val="none" w:sz="0" w:space="0" w:color="auto"/>
                <w:bottom w:val="none" w:sz="0" w:space="0" w:color="auto"/>
                <w:right w:val="none" w:sz="0" w:space="0" w:color="auto"/>
              </w:divBdr>
              <w:divsChild>
                <w:div w:id="1285192905">
                  <w:marLeft w:val="0"/>
                  <w:marRight w:val="0"/>
                  <w:marTop w:val="0"/>
                  <w:marBottom w:val="0"/>
                  <w:divBdr>
                    <w:top w:val="none" w:sz="0" w:space="0" w:color="auto"/>
                    <w:left w:val="none" w:sz="0" w:space="0" w:color="auto"/>
                    <w:bottom w:val="none" w:sz="0" w:space="0" w:color="auto"/>
                    <w:right w:val="none" w:sz="0" w:space="0" w:color="auto"/>
                  </w:divBdr>
                </w:div>
                <w:div w:id="1993173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0921153">
      <w:bodyDiv w:val="1"/>
      <w:marLeft w:val="0"/>
      <w:marRight w:val="0"/>
      <w:marTop w:val="0"/>
      <w:marBottom w:val="0"/>
      <w:divBdr>
        <w:top w:val="none" w:sz="0" w:space="0" w:color="auto"/>
        <w:left w:val="none" w:sz="0" w:space="0" w:color="auto"/>
        <w:bottom w:val="none" w:sz="0" w:space="0" w:color="auto"/>
        <w:right w:val="none" w:sz="0" w:space="0" w:color="auto"/>
      </w:divBdr>
      <w:divsChild>
        <w:div w:id="228462935">
          <w:marLeft w:val="0"/>
          <w:marRight w:val="0"/>
          <w:marTop w:val="0"/>
          <w:marBottom w:val="0"/>
          <w:divBdr>
            <w:top w:val="none" w:sz="0" w:space="0" w:color="auto"/>
            <w:left w:val="none" w:sz="0" w:space="0" w:color="auto"/>
            <w:bottom w:val="none" w:sz="0" w:space="0" w:color="auto"/>
            <w:right w:val="none" w:sz="0" w:space="0" w:color="auto"/>
          </w:divBdr>
        </w:div>
      </w:divsChild>
    </w:div>
    <w:div w:id="1279412802">
      <w:bodyDiv w:val="1"/>
      <w:marLeft w:val="0"/>
      <w:marRight w:val="0"/>
      <w:marTop w:val="0"/>
      <w:marBottom w:val="0"/>
      <w:divBdr>
        <w:top w:val="none" w:sz="0" w:space="0" w:color="auto"/>
        <w:left w:val="none" w:sz="0" w:space="0" w:color="auto"/>
        <w:bottom w:val="none" w:sz="0" w:space="0" w:color="auto"/>
        <w:right w:val="none" w:sz="0" w:space="0" w:color="auto"/>
      </w:divBdr>
      <w:divsChild>
        <w:div w:id="1895774851">
          <w:marLeft w:val="0"/>
          <w:marRight w:val="0"/>
          <w:marTop w:val="0"/>
          <w:marBottom w:val="0"/>
          <w:divBdr>
            <w:top w:val="none" w:sz="0" w:space="0" w:color="auto"/>
            <w:left w:val="none" w:sz="0" w:space="0" w:color="auto"/>
            <w:bottom w:val="none" w:sz="0" w:space="0" w:color="auto"/>
            <w:right w:val="none" w:sz="0" w:space="0" w:color="auto"/>
          </w:divBdr>
        </w:div>
        <w:div w:id="1373461806">
          <w:marLeft w:val="0"/>
          <w:marRight w:val="0"/>
          <w:marTop w:val="0"/>
          <w:marBottom w:val="0"/>
          <w:divBdr>
            <w:top w:val="none" w:sz="0" w:space="0" w:color="auto"/>
            <w:left w:val="none" w:sz="0" w:space="0" w:color="auto"/>
            <w:bottom w:val="none" w:sz="0" w:space="0" w:color="auto"/>
            <w:right w:val="none" w:sz="0" w:space="0" w:color="auto"/>
          </w:divBdr>
          <w:divsChild>
            <w:div w:id="810562052">
              <w:marLeft w:val="0"/>
              <w:marRight w:val="0"/>
              <w:marTop w:val="0"/>
              <w:marBottom w:val="0"/>
              <w:divBdr>
                <w:top w:val="none" w:sz="0" w:space="0" w:color="auto"/>
                <w:left w:val="none" w:sz="0" w:space="0" w:color="auto"/>
                <w:bottom w:val="none" w:sz="0" w:space="0" w:color="auto"/>
                <w:right w:val="none" w:sz="0" w:space="0" w:color="auto"/>
              </w:divBdr>
              <w:divsChild>
                <w:div w:id="1352340283">
                  <w:marLeft w:val="0"/>
                  <w:marRight w:val="0"/>
                  <w:marTop w:val="0"/>
                  <w:marBottom w:val="0"/>
                  <w:divBdr>
                    <w:top w:val="none" w:sz="0" w:space="0" w:color="auto"/>
                    <w:left w:val="none" w:sz="0" w:space="0" w:color="auto"/>
                    <w:bottom w:val="none" w:sz="0" w:space="0" w:color="auto"/>
                    <w:right w:val="none" w:sz="0" w:space="0" w:color="auto"/>
                  </w:divBdr>
                  <w:divsChild>
                    <w:div w:id="1165701536">
                      <w:marLeft w:val="0"/>
                      <w:marRight w:val="0"/>
                      <w:marTop w:val="0"/>
                      <w:marBottom w:val="0"/>
                      <w:divBdr>
                        <w:top w:val="none" w:sz="0" w:space="0" w:color="auto"/>
                        <w:left w:val="none" w:sz="0" w:space="0" w:color="auto"/>
                        <w:bottom w:val="none" w:sz="0" w:space="0" w:color="auto"/>
                        <w:right w:val="none" w:sz="0" w:space="0" w:color="auto"/>
                      </w:divBdr>
                    </w:div>
                  </w:divsChild>
                </w:div>
                <w:div w:id="786000631">
                  <w:marLeft w:val="0"/>
                  <w:marRight w:val="0"/>
                  <w:marTop w:val="0"/>
                  <w:marBottom w:val="0"/>
                  <w:divBdr>
                    <w:top w:val="none" w:sz="0" w:space="0" w:color="auto"/>
                    <w:left w:val="none" w:sz="0" w:space="0" w:color="auto"/>
                    <w:bottom w:val="none" w:sz="0" w:space="0" w:color="auto"/>
                    <w:right w:val="none" w:sz="0" w:space="0" w:color="auto"/>
                  </w:divBdr>
                  <w:divsChild>
                    <w:div w:id="1067536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0355739">
      <w:bodyDiv w:val="1"/>
      <w:marLeft w:val="0"/>
      <w:marRight w:val="0"/>
      <w:marTop w:val="0"/>
      <w:marBottom w:val="0"/>
      <w:divBdr>
        <w:top w:val="none" w:sz="0" w:space="0" w:color="auto"/>
        <w:left w:val="none" w:sz="0" w:space="0" w:color="auto"/>
        <w:bottom w:val="none" w:sz="0" w:space="0" w:color="auto"/>
        <w:right w:val="none" w:sz="0" w:space="0" w:color="auto"/>
      </w:divBdr>
      <w:divsChild>
        <w:div w:id="194950783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4.xml"/><Relationship Id="rId18" Type="http://schemas.openxmlformats.org/officeDocument/2006/relationships/chart" Target="charts/chart9.xml"/><Relationship Id="rId26" Type="http://schemas.openxmlformats.org/officeDocument/2006/relationships/chart" Target="charts/chart17.xml"/><Relationship Id="rId39" Type="http://schemas.openxmlformats.org/officeDocument/2006/relationships/image" Target="media/image5.png"/><Relationship Id="rId21" Type="http://schemas.openxmlformats.org/officeDocument/2006/relationships/chart" Target="charts/chart12.xml"/><Relationship Id="rId34" Type="http://schemas.openxmlformats.org/officeDocument/2006/relationships/chart" Target="charts/chart25.xml"/><Relationship Id="rId42" Type="http://schemas.openxmlformats.org/officeDocument/2006/relationships/chart" Target="charts/chart28.xml"/><Relationship Id="rId47" Type="http://schemas.openxmlformats.org/officeDocument/2006/relationships/chart" Target="charts/chart30.xml"/><Relationship Id="rId50" Type="http://schemas.openxmlformats.org/officeDocument/2006/relationships/chart" Target="charts/chart33.xml"/><Relationship Id="rId55" Type="http://schemas.openxmlformats.org/officeDocument/2006/relationships/image" Target="media/image15.png"/><Relationship Id="rId63" Type="http://schemas.openxmlformats.org/officeDocument/2006/relationships/chart" Target="charts/chart36.xml"/><Relationship Id="rId68" Type="http://schemas.openxmlformats.org/officeDocument/2006/relationships/chart" Target="charts/chart41.xml"/><Relationship Id="rId76" Type="http://schemas.openxmlformats.org/officeDocument/2006/relationships/chart" Target="charts/chart49.xml"/><Relationship Id="rId8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chart" Target="charts/chart44.xml"/><Relationship Id="rId2" Type="http://schemas.openxmlformats.org/officeDocument/2006/relationships/numbering" Target="numbering.xml"/><Relationship Id="rId16" Type="http://schemas.openxmlformats.org/officeDocument/2006/relationships/chart" Target="charts/chart7.xml"/><Relationship Id="rId29" Type="http://schemas.openxmlformats.org/officeDocument/2006/relationships/chart" Target="charts/chart20.xml"/><Relationship Id="rId11" Type="http://schemas.openxmlformats.org/officeDocument/2006/relationships/chart" Target="charts/chart2.xml"/><Relationship Id="rId24" Type="http://schemas.openxmlformats.org/officeDocument/2006/relationships/chart" Target="charts/chart15.xml"/><Relationship Id="rId32" Type="http://schemas.openxmlformats.org/officeDocument/2006/relationships/chart" Target="charts/chart23.xml"/><Relationship Id="rId37" Type="http://schemas.openxmlformats.org/officeDocument/2006/relationships/image" Target="media/image3.png"/><Relationship Id="rId40" Type="http://schemas.openxmlformats.org/officeDocument/2006/relationships/image" Target="media/image6.png"/><Relationship Id="rId45" Type="http://schemas.openxmlformats.org/officeDocument/2006/relationships/image" Target="media/image10.png"/><Relationship Id="rId53" Type="http://schemas.openxmlformats.org/officeDocument/2006/relationships/image" Target="media/image13.png"/><Relationship Id="rId58" Type="http://schemas.openxmlformats.org/officeDocument/2006/relationships/image" Target="media/image18.png"/><Relationship Id="rId66" Type="http://schemas.openxmlformats.org/officeDocument/2006/relationships/chart" Target="charts/chart39.xml"/><Relationship Id="rId74" Type="http://schemas.openxmlformats.org/officeDocument/2006/relationships/chart" Target="charts/chart47.xml"/><Relationship Id="rId79" Type="http://schemas.openxmlformats.org/officeDocument/2006/relationships/chart" Target="charts/chart52.xml"/><Relationship Id="rId5" Type="http://schemas.openxmlformats.org/officeDocument/2006/relationships/webSettings" Target="webSettings.xml"/><Relationship Id="rId61" Type="http://schemas.openxmlformats.org/officeDocument/2006/relationships/chart" Target="charts/chart34.xml"/><Relationship Id="rId82" Type="http://schemas.openxmlformats.org/officeDocument/2006/relationships/header" Target="header2.xml"/><Relationship Id="rId19" Type="http://schemas.openxmlformats.org/officeDocument/2006/relationships/chart" Target="charts/chart10.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chart" Target="charts/chart5.xml"/><Relationship Id="rId22" Type="http://schemas.openxmlformats.org/officeDocument/2006/relationships/chart" Target="charts/chart13.xml"/><Relationship Id="rId27" Type="http://schemas.openxmlformats.org/officeDocument/2006/relationships/chart" Target="charts/chart18.xml"/><Relationship Id="rId30" Type="http://schemas.openxmlformats.org/officeDocument/2006/relationships/chart" Target="charts/chart21.xml"/><Relationship Id="rId35" Type="http://schemas.openxmlformats.org/officeDocument/2006/relationships/chart" Target="charts/chart26.xml"/><Relationship Id="rId43" Type="http://schemas.openxmlformats.org/officeDocument/2006/relationships/image" Target="media/image8.png"/><Relationship Id="rId48" Type="http://schemas.openxmlformats.org/officeDocument/2006/relationships/chart" Target="charts/chart31.xml"/><Relationship Id="rId56" Type="http://schemas.openxmlformats.org/officeDocument/2006/relationships/image" Target="media/image16.png"/><Relationship Id="rId64" Type="http://schemas.openxmlformats.org/officeDocument/2006/relationships/chart" Target="charts/chart37.xml"/><Relationship Id="rId69" Type="http://schemas.openxmlformats.org/officeDocument/2006/relationships/chart" Target="charts/chart42.xml"/><Relationship Id="rId77" Type="http://schemas.openxmlformats.org/officeDocument/2006/relationships/chart" Target="charts/chart50.xml"/><Relationship Id="rId8" Type="http://schemas.openxmlformats.org/officeDocument/2006/relationships/image" Target="media/image1.emf"/><Relationship Id="rId51" Type="http://schemas.openxmlformats.org/officeDocument/2006/relationships/image" Target="media/image11.png"/><Relationship Id="rId72" Type="http://schemas.openxmlformats.org/officeDocument/2006/relationships/chart" Target="charts/chart45.xml"/><Relationship Id="rId80" Type="http://schemas.openxmlformats.org/officeDocument/2006/relationships/image" Target="media/image21.jpe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chart" Target="charts/chart8.xml"/><Relationship Id="rId25" Type="http://schemas.openxmlformats.org/officeDocument/2006/relationships/chart" Target="charts/chart16.xml"/><Relationship Id="rId33" Type="http://schemas.openxmlformats.org/officeDocument/2006/relationships/chart" Target="charts/chart24.xml"/><Relationship Id="rId38" Type="http://schemas.openxmlformats.org/officeDocument/2006/relationships/image" Target="media/image4.png"/><Relationship Id="rId46" Type="http://schemas.openxmlformats.org/officeDocument/2006/relationships/chart" Target="charts/chart29.xml"/><Relationship Id="rId59" Type="http://schemas.openxmlformats.org/officeDocument/2006/relationships/image" Target="media/image19.png"/><Relationship Id="rId67" Type="http://schemas.openxmlformats.org/officeDocument/2006/relationships/chart" Target="charts/chart40.xml"/><Relationship Id="rId20" Type="http://schemas.openxmlformats.org/officeDocument/2006/relationships/chart" Target="charts/chart11.xml"/><Relationship Id="rId41" Type="http://schemas.openxmlformats.org/officeDocument/2006/relationships/image" Target="media/image7.png"/><Relationship Id="rId54" Type="http://schemas.openxmlformats.org/officeDocument/2006/relationships/image" Target="media/image14.png"/><Relationship Id="rId62" Type="http://schemas.openxmlformats.org/officeDocument/2006/relationships/chart" Target="charts/chart35.xml"/><Relationship Id="rId70" Type="http://schemas.openxmlformats.org/officeDocument/2006/relationships/chart" Target="charts/chart43.xml"/><Relationship Id="rId75" Type="http://schemas.openxmlformats.org/officeDocument/2006/relationships/chart" Target="charts/chart48.xml"/><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6.xml"/><Relationship Id="rId23" Type="http://schemas.openxmlformats.org/officeDocument/2006/relationships/chart" Target="charts/chart14.xml"/><Relationship Id="rId28" Type="http://schemas.openxmlformats.org/officeDocument/2006/relationships/chart" Target="charts/chart19.xml"/><Relationship Id="rId36" Type="http://schemas.openxmlformats.org/officeDocument/2006/relationships/chart" Target="charts/chart27.xml"/><Relationship Id="rId49" Type="http://schemas.openxmlformats.org/officeDocument/2006/relationships/chart" Target="charts/chart32.xml"/><Relationship Id="rId57" Type="http://schemas.openxmlformats.org/officeDocument/2006/relationships/image" Target="media/image17.png"/><Relationship Id="rId10" Type="http://schemas.openxmlformats.org/officeDocument/2006/relationships/chart" Target="charts/chart1.xml"/><Relationship Id="rId31" Type="http://schemas.openxmlformats.org/officeDocument/2006/relationships/chart" Target="charts/chart22.xml"/><Relationship Id="rId44" Type="http://schemas.openxmlformats.org/officeDocument/2006/relationships/image" Target="media/image9.png"/><Relationship Id="rId52" Type="http://schemas.openxmlformats.org/officeDocument/2006/relationships/image" Target="media/image12.png"/><Relationship Id="rId60" Type="http://schemas.openxmlformats.org/officeDocument/2006/relationships/image" Target="media/image20.png"/><Relationship Id="rId65" Type="http://schemas.openxmlformats.org/officeDocument/2006/relationships/chart" Target="charts/chart38.xml"/><Relationship Id="rId73" Type="http://schemas.openxmlformats.org/officeDocument/2006/relationships/chart" Target="charts/chart46.xml"/><Relationship Id="rId78" Type="http://schemas.openxmlformats.org/officeDocument/2006/relationships/chart" Target="charts/chart51.xml"/><Relationship Id="rId81" Type="http://schemas.openxmlformats.org/officeDocument/2006/relationships/header" Target="header1.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Excel10.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_____Microsoft_Excel11.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_____Microsoft_Excel12.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Excel13.xlsx"/></Relationships>
</file>

<file path=word/charts/_rels/chart14.xml.rels><?xml version="1.0" encoding="UTF-8" standalone="yes"?>
<Relationships xmlns="http://schemas.openxmlformats.org/package/2006/relationships"><Relationship Id="rId2" Type="http://schemas.openxmlformats.org/officeDocument/2006/relationships/package" Target="../embeddings/_____Microsoft_Excel14.xlsx"/><Relationship Id="rId1" Type="http://schemas.openxmlformats.org/officeDocument/2006/relationships/themeOverride" Target="../theme/themeOverride13.xml"/></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Excel15.xlsx"/></Relationships>
</file>

<file path=word/charts/_rels/chart16.xml.rels><?xml version="1.0" encoding="UTF-8" standalone="yes"?>
<Relationships xmlns="http://schemas.openxmlformats.org/package/2006/relationships"><Relationship Id="rId2" Type="http://schemas.openxmlformats.org/officeDocument/2006/relationships/package" Target="../embeddings/_____Microsoft_Excel16.xlsx"/><Relationship Id="rId1" Type="http://schemas.openxmlformats.org/officeDocument/2006/relationships/themeOverride" Target="../theme/themeOverride14.xml"/></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Excel17.xlsx"/></Relationships>
</file>

<file path=word/charts/_rels/chart18.xml.rels><?xml version="1.0" encoding="UTF-8" standalone="yes"?>
<Relationships xmlns="http://schemas.openxmlformats.org/package/2006/relationships"><Relationship Id="rId2" Type="http://schemas.openxmlformats.org/officeDocument/2006/relationships/package" Target="../embeddings/_____Microsoft_Excel18.xlsx"/><Relationship Id="rId1" Type="http://schemas.openxmlformats.org/officeDocument/2006/relationships/themeOverride" Target="../theme/themeOverride15.xml"/></Relationships>
</file>

<file path=word/charts/_rels/chart19.xml.rels><?xml version="1.0" encoding="UTF-8" standalone="yes"?>
<Relationships xmlns="http://schemas.openxmlformats.org/package/2006/relationships"><Relationship Id="rId1" Type="http://schemas.openxmlformats.org/officeDocument/2006/relationships/package" Target="../embeddings/_____Microsoft_Excel19.xlsx"/></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1" Type="http://schemas.openxmlformats.org/officeDocument/2006/relationships/package" Target="../embeddings/_____Microsoft_Excel20.xlsx"/></Relationships>
</file>

<file path=word/charts/_rels/chart21.xml.rels><?xml version="1.0" encoding="UTF-8" standalone="yes"?>
<Relationships xmlns="http://schemas.openxmlformats.org/package/2006/relationships"><Relationship Id="rId2" Type="http://schemas.openxmlformats.org/officeDocument/2006/relationships/package" Target="../embeddings/_____Microsoft_Excel21.xlsx"/><Relationship Id="rId1" Type="http://schemas.openxmlformats.org/officeDocument/2006/relationships/themeOverride" Target="../theme/themeOverride16.xml"/></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_____Microsoft_Excel22.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_____Microsoft_Excel23.xlsx"/></Relationships>
</file>

<file path=word/charts/_rels/chart24.xml.rels><?xml version="1.0" encoding="UTF-8" standalone="yes"?>
<Relationships xmlns="http://schemas.openxmlformats.org/package/2006/relationships"><Relationship Id="rId2" Type="http://schemas.openxmlformats.org/officeDocument/2006/relationships/package" Target="../embeddings/_____Microsoft_Excel24.xlsx"/><Relationship Id="rId1" Type="http://schemas.openxmlformats.org/officeDocument/2006/relationships/themeOverride" Target="../theme/themeOverride18.xml"/></Relationships>
</file>

<file path=word/charts/_rels/chart25.xml.rels><?xml version="1.0" encoding="UTF-8" standalone="yes"?>
<Relationships xmlns="http://schemas.openxmlformats.org/package/2006/relationships"><Relationship Id="rId2" Type="http://schemas.openxmlformats.org/officeDocument/2006/relationships/package" Target="../embeddings/_____Microsoft_Excel25.xlsx"/><Relationship Id="rId1" Type="http://schemas.openxmlformats.org/officeDocument/2006/relationships/themeOverride" Target="../theme/themeOverride19.xml"/></Relationships>
</file>

<file path=word/charts/_rels/chart26.xml.rels><?xml version="1.0" encoding="UTF-8" standalone="yes"?>
<Relationships xmlns="http://schemas.openxmlformats.org/package/2006/relationships"><Relationship Id="rId2" Type="http://schemas.openxmlformats.org/officeDocument/2006/relationships/package" Target="../embeddings/_____Microsoft_Excel26.xlsx"/><Relationship Id="rId1" Type="http://schemas.openxmlformats.org/officeDocument/2006/relationships/themeOverride" Target="../theme/themeOverride20.xml"/></Relationships>
</file>

<file path=word/charts/_rels/chart27.xml.rels><?xml version="1.0" encoding="UTF-8" standalone="yes"?>
<Relationships xmlns="http://schemas.openxmlformats.org/package/2006/relationships"><Relationship Id="rId2" Type="http://schemas.openxmlformats.org/officeDocument/2006/relationships/package" Target="../embeddings/_____Microsoft_Excel27.xlsx"/><Relationship Id="rId1" Type="http://schemas.openxmlformats.org/officeDocument/2006/relationships/themeOverride" Target="../theme/themeOverride21.xml"/></Relationships>
</file>

<file path=word/charts/_rels/chart28.xml.rels><?xml version="1.0" encoding="UTF-8" standalone="yes"?>
<Relationships xmlns="http://schemas.openxmlformats.org/package/2006/relationships"><Relationship Id="rId2" Type="http://schemas.openxmlformats.org/officeDocument/2006/relationships/package" Target="../embeddings/_____Microsoft_Excel28.xlsx"/><Relationship Id="rId1" Type="http://schemas.openxmlformats.org/officeDocument/2006/relationships/themeOverride" Target="../theme/themeOverride22.xml"/></Relationships>
</file>

<file path=word/charts/_rels/chart29.xml.rels><?xml version="1.0" encoding="UTF-8" standalone="yes"?>
<Relationships xmlns="http://schemas.openxmlformats.org/package/2006/relationships"><Relationship Id="rId2" Type="http://schemas.openxmlformats.org/officeDocument/2006/relationships/package" Target="../embeddings/_____Microsoft_Excel29.xlsx"/><Relationship Id="rId1" Type="http://schemas.openxmlformats.org/officeDocument/2006/relationships/themeOverride" Target="../theme/themeOverride23.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package" Target="../embeddings/_____Microsoft_Excel30.xlsx"/><Relationship Id="rId1" Type="http://schemas.openxmlformats.org/officeDocument/2006/relationships/themeOverride" Target="../theme/themeOverride24.xml"/></Relationships>
</file>

<file path=word/charts/_rels/chart31.xml.rels><?xml version="1.0" encoding="UTF-8" standalone="yes"?>
<Relationships xmlns="http://schemas.openxmlformats.org/package/2006/relationships"><Relationship Id="rId1" Type="http://schemas.openxmlformats.org/officeDocument/2006/relationships/package" Target="../embeddings/_____Microsoft_Excel31.xlsx"/></Relationships>
</file>

<file path=word/charts/_rels/chart32.xml.rels><?xml version="1.0" encoding="UTF-8" standalone="yes"?>
<Relationships xmlns="http://schemas.openxmlformats.org/package/2006/relationships"><Relationship Id="rId2" Type="http://schemas.openxmlformats.org/officeDocument/2006/relationships/package" Target="../embeddings/_____Microsoft_Excel32.xlsx"/><Relationship Id="rId1" Type="http://schemas.openxmlformats.org/officeDocument/2006/relationships/themeOverride" Target="../theme/themeOverride25.xml"/></Relationships>
</file>

<file path=word/charts/_rels/chart33.xml.rels><?xml version="1.0" encoding="UTF-8" standalone="yes"?>
<Relationships xmlns="http://schemas.openxmlformats.org/package/2006/relationships"><Relationship Id="rId2" Type="http://schemas.openxmlformats.org/officeDocument/2006/relationships/package" Target="../embeddings/_____Microsoft_Excel33.xlsx"/><Relationship Id="rId1" Type="http://schemas.openxmlformats.org/officeDocument/2006/relationships/themeOverride" Target="../theme/themeOverride26.xml"/></Relationships>
</file>

<file path=word/charts/_rels/chart34.xml.rels><?xml version="1.0" encoding="UTF-8" standalone="yes"?>
<Relationships xmlns="http://schemas.openxmlformats.org/package/2006/relationships"><Relationship Id="rId2" Type="http://schemas.openxmlformats.org/officeDocument/2006/relationships/package" Target="../embeddings/_____Microsoft_Excel34.xlsx"/><Relationship Id="rId1" Type="http://schemas.openxmlformats.org/officeDocument/2006/relationships/themeOverride" Target="../theme/themeOverride27.xml"/></Relationships>
</file>

<file path=word/charts/_rels/chart35.xml.rels><?xml version="1.0" encoding="UTF-8" standalone="yes"?>
<Relationships xmlns="http://schemas.openxmlformats.org/package/2006/relationships"><Relationship Id="rId2" Type="http://schemas.openxmlformats.org/officeDocument/2006/relationships/package" Target="../embeddings/_____Microsoft_Excel35.xlsx"/><Relationship Id="rId1" Type="http://schemas.openxmlformats.org/officeDocument/2006/relationships/themeOverride" Target="../theme/themeOverride28.xml"/></Relationships>
</file>

<file path=word/charts/_rels/chart36.xml.rels><?xml version="1.0" encoding="UTF-8" standalone="yes"?>
<Relationships xmlns="http://schemas.openxmlformats.org/package/2006/relationships"><Relationship Id="rId2" Type="http://schemas.openxmlformats.org/officeDocument/2006/relationships/package" Target="../embeddings/_____Microsoft_Excel36.xlsx"/><Relationship Id="rId1" Type="http://schemas.openxmlformats.org/officeDocument/2006/relationships/themeOverride" Target="../theme/themeOverride29.xml"/></Relationships>
</file>

<file path=word/charts/_rels/chart37.xml.rels><?xml version="1.0" encoding="UTF-8" standalone="yes"?>
<Relationships xmlns="http://schemas.openxmlformats.org/package/2006/relationships"><Relationship Id="rId2" Type="http://schemas.openxmlformats.org/officeDocument/2006/relationships/package" Target="../embeddings/_____Microsoft_Excel37.xlsx"/><Relationship Id="rId1" Type="http://schemas.openxmlformats.org/officeDocument/2006/relationships/themeOverride" Target="../theme/themeOverride30.xml"/></Relationships>
</file>

<file path=word/charts/_rels/chart38.xml.rels><?xml version="1.0" encoding="UTF-8" standalone="yes"?>
<Relationships xmlns="http://schemas.openxmlformats.org/package/2006/relationships"><Relationship Id="rId2" Type="http://schemas.openxmlformats.org/officeDocument/2006/relationships/package" Target="../embeddings/_____Microsoft_Excel38.xlsx"/><Relationship Id="rId1" Type="http://schemas.openxmlformats.org/officeDocument/2006/relationships/themeOverride" Target="../theme/themeOverride31.xml"/></Relationships>
</file>

<file path=word/charts/_rels/chart39.xml.rels><?xml version="1.0" encoding="UTF-8" standalone="yes"?>
<Relationships xmlns="http://schemas.openxmlformats.org/package/2006/relationships"><Relationship Id="rId2" Type="http://schemas.openxmlformats.org/officeDocument/2006/relationships/package" Target="../embeddings/_____Microsoft_Excel39.xlsx"/><Relationship Id="rId1" Type="http://schemas.openxmlformats.org/officeDocument/2006/relationships/themeOverride" Target="../theme/themeOverride32.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2" Type="http://schemas.openxmlformats.org/officeDocument/2006/relationships/package" Target="../embeddings/_____Microsoft_Excel40.xlsx"/><Relationship Id="rId1" Type="http://schemas.openxmlformats.org/officeDocument/2006/relationships/themeOverride" Target="../theme/themeOverride33.xml"/></Relationships>
</file>

<file path=word/charts/_rels/chart41.xml.rels><?xml version="1.0" encoding="UTF-8" standalone="yes"?>
<Relationships xmlns="http://schemas.openxmlformats.org/package/2006/relationships"><Relationship Id="rId2" Type="http://schemas.openxmlformats.org/officeDocument/2006/relationships/package" Target="../embeddings/_____Microsoft_Excel41.xlsx"/><Relationship Id="rId1" Type="http://schemas.openxmlformats.org/officeDocument/2006/relationships/themeOverride" Target="../theme/themeOverride34.xml"/></Relationships>
</file>

<file path=word/charts/_rels/chart42.xml.rels><?xml version="1.0" encoding="UTF-8" standalone="yes"?>
<Relationships xmlns="http://schemas.openxmlformats.org/package/2006/relationships"><Relationship Id="rId2" Type="http://schemas.openxmlformats.org/officeDocument/2006/relationships/package" Target="../embeddings/_____Microsoft_Excel42.xlsx"/><Relationship Id="rId1" Type="http://schemas.openxmlformats.org/officeDocument/2006/relationships/themeOverride" Target="../theme/themeOverride35.xml"/></Relationships>
</file>

<file path=word/charts/_rels/chart43.xml.rels><?xml version="1.0" encoding="UTF-8" standalone="yes"?>
<Relationships xmlns="http://schemas.openxmlformats.org/package/2006/relationships"><Relationship Id="rId2" Type="http://schemas.openxmlformats.org/officeDocument/2006/relationships/package" Target="../embeddings/_____Microsoft_Excel43.xlsx"/><Relationship Id="rId1" Type="http://schemas.openxmlformats.org/officeDocument/2006/relationships/themeOverride" Target="../theme/themeOverride36.xml"/></Relationships>
</file>

<file path=word/charts/_rels/chart44.xml.rels><?xml version="1.0" encoding="UTF-8" standalone="yes"?>
<Relationships xmlns="http://schemas.openxmlformats.org/package/2006/relationships"><Relationship Id="rId2" Type="http://schemas.openxmlformats.org/officeDocument/2006/relationships/package" Target="../embeddings/_____Microsoft_Excel44.xlsx"/><Relationship Id="rId1" Type="http://schemas.openxmlformats.org/officeDocument/2006/relationships/themeOverride" Target="../theme/themeOverride37.xml"/></Relationships>
</file>

<file path=word/charts/_rels/chart45.xml.rels><?xml version="1.0" encoding="UTF-8" standalone="yes"?>
<Relationships xmlns="http://schemas.openxmlformats.org/package/2006/relationships"><Relationship Id="rId2" Type="http://schemas.openxmlformats.org/officeDocument/2006/relationships/package" Target="../embeddings/_____Microsoft_Excel45.xlsx"/><Relationship Id="rId1" Type="http://schemas.openxmlformats.org/officeDocument/2006/relationships/themeOverride" Target="../theme/themeOverride38.xml"/></Relationships>
</file>

<file path=word/charts/_rels/chart46.xml.rels><?xml version="1.0" encoding="UTF-8" standalone="yes"?>
<Relationships xmlns="http://schemas.openxmlformats.org/package/2006/relationships"><Relationship Id="rId2" Type="http://schemas.openxmlformats.org/officeDocument/2006/relationships/package" Target="../embeddings/_____Microsoft_Excel46.xlsx"/><Relationship Id="rId1" Type="http://schemas.openxmlformats.org/officeDocument/2006/relationships/themeOverride" Target="../theme/themeOverride39.xml"/></Relationships>
</file>

<file path=word/charts/_rels/chart47.xml.rels><?xml version="1.0" encoding="UTF-8" standalone="yes"?>
<Relationships xmlns="http://schemas.openxmlformats.org/package/2006/relationships"><Relationship Id="rId1" Type="http://schemas.openxmlformats.org/officeDocument/2006/relationships/package" Target="../embeddings/_____Microsoft_Excel47.xlsx"/></Relationships>
</file>

<file path=word/charts/_rels/chart48.xml.rels><?xml version="1.0" encoding="UTF-8" standalone="yes"?>
<Relationships xmlns="http://schemas.openxmlformats.org/package/2006/relationships"><Relationship Id="rId2" Type="http://schemas.openxmlformats.org/officeDocument/2006/relationships/package" Target="../embeddings/_____Microsoft_Excel48.xlsx"/><Relationship Id="rId1" Type="http://schemas.openxmlformats.org/officeDocument/2006/relationships/themeOverride" Target="../theme/themeOverride40.xml"/></Relationships>
</file>

<file path=word/charts/_rels/chart49.xml.rels><?xml version="1.0" encoding="UTF-8" standalone="yes"?>
<Relationships xmlns="http://schemas.openxmlformats.org/package/2006/relationships"><Relationship Id="rId2" Type="http://schemas.openxmlformats.org/officeDocument/2006/relationships/package" Target="../embeddings/_____Microsoft_Excel49.xlsx"/><Relationship Id="rId1" Type="http://schemas.openxmlformats.org/officeDocument/2006/relationships/themeOverride" Target="../theme/themeOverride41.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5.xlsx"/><Relationship Id="rId1" Type="http://schemas.openxmlformats.org/officeDocument/2006/relationships/themeOverride" Target="../theme/themeOverride5.xml"/></Relationships>
</file>

<file path=word/charts/_rels/chart50.xml.rels><?xml version="1.0" encoding="UTF-8" standalone="yes"?>
<Relationships xmlns="http://schemas.openxmlformats.org/package/2006/relationships"><Relationship Id="rId2" Type="http://schemas.openxmlformats.org/officeDocument/2006/relationships/package" Target="../embeddings/_____Microsoft_Excel50.xlsx"/><Relationship Id="rId1" Type="http://schemas.openxmlformats.org/officeDocument/2006/relationships/themeOverride" Target="../theme/themeOverride42.xml"/></Relationships>
</file>

<file path=word/charts/_rels/chart51.xml.rels><?xml version="1.0" encoding="UTF-8" standalone="yes"?>
<Relationships xmlns="http://schemas.openxmlformats.org/package/2006/relationships"><Relationship Id="rId2" Type="http://schemas.openxmlformats.org/officeDocument/2006/relationships/package" Target="../embeddings/_____Microsoft_Excel51.xlsx"/><Relationship Id="rId1" Type="http://schemas.openxmlformats.org/officeDocument/2006/relationships/themeOverride" Target="../theme/themeOverride43.xml"/></Relationships>
</file>

<file path=word/charts/_rels/chart52.xml.rels><?xml version="1.0" encoding="UTF-8" standalone="yes"?>
<Relationships xmlns="http://schemas.openxmlformats.org/package/2006/relationships"><Relationship Id="rId2" Type="http://schemas.openxmlformats.org/officeDocument/2006/relationships/package" Target="../embeddings/_____Microsoft_Excel52.xlsx"/><Relationship Id="rId1" Type="http://schemas.openxmlformats.org/officeDocument/2006/relationships/themeOverride" Target="../theme/themeOverride44.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Excel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_____Microsoft_Excel8.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Microsoft_Excel9.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spPr>
            <a:solidFill>
              <a:srgbClr val="6F94C0"/>
            </a:solidFill>
            <a:ln>
              <a:solidFill>
                <a:schemeClr val="bg2"/>
              </a:solidFill>
            </a:ln>
            <a:effectLst/>
          </c:spPr>
          <c:invertIfNegative val="0"/>
          <c:cat>
            <c:strRef>
              <c:f>Лист4!$AE$23:$AE$37</c:f>
              <c:strCache>
                <c:ptCount val="15"/>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c:v>
                </c:pt>
              </c:strCache>
            </c:strRef>
          </c:cat>
          <c:val>
            <c:numRef>
              <c:f>Лист4!$AF$23:$AF$37</c:f>
              <c:numCache>
                <c:formatCode>0.0%</c:formatCode>
                <c:ptCount val="15"/>
                <c:pt idx="0">
                  <c:v>-2.3039524375328132E-2</c:v>
                </c:pt>
                <c:pt idx="1">
                  <c:v>-2.4751536933425355E-2</c:v>
                </c:pt>
                <c:pt idx="2">
                  <c:v>-1.9871257861908218E-2</c:v>
                </c:pt>
                <c:pt idx="3">
                  <c:v>-2.470089662287004E-2</c:v>
                </c:pt>
                <c:pt idx="4">
                  <c:v>-2.7361798484877142E-2</c:v>
                </c:pt>
                <c:pt idx="5">
                  <c:v>-3.2021477572022158E-2</c:v>
                </c:pt>
                <c:pt idx="6">
                  <c:v>-4.2370024408629706E-2</c:v>
                </c:pt>
                <c:pt idx="7">
                  <c:v>-3.6675339331967247E-2</c:v>
                </c:pt>
                <c:pt idx="8">
                  <c:v>-3.0653303412144142E-2</c:v>
                </c:pt>
                <c:pt idx="9">
                  <c:v>-2.6681656198591041E-2</c:v>
                </c:pt>
                <c:pt idx="10">
                  <c:v>-2.682515005068347E-2</c:v>
                </c:pt>
                <c:pt idx="11">
                  <c:v>-2.1294326215348734E-2</c:v>
                </c:pt>
                <c:pt idx="12">
                  <c:v>-2.2689752860815839E-2</c:v>
                </c:pt>
                <c:pt idx="13">
                  <c:v>-1.0878985573298956E-2</c:v>
                </c:pt>
                <c:pt idx="14">
                  <c:v>-2.3602725316827486E-2</c:v>
                </c:pt>
              </c:numCache>
            </c:numRef>
          </c:val>
          <c:extLst xmlns:c16r2="http://schemas.microsoft.com/office/drawing/2015/06/chart">
            <c:ext xmlns:c16="http://schemas.microsoft.com/office/drawing/2014/chart" uri="{C3380CC4-5D6E-409C-BE32-E72D297353CC}">
              <c16:uniqueId val="{00000000-8292-490A-8EC1-38CAC96A292C}"/>
            </c:ext>
          </c:extLst>
        </c:ser>
        <c:ser>
          <c:idx val="1"/>
          <c:order val="1"/>
          <c:spPr>
            <a:solidFill>
              <a:schemeClr val="accent2"/>
            </a:solidFill>
            <a:ln>
              <a:solidFill>
                <a:schemeClr val="bg2"/>
              </a:solidFill>
            </a:ln>
            <a:effectLst/>
          </c:spPr>
          <c:invertIfNegative val="0"/>
          <c:dPt>
            <c:idx val="0"/>
            <c:invertIfNegative val="0"/>
            <c:bubble3D val="0"/>
            <c:spPr>
              <a:solidFill>
                <a:srgbClr val="D9D9D9"/>
              </a:solidFill>
              <a:ln>
                <a:solidFill>
                  <a:schemeClr val="bg2"/>
                </a:solidFill>
              </a:ln>
              <a:effectLst/>
            </c:spPr>
            <c:extLst xmlns:c16r2="http://schemas.microsoft.com/office/drawing/2015/06/chart">
              <c:ext xmlns:c16="http://schemas.microsoft.com/office/drawing/2014/chart" uri="{C3380CC4-5D6E-409C-BE32-E72D297353CC}">
                <c16:uniqueId val="{00000002-8292-490A-8EC1-38CAC96A292C}"/>
              </c:ext>
            </c:extLst>
          </c:dPt>
          <c:dPt>
            <c:idx val="1"/>
            <c:invertIfNegative val="0"/>
            <c:bubble3D val="0"/>
            <c:spPr>
              <a:solidFill>
                <a:schemeClr val="accent1">
                  <a:lumMod val="75000"/>
                </a:schemeClr>
              </a:solidFill>
              <a:ln>
                <a:solidFill>
                  <a:schemeClr val="bg2"/>
                </a:solidFill>
              </a:ln>
              <a:effectLst/>
            </c:spPr>
            <c:extLst xmlns:c16r2="http://schemas.microsoft.com/office/drawing/2015/06/chart">
              <c:ext xmlns:c16="http://schemas.microsoft.com/office/drawing/2014/chart" uri="{C3380CC4-5D6E-409C-BE32-E72D297353CC}">
                <c16:uniqueId val="{00000004-8292-490A-8EC1-38CAC96A292C}"/>
              </c:ext>
            </c:extLst>
          </c:dPt>
          <c:dPt>
            <c:idx val="2"/>
            <c:invertIfNegative val="0"/>
            <c:bubble3D val="0"/>
            <c:spPr>
              <a:solidFill>
                <a:schemeClr val="accent1">
                  <a:lumMod val="75000"/>
                </a:schemeClr>
              </a:solidFill>
              <a:ln>
                <a:solidFill>
                  <a:schemeClr val="bg2"/>
                </a:solidFill>
              </a:ln>
              <a:effectLst/>
            </c:spPr>
            <c:extLst xmlns:c16r2="http://schemas.microsoft.com/office/drawing/2015/06/chart">
              <c:ext xmlns:c16="http://schemas.microsoft.com/office/drawing/2014/chart" uri="{C3380CC4-5D6E-409C-BE32-E72D297353CC}">
                <c16:uniqueId val="{00000006-8292-490A-8EC1-38CAC96A292C}"/>
              </c:ext>
            </c:extLst>
          </c:dPt>
          <c:dPt>
            <c:idx val="3"/>
            <c:invertIfNegative val="0"/>
            <c:bubble3D val="0"/>
            <c:spPr>
              <a:solidFill>
                <a:schemeClr val="accent1">
                  <a:lumMod val="75000"/>
                </a:schemeClr>
              </a:solidFill>
              <a:ln>
                <a:solidFill>
                  <a:schemeClr val="bg2"/>
                </a:solidFill>
              </a:ln>
              <a:effectLst/>
            </c:spPr>
            <c:extLst xmlns:c16r2="http://schemas.microsoft.com/office/drawing/2015/06/chart">
              <c:ext xmlns:c16="http://schemas.microsoft.com/office/drawing/2014/chart" uri="{C3380CC4-5D6E-409C-BE32-E72D297353CC}">
                <c16:uniqueId val="{00000008-8292-490A-8EC1-38CAC96A292C}"/>
              </c:ext>
            </c:extLst>
          </c:dPt>
          <c:dPt>
            <c:idx val="4"/>
            <c:invertIfNegative val="0"/>
            <c:bubble3D val="0"/>
            <c:spPr>
              <a:solidFill>
                <a:srgbClr val="D9D9D9"/>
              </a:solidFill>
              <a:ln>
                <a:solidFill>
                  <a:schemeClr val="bg2"/>
                </a:solidFill>
              </a:ln>
              <a:effectLst/>
            </c:spPr>
            <c:extLst xmlns:c16r2="http://schemas.microsoft.com/office/drawing/2015/06/chart">
              <c:ext xmlns:c16="http://schemas.microsoft.com/office/drawing/2014/chart" uri="{C3380CC4-5D6E-409C-BE32-E72D297353CC}">
                <c16:uniqueId val="{0000000A-8292-490A-8EC1-38CAC96A292C}"/>
              </c:ext>
            </c:extLst>
          </c:dPt>
          <c:dPt>
            <c:idx val="5"/>
            <c:invertIfNegative val="0"/>
            <c:bubble3D val="0"/>
            <c:spPr>
              <a:solidFill>
                <a:srgbClr val="D9D9D9"/>
              </a:solidFill>
              <a:ln>
                <a:solidFill>
                  <a:schemeClr val="bg2"/>
                </a:solidFill>
              </a:ln>
              <a:effectLst/>
            </c:spPr>
            <c:extLst xmlns:c16r2="http://schemas.microsoft.com/office/drawing/2015/06/chart">
              <c:ext xmlns:c16="http://schemas.microsoft.com/office/drawing/2014/chart" uri="{C3380CC4-5D6E-409C-BE32-E72D297353CC}">
                <c16:uniqueId val="{0000000C-8292-490A-8EC1-38CAC96A292C}"/>
              </c:ext>
            </c:extLst>
          </c:dPt>
          <c:dPt>
            <c:idx val="6"/>
            <c:invertIfNegative val="0"/>
            <c:bubble3D val="0"/>
            <c:spPr>
              <a:solidFill>
                <a:schemeClr val="accent1">
                  <a:lumMod val="75000"/>
                </a:schemeClr>
              </a:solidFill>
              <a:ln>
                <a:solidFill>
                  <a:schemeClr val="bg2"/>
                </a:solidFill>
              </a:ln>
              <a:effectLst/>
            </c:spPr>
            <c:extLst xmlns:c16r2="http://schemas.microsoft.com/office/drawing/2015/06/chart">
              <c:ext xmlns:c16="http://schemas.microsoft.com/office/drawing/2014/chart" uri="{C3380CC4-5D6E-409C-BE32-E72D297353CC}">
                <c16:uniqueId val="{0000000E-8292-490A-8EC1-38CAC96A292C}"/>
              </c:ext>
            </c:extLst>
          </c:dPt>
          <c:dPt>
            <c:idx val="8"/>
            <c:invertIfNegative val="0"/>
            <c:bubble3D val="0"/>
            <c:spPr>
              <a:solidFill>
                <a:schemeClr val="accent1">
                  <a:lumMod val="75000"/>
                </a:schemeClr>
              </a:solidFill>
              <a:ln>
                <a:solidFill>
                  <a:schemeClr val="bg2"/>
                </a:solidFill>
              </a:ln>
              <a:effectLst/>
            </c:spPr>
            <c:extLst xmlns:c16r2="http://schemas.microsoft.com/office/drawing/2015/06/chart">
              <c:ext xmlns:c16="http://schemas.microsoft.com/office/drawing/2014/chart" uri="{C3380CC4-5D6E-409C-BE32-E72D297353CC}">
                <c16:uniqueId val="{00000010-8292-490A-8EC1-38CAC96A292C}"/>
              </c:ext>
            </c:extLst>
          </c:dPt>
          <c:dPt>
            <c:idx val="9"/>
            <c:invertIfNegative val="0"/>
            <c:bubble3D val="0"/>
            <c:spPr>
              <a:solidFill>
                <a:schemeClr val="accent1">
                  <a:lumMod val="75000"/>
                </a:schemeClr>
              </a:solidFill>
              <a:ln>
                <a:solidFill>
                  <a:schemeClr val="bg2"/>
                </a:solidFill>
              </a:ln>
              <a:effectLst/>
            </c:spPr>
            <c:extLst xmlns:c16r2="http://schemas.microsoft.com/office/drawing/2015/06/chart">
              <c:ext xmlns:c16="http://schemas.microsoft.com/office/drawing/2014/chart" uri="{C3380CC4-5D6E-409C-BE32-E72D297353CC}">
                <c16:uniqueId val="{00000012-8292-490A-8EC1-38CAC96A292C}"/>
              </c:ext>
            </c:extLst>
          </c:dPt>
          <c:dPt>
            <c:idx val="10"/>
            <c:invertIfNegative val="0"/>
            <c:bubble3D val="0"/>
            <c:spPr>
              <a:solidFill>
                <a:srgbClr val="D9D9D9"/>
              </a:solidFill>
              <a:ln>
                <a:solidFill>
                  <a:schemeClr val="bg2"/>
                </a:solidFill>
              </a:ln>
              <a:effectLst/>
            </c:spPr>
            <c:extLst xmlns:c16r2="http://schemas.microsoft.com/office/drawing/2015/06/chart">
              <c:ext xmlns:c16="http://schemas.microsoft.com/office/drawing/2014/chart" uri="{C3380CC4-5D6E-409C-BE32-E72D297353CC}">
                <c16:uniqueId val="{00000014-8292-490A-8EC1-38CAC96A292C}"/>
              </c:ext>
            </c:extLst>
          </c:dPt>
          <c:dPt>
            <c:idx val="11"/>
            <c:invertIfNegative val="0"/>
            <c:bubble3D val="0"/>
            <c:spPr>
              <a:solidFill>
                <a:srgbClr val="D9D9D9"/>
              </a:solidFill>
              <a:ln>
                <a:solidFill>
                  <a:schemeClr val="bg2"/>
                </a:solidFill>
              </a:ln>
              <a:effectLst/>
            </c:spPr>
            <c:extLst xmlns:c16r2="http://schemas.microsoft.com/office/drawing/2015/06/chart">
              <c:ext xmlns:c16="http://schemas.microsoft.com/office/drawing/2014/chart" uri="{C3380CC4-5D6E-409C-BE32-E72D297353CC}">
                <c16:uniqueId val="{00000016-8292-490A-8EC1-38CAC96A292C}"/>
              </c:ext>
            </c:extLst>
          </c:dPt>
          <c:dPt>
            <c:idx val="12"/>
            <c:invertIfNegative val="0"/>
            <c:bubble3D val="0"/>
            <c:spPr>
              <a:solidFill>
                <a:schemeClr val="accent1">
                  <a:lumMod val="75000"/>
                </a:schemeClr>
              </a:solidFill>
              <a:ln>
                <a:solidFill>
                  <a:schemeClr val="bg2"/>
                </a:solidFill>
              </a:ln>
              <a:effectLst/>
            </c:spPr>
            <c:extLst xmlns:c16r2="http://schemas.microsoft.com/office/drawing/2015/06/chart">
              <c:ext xmlns:c16="http://schemas.microsoft.com/office/drawing/2014/chart" uri="{C3380CC4-5D6E-409C-BE32-E72D297353CC}">
                <c16:uniqueId val="{00000018-8292-490A-8EC1-38CAC96A292C}"/>
              </c:ext>
            </c:extLst>
          </c:dPt>
          <c:dPt>
            <c:idx val="13"/>
            <c:invertIfNegative val="0"/>
            <c:bubble3D val="0"/>
            <c:spPr>
              <a:solidFill>
                <a:schemeClr val="accent1">
                  <a:lumMod val="75000"/>
                </a:schemeClr>
              </a:solidFill>
              <a:ln>
                <a:solidFill>
                  <a:schemeClr val="bg2"/>
                </a:solidFill>
              </a:ln>
              <a:effectLst/>
            </c:spPr>
            <c:extLst xmlns:c16r2="http://schemas.microsoft.com/office/drawing/2015/06/chart">
              <c:ext xmlns:c16="http://schemas.microsoft.com/office/drawing/2014/chart" uri="{C3380CC4-5D6E-409C-BE32-E72D297353CC}">
                <c16:uniqueId val="{0000001A-8292-490A-8EC1-38CAC96A292C}"/>
              </c:ext>
            </c:extLst>
          </c:dPt>
          <c:dPt>
            <c:idx val="14"/>
            <c:invertIfNegative val="0"/>
            <c:bubble3D val="0"/>
            <c:spPr>
              <a:solidFill>
                <a:schemeClr val="accent1">
                  <a:lumMod val="75000"/>
                </a:schemeClr>
              </a:solidFill>
              <a:ln>
                <a:solidFill>
                  <a:schemeClr val="bg2"/>
                </a:solidFill>
              </a:ln>
              <a:effectLst/>
            </c:spPr>
            <c:extLst xmlns:c16r2="http://schemas.microsoft.com/office/drawing/2015/06/chart">
              <c:ext xmlns:c16="http://schemas.microsoft.com/office/drawing/2014/chart" uri="{C3380CC4-5D6E-409C-BE32-E72D297353CC}">
                <c16:uniqueId val="{0000001C-8292-490A-8EC1-38CAC96A292C}"/>
              </c:ext>
            </c:extLst>
          </c:dPt>
          <c:cat>
            <c:strRef>
              <c:f>Лист4!$AE$23:$AE$37</c:f>
              <c:strCache>
                <c:ptCount val="15"/>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c:v>
                </c:pt>
              </c:strCache>
            </c:strRef>
          </c:cat>
          <c:val>
            <c:numRef>
              <c:f>Лист4!$AG$23:$AG$37</c:f>
              <c:numCache>
                <c:formatCode>0.0%</c:formatCode>
                <c:ptCount val="15"/>
                <c:pt idx="0">
                  <c:v>-7.037926362501193E-3</c:v>
                </c:pt>
                <c:pt idx="1">
                  <c:v>-9.6666794449685144E-3</c:v>
                </c:pt>
                <c:pt idx="2">
                  <c:v>-1.3818338284694247E-2</c:v>
                </c:pt>
                <c:pt idx="3">
                  <c:v>-6.0654926057669267E-3</c:v>
                </c:pt>
                <c:pt idx="4">
                  <c:v>-2.0098300567570327E-2</c:v>
                </c:pt>
                <c:pt idx="5">
                  <c:v>-1.7299291176829407E-2</c:v>
                </c:pt>
                <c:pt idx="6">
                  <c:v>-2.5455589020403147E-3</c:v>
                </c:pt>
                <c:pt idx="7">
                  <c:v>-6.0588810878954582E-5</c:v>
                </c:pt>
                <c:pt idx="8">
                  <c:v>-9.7695890568264086E-4</c:v>
                </c:pt>
                <c:pt idx="9">
                  <c:v>-1.5541956980757758E-3</c:v>
                </c:pt>
                <c:pt idx="10">
                  <c:v>-4.218807185744574E-3</c:v>
                </c:pt>
                <c:pt idx="11">
                  <c:v>-6.3871144002059501E-3</c:v>
                </c:pt>
                <c:pt idx="12">
                  <c:v>-1.4943306410987981E-3</c:v>
                </c:pt>
                <c:pt idx="13">
                  <c:v>-9.7841606408572198E-3</c:v>
                </c:pt>
                <c:pt idx="14">
                  <c:v>-4.5880422940398641E-3</c:v>
                </c:pt>
              </c:numCache>
            </c:numRef>
          </c:val>
          <c:extLst xmlns:c16r2="http://schemas.microsoft.com/office/drawing/2015/06/chart">
            <c:ext xmlns:c16="http://schemas.microsoft.com/office/drawing/2014/chart" uri="{C3380CC4-5D6E-409C-BE32-E72D297353CC}">
              <c16:uniqueId val="{0000001D-8292-490A-8EC1-38CAC96A292C}"/>
            </c:ext>
          </c:extLst>
        </c:ser>
        <c:ser>
          <c:idx val="2"/>
          <c:order val="2"/>
          <c:spPr>
            <a:solidFill>
              <a:srgbClr val="E36729"/>
            </a:solidFill>
            <a:ln>
              <a:solidFill>
                <a:schemeClr val="bg2"/>
              </a:solidFill>
            </a:ln>
            <a:effectLst/>
          </c:spPr>
          <c:invertIfNegative val="0"/>
          <c:cat>
            <c:strRef>
              <c:f>Лист4!$AE$23:$AE$37</c:f>
              <c:strCache>
                <c:ptCount val="15"/>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c:v>
                </c:pt>
              </c:strCache>
            </c:strRef>
          </c:cat>
          <c:val>
            <c:numRef>
              <c:f>Лист4!$AH$23:$AH$37</c:f>
              <c:numCache>
                <c:formatCode>0.0%</c:formatCode>
                <c:ptCount val="15"/>
                <c:pt idx="0">
                  <c:v>2.1781527368342983E-2</c:v>
                </c:pt>
                <c:pt idx="1">
                  <c:v>2.3181687306210386E-2</c:v>
                </c:pt>
                <c:pt idx="2">
                  <c:v>1.9098631409435594E-2</c:v>
                </c:pt>
                <c:pt idx="3">
                  <c:v>2.5001844754170239E-2</c:v>
                </c:pt>
                <c:pt idx="4">
                  <c:v>3.1617173331626926E-2</c:v>
                </c:pt>
                <c:pt idx="5">
                  <c:v>3.4426942369193775E-2</c:v>
                </c:pt>
                <c:pt idx="6">
                  <c:v>4.4865868285999103E-2</c:v>
                </c:pt>
                <c:pt idx="7">
                  <c:v>4.0432670813384697E-2</c:v>
                </c:pt>
                <c:pt idx="8">
                  <c:v>3.4255999791651295E-2</c:v>
                </c:pt>
                <c:pt idx="9">
                  <c:v>3.0316183630447267E-2</c:v>
                </c:pt>
                <c:pt idx="10">
                  <c:v>3.3963010524999247E-2</c:v>
                </c:pt>
                <c:pt idx="11">
                  <c:v>2.8554350560863067E-2</c:v>
                </c:pt>
                <c:pt idx="12">
                  <c:v>3.5086500884758579E-2</c:v>
                </c:pt>
                <c:pt idx="13">
                  <c:v>1.9318555043847281E-2</c:v>
                </c:pt>
                <c:pt idx="14">
                  <c:v>6.1446952827827306E-2</c:v>
                </c:pt>
              </c:numCache>
            </c:numRef>
          </c:val>
          <c:extLst xmlns:c16r2="http://schemas.microsoft.com/office/drawing/2015/06/chart">
            <c:ext xmlns:c16="http://schemas.microsoft.com/office/drawing/2014/chart" uri="{C3380CC4-5D6E-409C-BE32-E72D297353CC}">
              <c16:uniqueId val="{0000001E-8292-490A-8EC1-38CAC96A292C}"/>
            </c:ext>
          </c:extLst>
        </c:ser>
        <c:ser>
          <c:idx val="3"/>
          <c:order val="3"/>
          <c:spPr>
            <a:solidFill>
              <a:schemeClr val="accent4"/>
            </a:solidFill>
            <a:ln>
              <a:solidFill>
                <a:schemeClr val="bg2"/>
              </a:solidFill>
            </a:ln>
            <a:effectLst/>
          </c:spPr>
          <c:invertIfNegative val="0"/>
          <c:dPt>
            <c:idx val="0"/>
            <c:invertIfNegative val="0"/>
            <c:bubble3D val="0"/>
            <c:spPr>
              <a:solidFill>
                <a:srgbClr val="D9D9D9"/>
              </a:solidFill>
              <a:ln>
                <a:solidFill>
                  <a:schemeClr val="bg2"/>
                </a:solidFill>
              </a:ln>
              <a:effectLst/>
            </c:spPr>
            <c:extLst xmlns:c16r2="http://schemas.microsoft.com/office/drawing/2015/06/chart">
              <c:ext xmlns:c16="http://schemas.microsoft.com/office/drawing/2014/chart" uri="{C3380CC4-5D6E-409C-BE32-E72D297353CC}">
                <c16:uniqueId val="{00000020-8292-490A-8EC1-38CAC96A292C}"/>
              </c:ext>
            </c:extLst>
          </c:dPt>
          <c:dPt>
            <c:idx val="1"/>
            <c:invertIfNegative val="0"/>
            <c:bubble3D val="0"/>
            <c:spPr>
              <a:solidFill>
                <a:srgbClr val="990000"/>
              </a:solidFill>
              <a:ln>
                <a:solidFill>
                  <a:schemeClr val="bg2"/>
                </a:solidFill>
              </a:ln>
              <a:effectLst/>
            </c:spPr>
            <c:extLst xmlns:c16r2="http://schemas.microsoft.com/office/drawing/2015/06/chart">
              <c:ext xmlns:c16="http://schemas.microsoft.com/office/drawing/2014/chart" uri="{C3380CC4-5D6E-409C-BE32-E72D297353CC}">
                <c16:uniqueId val="{00000022-8292-490A-8EC1-38CAC96A292C}"/>
              </c:ext>
            </c:extLst>
          </c:dPt>
          <c:dPt>
            <c:idx val="2"/>
            <c:invertIfNegative val="0"/>
            <c:bubble3D val="0"/>
            <c:spPr>
              <a:solidFill>
                <a:srgbClr val="990000"/>
              </a:solidFill>
              <a:ln>
                <a:solidFill>
                  <a:schemeClr val="bg2"/>
                </a:solidFill>
              </a:ln>
              <a:effectLst/>
            </c:spPr>
            <c:extLst xmlns:c16r2="http://schemas.microsoft.com/office/drawing/2015/06/chart">
              <c:ext xmlns:c16="http://schemas.microsoft.com/office/drawing/2014/chart" uri="{C3380CC4-5D6E-409C-BE32-E72D297353CC}">
                <c16:uniqueId val="{00000024-8292-490A-8EC1-38CAC96A292C}"/>
              </c:ext>
            </c:extLst>
          </c:dPt>
          <c:dPt>
            <c:idx val="3"/>
            <c:invertIfNegative val="0"/>
            <c:bubble3D val="0"/>
            <c:spPr>
              <a:solidFill>
                <a:srgbClr val="990000"/>
              </a:solidFill>
              <a:ln>
                <a:solidFill>
                  <a:schemeClr val="bg2"/>
                </a:solidFill>
              </a:ln>
              <a:effectLst/>
            </c:spPr>
            <c:extLst xmlns:c16r2="http://schemas.microsoft.com/office/drawing/2015/06/chart">
              <c:ext xmlns:c16="http://schemas.microsoft.com/office/drawing/2014/chart" uri="{C3380CC4-5D6E-409C-BE32-E72D297353CC}">
                <c16:uniqueId val="{00000026-8292-490A-8EC1-38CAC96A292C}"/>
              </c:ext>
            </c:extLst>
          </c:dPt>
          <c:dPt>
            <c:idx val="4"/>
            <c:invertIfNegative val="0"/>
            <c:bubble3D val="0"/>
            <c:spPr>
              <a:solidFill>
                <a:srgbClr val="D9D9D9"/>
              </a:solidFill>
              <a:ln>
                <a:solidFill>
                  <a:schemeClr val="bg2"/>
                </a:solidFill>
              </a:ln>
              <a:effectLst/>
            </c:spPr>
            <c:extLst xmlns:c16r2="http://schemas.microsoft.com/office/drawing/2015/06/chart">
              <c:ext xmlns:c16="http://schemas.microsoft.com/office/drawing/2014/chart" uri="{C3380CC4-5D6E-409C-BE32-E72D297353CC}">
                <c16:uniqueId val="{00000028-8292-490A-8EC1-38CAC96A292C}"/>
              </c:ext>
            </c:extLst>
          </c:dPt>
          <c:dPt>
            <c:idx val="5"/>
            <c:invertIfNegative val="0"/>
            <c:bubble3D val="0"/>
            <c:spPr>
              <a:solidFill>
                <a:srgbClr val="D9D9D9"/>
              </a:solidFill>
              <a:ln>
                <a:solidFill>
                  <a:schemeClr val="bg2"/>
                </a:solidFill>
              </a:ln>
              <a:effectLst/>
            </c:spPr>
            <c:extLst xmlns:c16r2="http://schemas.microsoft.com/office/drawing/2015/06/chart">
              <c:ext xmlns:c16="http://schemas.microsoft.com/office/drawing/2014/chart" uri="{C3380CC4-5D6E-409C-BE32-E72D297353CC}">
                <c16:uniqueId val="{0000002A-8292-490A-8EC1-38CAC96A292C}"/>
              </c:ext>
            </c:extLst>
          </c:dPt>
          <c:dPt>
            <c:idx val="6"/>
            <c:invertIfNegative val="0"/>
            <c:bubble3D val="0"/>
            <c:spPr>
              <a:solidFill>
                <a:srgbClr val="990000"/>
              </a:solidFill>
              <a:ln>
                <a:solidFill>
                  <a:schemeClr val="bg2"/>
                </a:solidFill>
              </a:ln>
              <a:effectLst/>
            </c:spPr>
            <c:extLst xmlns:c16r2="http://schemas.microsoft.com/office/drawing/2015/06/chart">
              <c:ext xmlns:c16="http://schemas.microsoft.com/office/drawing/2014/chart" uri="{C3380CC4-5D6E-409C-BE32-E72D297353CC}">
                <c16:uniqueId val="{0000002C-8292-490A-8EC1-38CAC96A292C}"/>
              </c:ext>
            </c:extLst>
          </c:dPt>
          <c:dPt>
            <c:idx val="7"/>
            <c:invertIfNegative val="0"/>
            <c:bubble3D val="0"/>
            <c:spPr>
              <a:solidFill>
                <a:srgbClr val="990000"/>
              </a:solidFill>
              <a:ln>
                <a:solidFill>
                  <a:schemeClr val="bg2"/>
                </a:solidFill>
              </a:ln>
              <a:effectLst/>
            </c:spPr>
            <c:extLst xmlns:c16r2="http://schemas.microsoft.com/office/drawing/2015/06/chart">
              <c:ext xmlns:c16="http://schemas.microsoft.com/office/drawing/2014/chart" uri="{C3380CC4-5D6E-409C-BE32-E72D297353CC}">
                <c16:uniqueId val="{0000002E-8292-490A-8EC1-38CAC96A292C}"/>
              </c:ext>
            </c:extLst>
          </c:dPt>
          <c:dPt>
            <c:idx val="8"/>
            <c:invertIfNegative val="0"/>
            <c:bubble3D val="0"/>
            <c:spPr>
              <a:solidFill>
                <a:srgbClr val="990000"/>
              </a:solidFill>
              <a:ln>
                <a:solidFill>
                  <a:schemeClr val="bg2"/>
                </a:solidFill>
              </a:ln>
              <a:effectLst/>
            </c:spPr>
            <c:extLst xmlns:c16r2="http://schemas.microsoft.com/office/drawing/2015/06/chart">
              <c:ext xmlns:c16="http://schemas.microsoft.com/office/drawing/2014/chart" uri="{C3380CC4-5D6E-409C-BE32-E72D297353CC}">
                <c16:uniqueId val="{00000030-8292-490A-8EC1-38CAC96A292C}"/>
              </c:ext>
            </c:extLst>
          </c:dPt>
          <c:dPt>
            <c:idx val="9"/>
            <c:invertIfNegative val="0"/>
            <c:bubble3D val="0"/>
            <c:spPr>
              <a:solidFill>
                <a:srgbClr val="990000"/>
              </a:solidFill>
              <a:ln>
                <a:solidFill>
                  <a:schemeClr val="bg2"/>
                </a:solidFill>
              </a:ln>
              <a:effectLst/>
            </c:spPr>
            <c:extLst xmlns:c16r2="http://schemas.microsoft.com/office/drawing/2015/06/chart">
              <c:ext xmlns:c16="http://schemas.microsoft.com/office/drawing/2014/chart" uri="{C3380CC4-5D6E-409C-BE32-E72D297353CC}">
                <c16:uniqueId val="{00000032-8292-490A-8EC1-38CAC96A292C}"/>
              </c:ext>
            </c:extLst>
          </c:dPt>
          <c:dPt>
            <c:idx val="10"/>
            <c:invertIfNegative val="0"/>
            <c:bubble3D val="0"/>
            <c:spPr>
              <a:solidFill>
                <a:srgbClr val="D9D9D9"/>
              </a:solidFill>
              <a:ln>
                <a:solidFill>
                  <a:schemeClr val="bg2"/>
                </a:solidFill>
              </a:ln>
              <a:effectLst/>
            </c:spPr>
            <c:extLst xmlns:c16r2="http://schemas.microsoft.com/office/drawing/2015/06/chart">
              <c:ext xmlns:c16="http://schemas.microsoft.com/office/drawing/2014/chart" uri="{C3380CC4-5D6E-409C-BE32-E72D297353CC}">
                <c16:uniqueId val="{00000034-8292-490A-8EC1-38CAC96A292C}"/>
              </c:ext>
            </c:extLst>
          </c:dPt>
          <c:dPt>
            <c:idx val="11"/>
            <c:invertIfNegative val="0"/>
            <c:bubble3D val="0"/>
            <c:spPr>
              <a:solidFill>
                <a:srgbClr val="D9D9D9"/>
              </a:solidFill>
              <a:ln>
                <a:solidFill>
                  <a:schemeClr val="bg2"/>
                </a:solidFill>
              </a:ln>
              <a:effectLst/>
            </c:spPr>
            <c:extLst xmlns:c16r2="http://schemas.microsoft.com/office/drawing/2015/06/chart">
              <c:ext xmlns:c16="http://schemas.microsoft.com/office/drawing/2014/chart" uri="{C3380CC4-5D6E-409C-BE32-E72D297353CC}">
                <c16:uniqueId val="{00000036-8292-490A-8EC1-38CAC96A292C}"/>
              </c:ext>
            </c:extLst>
          </c:dPt>
          <c:dPt>
            <c:idx val="12"/>
            <c:invertIfNegative val="0"/>
            <c:bubble3D val="0"/>
            <c:spPr>
              <a:solidFill>
                <a:srgbClr val="990000"/>
              </a:solidFill>
              <a:ln>
                <a:solidFill>
                  <a:schemeClr val="bg2"/>
                </a:solidFill>
              </a:ln>
              <a:effectLst/>
            </c:spPr>
            <c:extLst xmlns:c16r2="http://schemas.microsoft.com/office/drawing/2015/06/chart">
              <c:ext xmlns:c16="http://schemas.microsoft.com/office/drawing/2014/chart" uri="{C3380CC4-5D6E-409C-BE32-E72D297353CC}">
                <c16:uniqueId val="{00000038-8292-490A-8EC1-38CAC96A292C}"/>
              </c:ext>
            </c:extLst>
          </c:dPt>
          <c:dPt>
            <c:idx val="13"/>
            <c:invertIfNegative val="0"/>
            <c:bubble3D val="0"/>
            <c:spPr>
              <a:solidFill>
                <a:srgbClr val="990000"/>
              </a:solidFill>
              <a:ln>
                <a:solidFill>
                  <a:schemeClr val="bg2"/>
                </a:solidFill>
              </a:ln>
              <a:effectLst/>
            </c:spPr>
            <c:extLst xmlns:c16r2="http://schemas.microsoft.com/office/drawing/2015/06/chart">
              <c:ext xmlns:c16="http://schemas.microsoft.com/office/drawing/2014/chart" uri="{C3380CC4-5D6E-409C-BE32-E72D297353CC}">
                <c16:uniqueId val="{0000003A-8292-490A-8EC1-38CAC96A292C}"/>
              </c:ext>
            </c:extLst>
          </c:dPt>
          <c:dPt>
            <c:idx val="14"/>
            <c:invertIfNegative val="0"/>
            <c:bubble3D val="0"/>
            <c:spPr>
              <a:solidFill>
                <a:srgbClr val="990000"/>
              </a:solidFill>
              <a:ln>
                <a:solidFill>
                  <a:schemeClr val="bg2"/>
                </a:solidFill>
              </a:ln>
              <a:effectLst/>
            </c:spPr>
            <c:extLst xmlns:c16r2="http://schemas.microsoft.com/office/drawing/2015/06/chart">
              <c:ext xmlns:c16="http://schemas.microsoft.com/office/drawing/2014/chart" uri="{C3380CC4-5D6E-409C-BE32-E72D297353CC}">
                <c16:uniqueId val="{0000003C-8292-490A-8EC1-38CAC96A292C}"/>
              </c:ext>
            </c:extLst>
          </c:dPt>
          <c:cat>
            <c:strRef>
              <c:f>Лист4!$AE$23:$AE$37</c:f>
              <c:strCache>
                <c:ptCount val="15"/>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c:v>
                </c:pt>
              </c:strCache>
            </c:strRef>
          </c:cat>
          <c:val>
            <c:numRef>
              <c:f>Лист4!$AI$23:$AI$37</c:f>
              <c:numCache>
                <c:formatCode>0.0%</c:formatCode>
                <c:ptCount val="15"/>
                <c:pt idx="0">
                  <c:v>6.7926295790012286E-3</c:v>
                </c:pt>
                <c:pt idx="1">
                  <c:v>1.0311574047394403E-2</c:v>
                </c:pt>
                <c:pt idx="2">
                  <c:v>1.3780901924576433E-2</c:v>
                </c:pt>
                <c:pt idx="3">
                  <c:v>5.3573315704715354E-3</c:v>
                </c:pt>
                <c:pt idx="4">
                  <c:v>2.7835998126336574E-2</c:v>
                </c:pt>
                <c:pt idx="5">
                  <c:v>1.7859901712183782E-2</c:v>
                </c:pt>
                <c:pt idx="6">
                  <c:v>3.2245213440334221E-3</c:v>
                </c:pt>
                <c:pt idx="7">
                  <c:v>2.0599957185139179E-3</c:v>
                </c:pt>
                <c:pt idx="8">
                  <c:v>5.2829188544821423E-3</c:v>
                </c:pt>
                <c:pt idx="9">
                  <c:v>5.6872544099278903E-3</c:v>
                </c:pt>
                <c:pt idx="10">
                  <c:v>5.2644208971687825E-3</c:v>
                </c:pt>
                <c:pt idx="11">
                  <c:v>1.0379367060084086E-2</c:v>
                </c:pt>
                <c:pt idx="12">
                  <c:v>1.8055338854061009E-3</c:v>
                </c:pt>
                <c:pt idx="13">
                  <c:v>1.7148814840722421E-2</c:v>
                </c:pt>
                <c:pt idx="14">
                  <c:v>8.0817418657522754E-3</c:v>
                </c:pt>
              </c:numCache>
            </c:numRef>
          </c:val>
          <c:extLst xmlns:c16r2="http://schemas.microsoft.com/office/drawing/2015/06/chart">
            <c:ext xmlns:c16="http://schemas.microsoft.com/office/drawing/2014/chart" uri="{C3380CC4-5D6E-409C-BE32-E72D297353CC}">
              <c16:uniqueId val="{0000003D-8292-490A-8EC1-38CAC96A292C}"/>
            </c:ext>
          </c:extLst>
        </c:ser>
        <c:dLbls>
          <c:showLegendKey val="0"/>
          <c:showVal val="0"/>
          <c:showCatName val="0"/>
          <c:showSerName val="0"/>
          <c:showPercent val="0"/>
          <c:showBubbleSize val="0"/>
        </c:dLbls>
        <c:gapWidth val="0"/>
        <c:overlap val="100"/>
        <c:axId val="506342000"/>
        <c:axId val="180927736"/>
      </c:barChart>
      <c:catAx>
        <c:axId val="506342000"/>
        <c:scaling>
          <c:orientation val="minMax"/>
        </c:scaling>
        <c:delete val="0"/>
        <c:axPos val="l"/>
        <c:title>
          <c:tx>
            <c:rich>
              <a:bodyPr rot="-5400000" spcFirstLastPara="1" vertOverflow="ellipsis" vert="horz" wrap="square" anchor="ctr" anchorCtr="1"/>
              <a:lstStyle/>
              <a:p>
                <a:pPr>
                  <a:defRPr sz="1000" b="0" i="0" u="none" strike="noStrike" baseline="0">
                    <a:solidFill>
                      <a:schemeClr val="tx1">
                        <a:lumMod val="65000"/>
                        <a:lumOff val="35000"/>
                      </a:schemeClr>
                    </a:solidFill>
                    <a:latin typeface="Times New Roman"/>
                    <a:ea typeface="+mn-ea"/>
                    <a:cs typeface="Times New Roman"/>
                  </a:defRPr>
                </a:pPr>
                <a:r>
                  <a:rPr lang="ru-RU"/>
                  <a:t>Возраст</a:t>
                </a:r>
              </a:p>
            </c:rich>
          </c:tx>
          <c:layout/>
          <c:overlay val="0"/>
          <c:spPr>
            <a:noFill/>
            <a:ln>
              <a:noFill/>
            </a:ln>
            <a:effectLst/>
          </c:spPr>
        </c:title>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baseline="0">
                <a:solidFill>
                  <a:schemeClr val="tx1">
                    <a:lumMod val="65000"/>
                    <a:lumOff val="35000"/>
                  </a:schemeClr>
                </a:solidFill>
                <a:latin typeface="Times New Roman"/>
                <a:ea typeface="+mn-ea"/>
                <a:cs typeface="Times New Roman"/>
              </a:defRPr>
            </a:pPr>
            <a:endParaRPr lang="ru-RU"/>
          </a:p>
        </c:txPr>
        <c:crossAx val="180927736"/>
        <c:crosses val="autoZero"/>
        <c:auto val="1"/>
        <c:lblAlgn val="ctr"/>
        <c:lblOffset val="100"/>
        <c:noMultiLvlLbl val="0"/>
      </c:catAx>
      <c:valAx>
        <c:axId val="180927736"/>
        <c:scaling>
          <c:orientation val="minMax"/>
          <c:max val="8.0000000000000016E-2"/>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baseline="0">
                <a:solidFill>
                  <a:schemeClr val="tx1">
                    <a:lumMod val="65000"/>
                    <a:lumOff val="35000"/>
                  </a:schemeClr>
                </a:solidFill>
                <a:latin typeface="Times New Roman"/>
                <a:ea typeface="+mn-ea"/>
                <a:cs typeface="Times New Roman"/>
              </a:defRPr>
            </a:pPr>
            <a:endParaRPr lang="ru-RU"/>
          </a:p>
        </c:txPr>
        <c:crossAx val="50634200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Times New Roman"/>
          <a:cs typeface="Times New Roman"/>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w="25875" cap="rnd">
              <a:solidFill>
                <a:srgbClr val="002060"/>
              </a:solidFill>
              <a:round/>
            </a:ln>
            <a:effectLst/>
          </c:spPr>
          <c:marker>
            <c:symbol val="none"/>
          </c:marker>
          <c:dLbls>
            <c:dLbl>
              <c:idx val="0"/>
              <c:layout/>
              <c:tx>
                <c:rich>
                  <a:bodyPr/>
                  <a:lstStyle/>
                  <a:p>
                    <a:r>
                      <a:rPr lang="en-US">
                        <a:latin typeface="PT Astra Serif" pitchFamily="18" charset="-52"/>
                        <a:ea typeface="PT Astra Serif" pitchFamily="18" charset="-52"/>
                      </a:rPr>
                      <a:t>1</a:t>
                    </a:r>
                    <a:r>
                      <a:rPr lang="en-US"/>
                      <a:t>00</a:t>
                    </a:r>
                  </a:p>
                </c:rich>
              </c:tx>
              <c:dLblPos val="t"/>
              <c:showLegendKey val="0"/>
              <c:showVal val="0"/>
              <c:showCatName val="0"/>
              <c:showSerName val="0"/>
              <c:showPercent val="0"/>
              <c:showBubbleSize val="0"/>
              <c:extLst>
                <c:ext xmlns:c15="http://schemas.microsoft.com/office/drawing/2012/chart" uri="{CE6537A1-D6FC-4f65-9D91-7224C49458BB}">
                  <c15:layout/>
                </c:ext>
              </c:extLst>
            </c:dLbl>
            <c:dLbl>
              <c:idx val="1"/>
              <c:layout/>
              <c:tx>
                <c:rich>
                  <a:bodyPr/>
                  <a:lstStyle/>
                  <a:p>
                    <a:r>
                      <a:rPr lang="en-US">
                        <a:latin typeface="PT Astra Serif" pitchFamily="18" charset="-52"/>
                        <a:ea typeface="PT Astra Serif" pitchFamily="18" charset="-52"/>
                      </a:rPr>
                      <a:t>1</a:t>
                    </a:r>
                    <a:r>
                      <a:rPr lang="en-US"/>
                      <a:t>05</a:t>
                    </a:r>
                  </a:p>
                </c:rich>
              </c:tx>
              <c:dLblPos val="t"/>
              <c:showLegendKey val="0"/>
              <c:showVal val="0"/>
              <c:showCatName val="0"/>
              <c:showSerName val="0"/>
              <c:showPercent val="0"/>
              <c:showBubbleSize val="0"/>
              <c:extLst>
                <c:ext xmlns:c15="http://schemas.microsoft.com/office/drawing/2012/chart" uri="{CE6537A1-D6FC-4f65-9D91-7224C49458BB}">
                  <c15:layout/>
                </c:ext>
              </c:extLst>
            </c:dLbl>
            <c:dLbl>
              <c:idx val="2"/>
              <c:layout/>
              <c:tx>
                <c:rich>
                  <a:bodyPr/>
                  <a:lstStyle/>
                  <a:p>
                    <a:r>
                      <a:rPr lang="en-US">
                        <a:latin typeface="PT Astra Serif" pitchFamily="18" charset="-52"/>
                        <a:ea typeface="PT Astra Serif" pitchFamily="18" charset="-52"/>
                      </a:rPr>
                      <a:t>1</a:t>
                    </a:r>
                    <a:r>
                      <a:rPr lang="en-US"/>
                      <a:t>02</a:t>
                    </a:r>
                  </a:p>
                </c:rich>
              </c:tx>
              <c:dLblPos val="t"/>
              <c:showLegendKey val="0"/>
              <c:showVal val="0"/>
              <c:showCatName val="0"/>
              <c:showSerName val="0"/>
              <c:showPercent val="0"/>
              <c:showBubbleSize val="0"/>
              <c:extLst>
                <c:ext xmlns:c15="http://schemas.microsoft.com/office/drawing/2012/chart" uri="{CE6537A1-D6FC-4f65-9D91-7224C49458BB}">
                  <c15:layout/>
                </c:ext>
              </c:extLst>
            </c:dLbl>
            <c:dLbl>
              <c:idx val="3"/>
              <c:layout/>
              <c:tx>
                <c:rich>
                  <a:bodyPr/>
                  <a:lstStyle/>
                  <a:p>
                    <a:r>
                      <a:rPr lang="en-US">
                        <a:latin typeface="PT Astra Serif" pitchFamily="18" charset="-52"/>
                        <a:ea typeface="PT Astra Serif" pitchFamily="18" charset="-52"/>
                      </a:rPr>
                      <a:t>9</a:t>
                    </a:r>
                    <a:r>
                      <a:rPr lang="en-US"/>
                      <a:t>4</a:t>
                    </a:r>
                  </a:p>
                </c:rich>
              </c:tx>
              <c:dLblPos val="t"/>
              <c:showLegendKey val="0"/>
              <c:showVal val="0"/>
              <c:showCatName val="0"/>
              <c:showSerName val="0"/>
              <c:showPercent val="0"/>
              <c:showBubbleSize val="0"/>
              <c:extLst>
                <c:ext xmlns:c15="http://schemas.microsoft.com/office/drawing/2012/chart" uri="{CE6537A1-D6FC-4f65-9D91-7224C49458BB}">
                  <c15:layout/>
                </c:ext>
              </c:extLst>
            </c:dLbl>
            <c:dLbl>
              <c:idx val="4"/>
              <c:layout/>
              <c:tx>
                <c:rich>
                  <a:bodyPr/>
                  <a:lstStyle/>
                  <a:p>
                    <a:r>
                      <a:rPr lang="en-US">
                        <a:latin typeface="PT Astra Serif" pitchFamily="18" charset="-52"/>
                        <a:ea typeface="PT Astra Serif" pitchFamily="18" charset="-52"/>
                      </a:rPr>
                      <a:t>9</a:t>
                    </a:r>
                    <a:r>
                      <a:rPr lang="en-US"/>
                      <a:t>4</a:t>
                    </a:r>
                  </a:p>
                </c:rich>
              </c:tx>
              <c:dLblPos val="t"/>
              <c:showLegendKey val="0"/>
              <c:showVal val="0"/>
              <c:showCatName val="0"/>
              <c:showSerName val="0"/>
              <c:showPercent val="0"/>
              <c:showBubbleSize val="0"/>
              <c:extLst>
                <c:ext xmlns:c15="http://schemas.microsoft.com/office/drawing/2012/chart" uri="{CE6537A1-D6FC-4f65-9D91-7224C49458BB}">
                  <c15:layout/>
                </c:ext>
              </c:extLst>
            </c:dLbl>
            <c:dLbl>
              <c:idx val="5"/>
              <c:layout/>
              <c:tx>
                <c:rich>
                  <a:bodyPr/>
                  <a:lstStyle/>
                  <a:p>
                    <a:r>
                      <a:rPr lang="en-US">
                        <a:latin typeface="PT Astra Serif" pitchFamily="18" charset="-52"/>
                        <a:ea typeface="PT Astra Serif" pitchFamily="18" charset="-52"/>
                      </a:rPr>
                      <a:t>9</a:t>
                    </a:r>
                    <a:r>
                      <a:rPr lang="en-US"/>
                      <a:t>9</a:t>
                    </a:r>
                  </a:p>
                </c:rich>
              </c:tx>
              <c:dLblPos val="t"/>
              <c:showLegendKey val="0"/>
              <c:showVal val="0"/>
              <c:showCatName val="0"/>
              <c:showSerName val="0"/>
              <c:showPercent val="0"/>
              <c:showBubbleSize val="0"/>
              <c:extLst>
                <c:ext xmlns:c15="http://schemas.microsoft.com/office/drawing/2012/chart" uri="{CE6537A1-D6FC-4f65-9D91-7224C49458BB}">
                  <c15:layout/>
                </c:ext>
              </c:extLst>
            </c:dLbl>
            <c:dLbl>
              <c:idx val="6"/>
              <c:layout/>
              <c:tx>
                <c:rich>
                  <a:bodyPr/>
                  <a:lstStyle/>
                  <a:p>
                    <a:r>
                      <a:rPr lang="en-US">
                        <a:latin typeface="PT Astra Serif" pitchFamily="18" charset="-52"/>
                        <a:ea typeface="PT Astra Serif" pitchFamily="18" charset="-52"/>
                      </a:rPr>
                      <a:t>1</a:t>
                    </a:r>
                    <a:r>
                      <a:rPr lang="en-US"/>
                      <a:t>07</a:t>
                    </a:r>
                  </a:p>
                </c:rich>
              </c:tx>
              <c:dLblPos val="t"/>
              <c:showLegendKey val="0"/>
              <c:showVal val="0"/>
              <c:showCatName val="0"/>
              <c:showSerName val="0"/>
              <c:showPercent val="0"/>
              <c:showBubbleSize val="0"/>
              <c:extLst>
                <c:ext xmlns:c15="http://schemas.microsoft.com/office/drawing/2012/chart" uri="{CE6537A1-D6FC-4f65-9D91-7224C49458BB}">
                  <c15:layout/>
                </c:ext>
              </c:extLst>
            </c:dLbl>
            <c:dLbl>
              <c:idx val="7"/>
              <c:layout/>
              <c:tx>
                <c:rich>
                  <a:bodyPr/>
                  <a:lstStyle/>
                  <a:p>
                    <a:r>
                      <a:rPr lang="en-US">
                        <a:latin typeface="PT Astra Serif" pitchFamily="18" charset="-52"/>
                        <a:ea typeface="PT Astra Serif" pitchFamily="18" charset="-52"/>
                      </a:rPr>
                      <a:t>1</a:t>
                    </a:r>
                    <a:r>
                      <a:rPr lang="en-US"/>
                      <a:t>13</a:t>
                    </a:r>
                  </a:p>
                </c:rich>
              </c:tx>
              <c:dLblPos val="t"/>
              <c:showLegendKey val="0"/>
              <c:showVal val="0"/>
              <c:showCatName val="0"/>
              <c:showSerName val="0"/>
              <c:showPercent val="0"/>
              <c:showBubbleSize val="0"/>
              <c:extLst>
                <c:ext xmlns:c15="http://schemas.microsoft.com/office/drawing/2012/chart" uri="{CE6537A1-D6FC-4f65-9D91-7224C49458BB}">
                  <c15:layout/>
                </c:ext>
              </c:extLst>
            </c:dLbl>
            <c:dLbl>
              <c:idx val="8"/>
              <c:layout/>
              <c:tx>
                <c:rich>
                  <a:bodyPr/>
                  <a:lstStyle/>
                  <a:p>
                    <a:r>
                      <a:rPr lang="en-US">
                        <a:latin typeface="PT Astra Serif" pitchFamily="18" charset="-52"/>
                        <a:ea typeface="PT Astra Serif" pitchFamily="18" charset="-52"/>
                      </a:rPr>
                      <a:t>1</a:t>
                    </a:r>
                    <a:r>
                      <a:rPr lang="en-US"/>
                      <a:t>15</a:t>
                    </a:r>
                  </a:p>
                </c:rich>
              </c:tx>
              <c:dLblPos val="t"/>
              <c:showLegendKey val="0"/>
              <c:showVal val="0"/>
              <c:showCatName val="0"/>
              <c:showSerName val="0"/>
              <c:showPercent val="0"/>
              <c:showBubbleSize val="0"/>
              <c:extLst>
                <c:ext xmlns:c15="http://schemas.microsoft.com/office/drawing/2012/chart" uri="{CE6537A1-D6FC-4f65-9D91-7224C49458BB}">
                  <c15:layout/>
                </c:ext>
              </c:extLst>
            </c:dLbl>
            <c:dLbl>
              <c:idx val="9"/>
              <c:layout/>
              <c:tx>
                <c:rich>
                  <a:bodyPr/>
                  <a:lstStyle/>
                  <a:p>
                    <a:r>
                      <a:rPr lang="en-US">
                        <a:latin typeface="PT Astra Serif" pitchFamily="18" charset="-52"/>
                        <a:ea typeface="PT Astra Serif" pitchFamily="18" charset="-52"/>
                      </a:rPr>
                      <a:t>1</a:t>
                    </a:r>
                    <a:r>
                      <a:rPr lang="en-US"/>
                      <a:t>15</a:t>
                    </a:r>
                  </a:p>
                </c:rich>
              </c:tx>
              <c:dLblPos val="t"/>
              <c:showLegendKey val="0"/>
              <c:showVal val="0"/>
              <c:showCatName val="0"/>
              <c:showSerName val="0"/>
              <c:showPercent val="0"/>
              <c:showBubbleSize val="0"/>
              <c:extLst>
                <c:ext xmlns:c15="http://schemas.microsoft.com/office/drawing/2012/chart" uri="{CE6537A1-D6FC-4f65-9D91-7224C49458BB}">
                  <c15:layout/>
                </c:ext>
              </c:extLst>
            </c:dLbl>
            <c:dLbl>
              <c:idx val="10"/>
              <c:layout/>
              <c:tx>
                <c:rich>
                  <a:bodyPr/>
                  <a:lstStyle/>
                  <a:p>
                    <a:r>
                      <a:rPr lang="en-US">
                        <a:latin typeface="PT Astra Serif" pitchFamily="18" charset="-52"/>
                        <a:ea typeface="PT Astra Serif" pitchFamily="18" charset="-52"/>
                      </a:rPr>
                      <a:t>1</a:t>
                    </a:r>
                    <a:r>
                      <a:rPr lang="en-US"/>
                      <a:t>15</a:t>
                    </a:r>
                  </a:p>
                </c:rich>
              </c:tx>
              <c:dLblPos val="t"/>
              <c:showLegendKey val="0"/>
              <c:showVal val="0"/>
              <c:showCatName val="0"/>
              <c:showSerName val="0"/>
              <c:showPercent val="0"/>
              <c:showBubbleSize val="0"/>
              <c:extLst>
                <c:ext xmlns:c15="http://schemas.microsoft.com/office/drawing/2012/chart" uri="{CE6537A1-D6FC-4f65-9D91-7224C49458BB}">
                  <c15:layout/>
                </c:ext>
              </c:extLst>
            </c:dLbl>
            <c:dLbl>
              <c:idx val="11"/>
              <c:layout/>
              <c:tx>
                <c:rich>
                  <a:bodyPr/>
                  <a:lstStyle/>
                  <a:p>
                    <a:r>
                      <a:rPr lang="en-US">
                        <a:latin typeface="PT Astra Serif" pitchFamily="18" charset="-52"/>
                        <a:ea typeface="PT Astra Serif" pitchFamily="18" charset="-52"/>
                      </a:rPr>
                      <a:t>1</a:t>
                    </a:r>
                    <a:r>
                      <a:rPr lang="en-US"/>
                      <a:t>23</a:t>
                    </a:r>
                  </a:p>
                </c:rich>
              </c:tx>
              <c:dLblPos val="t"/>
              <c:showLegendKey val="0"/>
              <c:showVal val="0"/>
              <c:showCatName val="0"/>
              <c:showSerName val="0"/>
              <c:showPercent val="0"/>
              <c:showBubbleSize val="0"/>
              <c:extLst>
                <c:ext xmlns:c15="http://schemas.microsoft.com/office/drawing/2012/chart" uri="{CE6537A1-D6FC-4f65-9D91-7224C49458BB}">
                  <c15:layout/>
                </c:ext>
              </c:extLst>
            </c:dLbl>
            <c:dLbl>
              <c:idx val="12"/>
              <c:layout/>
              <c:tx>
                <c:rich>
                  <a:bodyPr/>
                  <a:lstStyle/>
                  <a:p>
                    <a:r>
                      <a:rPr lang="en-US">
                        <a:latin typeface="PT Astra Serif" pitchFamily="18" charset="-52"/>
                        <a:ea typeface="PT Astra Serif" pitchFamily="18" charset="-52"/>
                      </a:rPr>
                      <a:t>1</a:t>
                    </a:r>
                    <a:r>
                      <a:rPr lang="en-US"/>
                      <a:t>33</a:t>
                    </a:r>
                  </a:p>
                </c:rich>
              </c:tx>
              <c:dLblPos val="t"/>
              <c:showLegendKey val="0"/>
              <c:showVal val="0"/>
              <c:showCatName val="0"/>
              <c:showSerName val="0"/>
              <c:showPercent val="0"/>
              <c:showBubbleSize val="0"/>
              <c:extLst>
                <c:ext xmlns:c15="http://schemas.microsoft.com/office/drawing/2012/chart" uri="{CE6537A1-D6FC-4f65-9D91-7224C49458BB}">
                  <c15:layout/>
                </c:ext>
              </c:extLst>
            </c:dLbl>
            <c:spPr>
              <a:noFill/>
              <a:ln w="23000">
                <a:noFill/>
              </a:ln>
            </c:spPr>
            <c:txPr>
              <a:bodyPr rot="0" vert="horz"/>
              <a:lstStyle/>
              <a:p>
                <a:pPr>
                  <a:defRPr>
                    <a:latin typeface="PT Astra Serif" pitchFamily="18" charset="-52"/>
                    <a:ea typeface="PT Astra Serif" pitchFamily="18" charset="-52"/>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'Уровень жизни'!$B$15:$N$15</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'Уровень жизни'!$B$16:$N$16</c:f>
              <c:numCache>
                <c:formatCode>0%</c:formatCode>
                <c:ptCount val="13"/>
                <c:pt idx="0">
                  <c:v>1</c:v>
                </c:pt>
                <c:pt idx="1">
                  <c:v>1.0505436625859139</c:v>
                </c:pt>
                <c:pt idx="2">
                  <c:v>1.024711521874913</c:v>
                </c:pt>
                <c:pt idx="3">
                  <c:v>0.94301442293268412</c:v>
                </c:pt>
                <c:pt idx="4">
                  <c:v>0.94016003637114098</c:v>
                </c:pt>
                <c:pt idx="5">
                  <c:v>0.99374710430431668</c:v>
                </c:pt>
                <c:pt idx="6">
                  <c:v>1.0657204164820027</c:v>
                </c:pt>
                <c:pt idx="7">
                  <c:v>1.1274908623612991</c:v>
                </c:pt>
                <c:pt idx="8">
                  <c:v>1.1464405742266723</c:v>
                </c:pt>
                <c:pt idx="9">
                  <c:v>1.1469511621627992</c:v>
                </c:pt>
                <c:pt idx="10">
                  <c:v>1.1529895199206488</c:v>
                </c:pt>
                <c:pt idx="11">
                  <c:v>1.2307911012823221</c:v>
                </c:pt>
                <c:pt idx="12">
                  <c:v>1.327632713286933</c:v>
                </c:pt>
              </c:numCache>
            </c:numRef>
          </c:val>
          <c:smooth val="0"/>
        </c:ser>
        <c:dLbls>
          <c:showLegendKey val="0"/>
          <c:showVal val="1"/>
          <c:showCatName val="0"/>
          <c:showSerName val="0"/>
          <c:showPercent val="0"/>
          <c:showBubbleSize val="0"/>
        </c:dLbls>
        <c:smooth val="0"/>
        <c:axId val="508129520"/>
        <c:axId val="508129912"/>
      </c:lineChart>
      <c:catAx>
        <c:axId val="508129520"/>
        <c:scaling>
          <c:orientation val="minMax"/>
        </c:scaling>
        <c:delete val="0"/>
        <c:axPos val="b"/>
        <c:numFmt formatCode="General" sourceLinked="1"/>
        <c:majorTickMark val="none"/>
        <c:minorTickMark val="none"/>
        <c:tickLblPos val="nextTo"/>
        <c:spPr>
          <a:noFill/>
          <a:ln w="8625" cap="flat" cmpd="sng" algn="ctr">
            <a:solidFill>
              <a:schemeClr val="tx1">
                <a:lumMod val="15000"/>
                <a:lumOff val="85000"/>
              </a:schemeClr>
            </a:solidFill>
            <a:round/>
          </a:ln>
          <a:effectLst/>
        </c:spPr>
        <c:txPr>
          <a:bodyPr rot="-60000000" vert="horz"/>
          <a:lstStyle/>
          <a:p>
            <a:pPr>
              <a:defRPr>
                <a:latin typeface="PT Astra Serif" pitchFamily="18" charset="-52"/>
                <a:ea typeface="PT Astra Serif" pitchFamily="18" charset="-52"/>
              </a:defRPr>
            </a:pPr>
            <a:endParaRPr lang="ru-RU"/>
          </a:p>
        </c:txPr>
        <c:crossAx val="508129912"/>
        <c:crosses val="autoZero"/>
        <c:auto val="1"/>
        <c:lblAlgn val="ctr"/>
        <c:lblOffset val="100"/>
        <c:noMultiLvlLbl val="0"/>
      </c:catAx>
      <c:valAx>
        <c:axId val="508129912"/>
        <c:scaling>
          <c:orientation val="minMax"/>
        </c:scaling>
        <c:delete val="0"/>
        <c:axPos val="l"/>
        <c:majorGridlines>
          <c:spPr>
            <a:ln w="8625" cap="flat" cmpd="sng" algn="ctr">
              <a:solidFill>
                <a:schemeClr val="tx1">
                  <a:lumMod val="15000"/>
                  <a:lumOff val="85000"/>
                </a:schemeClr>
              </a:solidFill>
              <a:round/>
            </a:ln>
            <a:effectLst/>
          </c:spPr>
        </c:majorGridlines>
        <c:numFmt formatCode="0%" sourceLinked="1"/>
        <c:majorTickMark val="none"/>
        <c:minorTickMark val="none"/>
        <c:tickLblPos val="nextTo"/>
        <c:spPr>
          <a:ln w="11500">
            <a:noFill/>
          </a:ln>
        </c:spPr>
        <c:txPr>
          <a:bodyPr rot="-60000000" vert="horz"/>
          <a:lstStyle/>
          <a:p>
            <a:pPr>
              <a:defRPr>
                <a:latin typeface="PT Astra Serif" pitchFamily="18" charset="-52"/>
                <a:ea typeface="PT Astra Serif" pitchFamily="18" charset="-52"/>
              </a:defRPr>
            </a:pPr>
            <a:endParaRPr lang="ru-RU"/>
          </a:p>
        </c:txPr>
        <c:crossAx val="508129520"/>
        <c:crosses val="autoZero"/>
        <c:crossBetween val="between"/>
      </c:valAx>
      <c:spPr>
        <a:noFill/>
        <a:ln w="23000">
          <a:noFill/>
        </a:ln>
      </c:spPr>
    </c:plotArea>
    <c:plotVisOnly val="1"/>
    <c:dispBlanksAs val="gap"/>
    <c:showDLblsOverMax val="0"/>
  </c:chart>
  <c:spPr>
    <a:solidFill>
      <a:schemeClr val="bg1"/>
    </a:solid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58128499999999994"/>
          <c:y val="6.5209000000000003E-2"/>
          <c:w val="0.38839100000000015"/>
          <c:h val="0.827762"/>
        </c:manualLayout>
      </c:layout>
      <c:barChart>
        <c:barDir val="bar"/>
        <c:grouping val="clustered"/>
        <c:varyColors val="0"/>
        <c:ser>
          <c:idx val="0"/>
          <c:order val="0"/>
          <c:spPr>
            <a:solidFill>
              <a:srgbClr val="002060"/>
            </a:solidFill>
            <a:ln>
              <a:noFill/>
            </a:ln>
            <a:effectLst/>
          </c:spPr>
          <c:invertIfNegative val="0"/>
          <c:cat>
            <c:strRef>
              <c:f>'Уровень жизни'!$A$37:$A$54</c:f>
              <c:strCache>
                <c:ptCount val="18"/>
                <c:pt idx="0">
                  <c:v>Раздел K Деятельность финансовая и страховая</c:v>
                </c:pt>
                <c:pt idx="1">
                  <c:v>Раздел F Строительство</c:v>
                </c:pt>
                <c:pt idx="2">
                  <c:v>Раздел D Обеспечение электрической энергией, газом и паром кондиционирование воздуха</c:v>
                </c:pt>
                <c:pt idx="3">
                  <c:v>Раздел O Государственное управление и обеспечение военной безопасности социальное обеспечение</c:v>
                </c:pt>
                <c:pt idx="4">
                  <c:v>Раздел M Деятельность профессиональная, научная и техническая</c:v>
                </c:pt>
                <c:pt idx="5">
                  <c:v>Раздел J Деятельность в области информации и связи</c:v>
                </c:pt>
                <c:pt idx="6">
                  <c:v>Раздел C Обрабатывающие производства</c:v>
                </c:pt>
                <c:pt idx="7">
                  <c:v>Раздел G торговля оптовая и розничная ремонт автотранспортных средств и мотоциклов</c:v>
                </c:pt>
                <c:pt idx="8">
                  <c:v>Раздел Н Транспортировка и хранение</c:v>
                </c:pt>
                <c:pt idx="9">
                  <c:v>Раздел L Деятельность по операциям с недвижимым имуществом</c:v>
                </c:pt>
                <c:pt idx="10">
                  <c:v>Раздел А Сельское, лесное хозяйство, охота, рыболовство и рыбоводство</c:v>
                </c:pt>
                <c:pt idx="11">
                  <c:v>Раздел Е Водоснабжение водоотведение, организация сбора и утилизация отходов, деятельность по ликвидации загрязнений</c:v>
                </c:pt>
                <c:pt idx="12">
                  <c:v>Раздел Q Деятельность в области здравоохранения и социальных  услуг</c:v>
                </c:pt>
                <c:pt idx="13">
                  <c:v>Раздел P Образование</c:v>
                </c:pt>
                <c:pt idx="14">
                  <c:v>Раздел R Деятельность в области культуры, спорта, организации досуга и развлечений</c:v>
                </c:pt>
                <c:pt idx="15">
                  <c:v>Раздел S Предоставление прочих видов услуг</c:v>
                </c:pt>
                <c:pt idx="16">
                  <c:v>Раздел N Деятельность административная и сопутствующие дополнительные услуги</c:v>
                </c:pt>
                <c:pt idx="17">
                  <c:v>Раздел I Деятельность гостиниц и предприятий общественного питания</c:v>
                </c:pt>
              </c:strCache>
            </c:strRef>
          </c:cat>
          <c:val>
            <c:numRef>
              <c:f>'Уровень жизни'!$B$37:$B$54</c:f>
              <c:numCache>
                <c:formatCode>General</c:formatCode>
                <c:ptCount val="18"/>
                <c:pt idx="0">
                  <c:v>93697.7</c:v>
                </c:pt>
                <c:pt idx="1">
                  <c:v>92738.2</c:v>
                </c:pt>
                <c:pt idx="2">
                  <c:v>81630.899999999994</c:v>
                </c:pt>
                <c:pt idx="3">
                  <c:v>80151</c:v>
                </c:pt>
                <c:pt idx="4">
                  <c:v>79217.600000000006</c:v>
                </c:pt>
                <c:pt idx="5">
                  <c:v>78001.2</c:v>
                </c:pt>
                <c:pt idx="6">
                  <c:v>72642.600000000006</c:v>
                </c:pt>
                <c:pt idx="7">
                  <c:v>69895.5</c:v>
                </c:pt>
                <c:pt idx="8">
                  <c:v>67987.5</c:v>
                </c:pt>
                <c:pt idx="9">
                  <c:v>66363.199999999997</c:v>
                </c:pt>
                <c:pt idx="10">
                  <c:v>62776.800000000003</c:v>
                </c:pt>
                <c:pt idx="11">
                  <c:v>61036.9</c:v>
                </c:pt>
                <c:pt idx="12">
                  <c:v>59534.400000000001</c:v>
                </c:pt>
                <c:pt idx="13">
                  <c:v>54556.3</c:v>
                </c:pt>
                <c:pt idx="14">
                  <c:v>54534</c:v>
                </c:pt>
                <c:pt idx="15">
                  <c:v>52906.8</c:v>
                </c:pt>
                <c:pt idx="16">
                  <c:v>50885</c:v>
                </c:pt>
                <c:pt idx="17">
                  <c:v>41792.300000000003</c:v>
                </c:pt>
              </c:numCache>
            </c:numRef>
          </c:val>
          <c:extLst xmlns:c16r2="http://schemas.microsoft.com/office/drawing/2015/06/chart">
            <c:ext xmlns:c16="http://schemas.microsoft.com/office/drawing/2014/chart" uri="{C3380CC4-5D6E-409C-BE32-E72D297353CC}">
              <c16:uniqueId val="{00000000-ED12-4E7C-9DBF-E91548105E55}"/>
            </c:ext>
          </c:extLst>
        </c:ser>
        <c:dLbls>
          <c:showLegendKey val="0"/>
          <c:showVal val="0"/>
          <c:showCatName val="0"/>
          <c:showSerName val="0"/>
          <c:showPercent val="0"/>
          <c:showBubbleSize val="0"/>
        </c:dLbls>
        <c:gapWidth val="182"/>
        <c:axId val="508156016"/>
        <c:axId val="508156408"/>
      </c:barChart>
      <c:catAx>
        <c:axId val="5081560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baseline="0">
                <a:solidFill>
                  <a:schemeClr val="tx1">
                    <a:lumMod val="65000"/>
                    <a:lumOff val="35000"/>
                  </a:schemeClr>
                </a:solidFill>
                <a:latin typeface="Times New Roman"/>
                <a:ea typeface="+mn-ea"/>
                <a:cs typeface="Times New Roman"/>
              </a:defRPr>
            </a:pPr>
            <a:endParaRPr lang="ru-RU"/>
          </a:p>
        </c:txPr>
        <c:crossAx val="508156408"/>
        <c:crosses val="autoZero"/>
        <c:auto val="1"/>
        <c:lblAlgn val="ctr"/>
        <c:lblOffset val="100"/>
        <c:noMultiLvlLbl val="0"/>
      </c:catAx>
      <c:valAx>
        <c:axId val="50815640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baseline="0">
                <a:solidFill>
                  <a:schemeClr val="tx1">
                    <a:lumMod val="65000"/>
                    <a:lumOff val="35000"/>
                  </a:schemeClr>
                </a:solidFill>
                <a:latin typeface="Times New Roman"/>
                <a:ea typeface="+mn-ea"/>
                <a:cs typeface="Times New Roman"/>
              </a:defRPr>
            </a:pPr>
            <a:endParaRPr lang="ru-RU"/>
          </a:p>
        </c:txPr>
        <c:crossAx val="50815601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Times New Roman"/>
          <a:cs typeface="Times New Roman"/>
        </a:defRPr>
      </a:pPr>
      <a:endParaRPr lang="ru-RU"/>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2"/>
          <c:order val="0"/>
          <c:tx>
            <c:strRef>
              <c:f>'Уровень жизни'!$A$61</c:f>
              <c:strCache>
                <c:ptCount val="1"/>
                <c:pt idx="0">
                  <c:v>Российская Федерация</c:v>
                </c:pt>
              </c:strCache>
            </c:strRef>
          </c:tx>
          <c:spPr>
            <a:ln w="26062" cap="rnd">
              <a:solidFill>
                <a:srgbClr val="002060"/>
              </a:solidFill>
              <a:prstDash val="solid"/>
              <a:round/>
            </a:ln>
            <a:effectLst/>
          </c:spPr>
          <c:marker>
            <c:symbol val="none"/>
          </c:marker>
          <c:cat>
            <c:strRef>
              <c:f>'Уровень жизни'!$B$58:$N$58</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'Уровень жизни'!$B$61:$N$61</c:f>
              <c:numCache>
                <c:formatCode>0</c:formatCode>
                <c:ptCount val="13"/>
                <c:pt idx="0">
                  <c:v>23.192509672205706</c:v>
                </c:pt>
                <c:pt idx="1">
                  <c:v>25.631035599012236</c:v>
                </c:pt>
                <c:pt idx="2">
                  <c:v>27.332999999999995</c:v>
                </c:pt>
                <c:pt idx="3">
                  <c:v>30.139738613561867</c:v>
                </c:pt>
                <c:pt idx="4">
                  <c:v>30.716978531365996</c:v>
                </c:pt>
                <c:pt idx="5">
                  <c:v>31.713769610003713</c:v>
                </c:pt>
                <c:pt idx="6">
                  <c:v>33.138238004356609</c:v>
                </c:pt>
                <c:pt idx="7">
                  <c:v>35.233098427869656</c:v>
                </c:pt>
                <c:pt idx="8">
                  <c:v>35.933600109194174</c:v>
                </c:pt>
                <c:pt idx="9">
                  <c:v>39.933752972852318</c:v>
                </c:pt>
                <c:pt idx="10">
                  <c:v>47.385999999999996</c:v>
                </c:pt>
                <c:pt idx="11">
                  <c:v>53.579000000000001</c:v>
                </c:pt>
                <c:pt idx="12">
                  <c:v>63.083000000000006</c:v>
                </c:pt>
              </c:numCache>
            </c:numRef>
          </c:val>
          <c:smooth val="0"/>
        </c:ser>
        <c:ser>
          <c:idx val="0"/>
          <c:order val="1"/>
          <c:tx>
            <c:strRef>
              <c:f>'Уровень жизни'!$A$59</c:f>
              <c:strCache>
                <c:ptCount val="1"/>
                <c:pt idx="0">
                  <c:v>Алтайский край</c:v>
                </c:pt>
              </c:strCache>
            </c:strRef>
          </c:tx>
          <c:spPr>
            <a:ln w="26062" cap="rnd">
              <a:solidFill>
                <a:srgbClr val="6F94C0"/>
              </a:solidFill>
              <a:prstDash val="solid"/>
              <a:round/>
            </a:ln>
            <a:effectLst/>
          </c:spPr>
          <c:marker>
            <c:symbol val="none"/>
          </c:marker>
          <c:cat>
            <c:strRef>
              <c:f>'Уровень жизни'!$B$58:$N$58</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'Уровень жизни'!$B$59:$N$59</c:f>
              <c:numCache>
                <c:formatCode>0</c:formatCode>
                <c:ptCount val="13"/>
                <c:pt idx="0">
                  <c:v>13.706234870107368</c:v>
                </c:pt>
                <c:pt idx="1">
                  <c:v>16.069622180503227</c:v>
                </c:pt>
                <c:pt idx="2">
                  <c:v>18.572977160894943</c:v>
                </c:pt>
                <c:pt idx="3">
                  <c:v>21.276512869900934</c:v>
                </c:pt>
                <c:pt idx="4">
                  <c:v>21.778665789517273</c:v>
                </c:pt>
                <c:pt idx="5">
                  <c:v>22.788442500595167</c:v>
                </c:pt>
                <c:pt idx="6">
                  <c:v>23.665910409035071</c:v>
                </c:pt>
                <c:pt idx="7">
                  <c:v>24.935228697897184</c:v>
                </c:pt>
                <c:pt idx="8">
                  <c:v>24.980574850404231</c:v>
                </c:pt>
                <c:pt idx="9">
                  <c:v>27.305210283490577</c:v>
                </c:pt>
                <c:pt idx="10">
                  <c:v>32.900999999999996</c:v>
                </c:pt>
                <c:pt idx="11">
                  <c:v>36.431000000000004</c:v>
                </c:pt>
                <c:pt idx="12">
                  <c:v>42.558</c:v>
                </c:pt>
              </c:numCache>
            </c:numRef>
          </c:val>
          <c:smooth val="0"/>
        </c:ser>
        <c:ser>
          <c:idx val="1"/>
          <c:order val="2"/>
          <c:tx>
            <c:strRef>
              <c:f>'Уровень жизни'!$A$60</c:f>
              <c:strCache>
                <c:ptCount val="1"/>
                <c:pt idx="0">
                  <c:v>Барнаул (оценка)</c:v>
                </c:pt>
              </c:strCache>
            </c:strRef>
          </c:tx>
          <c:spPr>
            <a:ln w="26062" cap="rnd">
              <a:solidFill>
                <a:srgbClr val="E36729"/>
              </a:solidFill>
              <a:prstDash val="solid"/>
              <a:round/>
            </a:ln>
            <a:effectLst/>
          </c:spPr>
          <c:marker>
            <c:symbol val="none"/>
          </c:marker>
          <c:cat>
            <c:strRef>
              <c:f>'Уровень жизни'!$B$58:$N$58</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'Уровень жизни'!$B$60:$N$60</c:f>
              <c:numCache>
                <c:formatCode>0</c:formatCode>
                <c:ptCount val="13"/>
                <c:pt idx="0">
                  <c:v>16.80643994563119</c:v>
                </c:pt>
                <c:pt idx="1">
                  <c:v>19.626852181369184</c:v>
                </c:pt>
                <c:pt idx="2">
                  <c:v>22.579158799418206</c:v>
                </c:pt>
                <c:pt idx="3">
                  <c:v>25.801913664911815</c:v>
                </c:pt>
                <c:pt idx="4">
                  <c:v>26.18224485778045</c:v>
                </c:pt>
                <c:pt idx="5">
                  <c:v>27.436891998643979</c:v>
                </c:pt>
                <c:pt idx="6">
                  <c:v>28.116744842589195</c:v>
                </c:pt>
                <c:pt idx="7">
                  <c:v>29.504392303652708</c:v>
                </c:pt>
                <c:pt idx="8">
                  <c:v>29.54172576818365</c:v>
                </c:pt>
                <c:pt idx="9">
                  <c:v>32.213946009581761</c:v>
                </c:pt>
                <c:pt idx="10">
                  <c:v>38.374561725235189</c:v>
                </c:pt>
                <c:pt idx="11">
                  <c:v>42.324272248886153</c:v>
                </c:pt>
                <c:pt idx="12">
                  <c:v>49.057956226992751</c:v>
                </c:pt>
              </c:numCache>
            </c:numRef>
          </c:val>
          <c:smooth val="0"/>
        </c:ser>
        <c:dLbls>
          <c:showLegendKey val="0"/>
          <c:showVal val="0"/>
          <c:showCatName val="0"/>
          <c:showSerName val="0"/>
          <c:showPercent val="0"/>
          <c:showBubbleSize val="0"/>
        </c:dLbls>
        <c:smooth val="0"/>
        <c:axId val="504623392"/>
        <c:axId val="508157192"/>
      </c:lineChart>
      <c:catAx>
        <c:axId val="504623392"/>
        <c:scaling>
          <c:orientation val="minMax"/>
        </c:scaling>
        <c:delete val="0"/>
        <c:axPos val="b"/>
        <c:numFmt formatCode="General" sourceLinked="1"/>
        <c:majorTickMark val="none"/>
        <c:minorTickMark val="none"/>
        <c:tickLblPos val="nextTo"/>
        <c:spPr>
          <a:noFill/>
          <a:ln w="8687" cap="flat" cmpd="sng" algn="ctr">
            <a:solidFill>
              <a:schemeClr val="tx1">
                <a:lumMod val="15000"/>
                <a:lumOff val="85000"/>
              </a:schemeClr>
            </a:solidFill>
            <a:round/>
          </a:ln>
          <a:effectLst/>
        </c:spPr>
        <c:txPr>
          <a:bodyPr rot="-60000000" spcFirstLastPara="1" vertOverflow="ellipsis" vert="horz" wrap="square" anchor="ctr" anchorCtr="1"/>
          <a:lstStyle/>
          <a:p>
            <a:pPr>
              <a:defRPr sz="821" b="0" i="0" u="none" strike="noStrike" baseline="0">
                <a:solidFill>
                  <a:sysClr val="windowText" lastClr="000000"/>
                </a:solidFill>
                <a:latin typeface="PT Astra Serif" pitchFamily="18" charset="-52"/>
                <a:ea typeface="PT Astra Serif" pitchFamily="18" charset="-52"/>
                <a:cs typeface="Times New Roman"/>
              </a:defRPr>
            </a:pPr>
            <a:endParaRPr lang="ru-RU"/>
          </a:p>
        </c:txPr>
        <c:crossAx val="508157192"/>
        <c:crosses val="autoZero"/>
        <c:auto val="1"/>
        <c:lblAlgn val="ctr"/>
        <c:lblOffset val="100"/>
        <c:noMultiLvlLbl val="0"/>
      </c:catAx>
      <c:valAx>
        <c:axId val="508157192"/>
        <c:scaling>
          <c:orientation val="minMax"/>
        </c:scaling>
        <c:delete val="0"/>
        <c:axPos val="l"/>
        <c:majorGridlines>
          <c:spPr>
            <a:ln w="8687" cap="flat" cmpd="sng" algn="ctr">
              <a:solidFill>
                <a:schemeClr val="tx1">
                  <a:lumMod val="15000"/>
                  <a:lumOff val="85000"/>
                </a:schemeClr>
              </a:solidFill>
              <a:round/>
            </a:ln>
            <a:effectLst/>
          </c:spPr>
        </c:majorGridlines>
        <c:numFmt formatCode="0" sourceLinked="1"/>
        <c:majorTickMark val="none"/>
        <c:minorTickMark val="none"/>
        <c:tickLblPos val="nextTo"/>
        <c:spPr>
          <a:ln w="11583">
            <a:noFill/>
          </a:ln>
        </c:spPr>
        <c:txPr>
          <a:bodyPr rot="-60000000" spcFirstLastPara="1" vertOverflow="ellipsis" vert="horz" wrap="square" anchor="ctr" anchorCtr="1"/>
          <a:lstStyle/>
          <a:p>
            <a:pPr>
              <a:defRPr sz="821" b="0" i="0" u="none" strike="noStrike" baseline="0">
                <a:solidFill>
                  <a:sysClr val="windowText" lastClr="000000"/>
                </a:solidFill>
                <a:latin typeface="PT Astra Serif" pitchFamily="18" charset="-52"/>
                <a:ea typeface="PT Astra Serif" pitchFamily="18" charset="-52"/>
                <a:cs typeface="Times New Roman"/>
              </a:defRPr>
            </a:pPr>
            <a:endParaRPr lang="ru-RU"/>
          </a:p>
        </c:txPr>
        <c:crossAx val="504623392"/>
        <c:crosses val="autoZero"/>
        <c:crossBetween val="between"/>
      </c:valAx>
      <c:spPr>
        <a:noFill/>
        <a:ln w="23166">
          <a:noFill/>
        </a:ln>
      </c:spPr>
    </c:plotArea>
    <c:legend>
      <c:legendPos val="b"/>
      <c:layout/>
      <c:overlay val="0"/>
      <c:spPr>
        <a:noFill/>
        <a:ln w="23166">
          <a:noFill/>
        </a:ln>
      </c:spPr>
      <c:txPr>
        <a:bodyPr rot="0" spcFirstLastPara="1" vertOverflow="ellipsis" vert="horz" wrap="square" anchor="ctr" anchorCtr="1"/>
        <a:lstStyle/>
        <a:p>
          <a:pPr>
            <a:defRPr sz="821" b="0" i="0" u="none" strike="noStrike" baseline="0">
              <a:solidFill>
                <a:sysClr val="windowText" lastClr="000000"/>
              </a:solidFill>
              <a:latin typeface="PT Astra Serif" pitchFamily="18" charset="-52"/>
              <a:ea typeface="PT Astra Serif" pitchFamily="18" charset="-52"/>
              <a:cs typeface="Times New Roman"/>
            </a:defRPr>
          </a:pPr>
          <a:endParaRPr lang="ru-RU"/>
        </a:p>
      </c:txPr>
    </c:legend>
    <c:plotVisOnly val="1"/>
    <c:dispBlanksAs val="gap"/>
    <c:showDLblsOverMax val="0"/>
  </c:chart>
  <c:spPr>
    <a:solidFill>
      <a:schemeClr val="bg1"/>
    </a:solidFill>
    <a:ln>
      <a:noFill/>
    </a:ln>
    <a:effectLst/>
  </c:spPr>
  <c:txPr>
    <a:bodyPr/>
    <a:lstStyle/>
    <a:p>
      <a:pPr>
        <a:defRPr>
          <a:solidFill>
            <a:sysClr val="windowText" lastClr="000000"/>
          </a:solidFill>
          <a:latin typeface="Times New Roman"/>
          <a:cs typeface="Times New Roman"/>
        </a:defRPr>
      </a:pPr>
      <a:endParaRPr lang="ru-RU"/>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'Уровень жизни'!$A$85</c:f>
              <c:strCache>
                <c:ptCount val="1"/>
                <c:pt idx="0">
                  <c:v>Российская Федерация</c:v>
                </c:pt>
              </c:strCache>
            </c:strRef>
          </c:tx>
          <c:spPr>
            <a:ln w="25982" cap="rnd">
              <a:solidFill>
                <a:schemeClr val="accent1"/>
              </a:solidFill>
              <a:round/>
            </a:ln>
            <a:effectLst/>
          </c:spPr>
          <c:marker>
            <c:symbol val="none"/>
          </c:marker>
          <c:cat>
            <c:strRef>
              <c:f>'Уровень жизни'!$B$84:$N$84</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'Уровень жизни'!$B$85:$N$85</c:f>
              <c:numCache>
                <c:formatCode>0.0</c:formatCode>
                <c:ptCount val="13"/>
                <c:pt idx="0">
                  <c:v>3.2616428135267763</c:v>
                </c:pt>
                <c:pt idx="1">
                  <c:v>3.0902749352059917</c:v>
                </c:pt>
                <c:pt idx="2">
                  <c:v>2.9596566650203044</c:v>
                </c:pt>
                <c:pt idx="3">
                  <c:v>2.728397749375234</c:v>
                </c:pt>
                <c:pt idx="4">
                  <c:v>2.6387932912161798</c:v>
                </c:pt>
                <c:pt idx="5">
                  <c:v>2.582075203673349</c:v>
                </c:pt>
                <c:pt idx="6">
                  <c:v>2.5871204849131972</c:v>
                </c:pt>
                <c:pt idx="7">
                  <c:v>2.5565513932703046</c:v>
                </c:pt>
                <c:pt idx="8">
                  <c:v>2.8892392408362069</c:v>
                </c:pt>
                <c:pt idx="9">
                  <c:v>3.0667571198042758</c:v>
                </c:pt>
                <c:pt idx="10">
                  <c:v>3.3154356508251381</c:v>
                </c:pt>
                <c:pt idx="11">
                  <c:v>3.1695929258664779</c:v>
                </c:pt>
                <c:pt idx="12">
                  <c:v>3.3745128144666547</c:v>
                </c:pt>
              </c:numCache>
            </c:numRef>
          </c:val>
          <c:smooth val="0"/>
        </c:ser>
        <c:ser>
          <c:idx val="1"/>
          <c:order val="1"/>
          <c:tx>
            <c:strRef>
              <c:f>'Уровень жизни'!$A$86</c:f>
              <c:strCache>
                <c:ptCount val="1"/>
                <c:pt idx="0">
                  <c:v>Алтайский край</c:v>
                </c:pt>
              </c:strCache>
            </c:strRef>
          </c:tx>
          <c:spPr>
            <a:ln w="25982" cap="rnd">
              <a:solidFill>
                <a:srgbClr val="6F94C0"/>
              </a:solidFill>
              <a:round/>
            </a:ln>
            <a:effectLst/>
          </c:spPr>
          <c:marker>
            <c:symbol val="none"/>
          </c:marker>
          <c:cat>
            <c:strRef>
              <c:f>'Уровень жизни'!$B$84:$N$84</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'Уровень жизни'!$B$86:$N$86</c:f>
              <c:numCache>
                <c:formatCode>0.0</c:formatCode>
                <c:ptCount val="13"/>
                <c:pt idx="0">
                  <c:v>4.1678464612180166</c:v>
                </c:pt>
                <c:pt idx="1">
                  <c:v>3.9393532740803732</c:v>
                </c:pt>
                <c:pt idx="2">
                  <c:v>3.5920166122029169</c:v>
                </c:pt>
                <c:pt idx="3">
                  <c:v>3.1517608658449405</c:v>
                </c:pt>
                <c:pt idx="4">
                  <c:v>3.0261660086047368</c:v>
                </c:pt>
                <c:pt idx="5">
                  <c:v>2.6876595174681359</c:v>
                </c:pt>
                <c:pt idx="6">
                  <c:v>2.7264429409132886</c:v>
                </c:pt>
                <c:pt idx="7">
                  <c:v>2.8044774612753929</c:v>
                </c:pt>
                <c:pt idx="8">
                  <c:v>2.9885241261288238</c:v>
                </c:pt>
                <c:pt idx="9">
                  <c:v>3.3707821573031307</c:v>
                </c:pt>
                <c:pt idx="10">
                  <c:v>3.6191743981945836</c:v>
                </c:pt>
                <c:pt idx="11">
                  <c:v>3.7823438658011037</c:v>
                </c:pt>
                <c:pt idx="12">
                  <c:v>3.7302750070492028</c:v>
                </c:pt>
              </c:numCache>
            </c:numRef>
          </c:val>
          <c:smooth val="0"/>
        </c:ser>
        <c:ser>
          <c:idx val="2"/>
          <c:order val="2"/>
          <c:tx>
            <c:strRef>
              <c:f>'Уровень жизни'!$A$87</c:f>
              <c:strCache>
                <c:ptCount val="1"/>
                <c:pt idx="0">
                  <c:v>Барнаул (оценка)</c:v>
                </c:pt>
              </c:strCache>
            </c:strRef>
          </c:tx>
          <c:spPr>
            <a:ln w="25982" cap="rnd">
              <a:solidFill>
                <a:srgbClr val="E36729"/>
              </a:solidFill>
              <a:prstDash val="solid"/>
              <a:round/>
            </a:ln>
            <a:effectLst/>
          </c:spPr>
          <c:marker>
            <c:symbol val="none"/>
          </c:marker>
          <c:cat>
            <c:strRef>
              <c:f>'Уровень жизни'!$B$84:$N$84</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'Уровень жизни'!$B$87:$N$87</c:f>
              <c:numCache>
                <c:formatCode>General</c:formatCode>
                <c:ptCount val="13"/>
                <c:pt idx="5" formatCode="0.0">
                  <c:v>2.3875882152846475</c:v>
                </c:pt>
                <c:pt idx="6" formatCode="0.0">
                  <c:v>2.4226310826999464</c:v>
                </c:pt>
                <c:pt idx="7" formatCode="0.0">
                  <c:v>2.4399587444167605</c:v>
                </c:pt>
                <c:pt idx="8" formatCode="0.0">
                  <c:v>2.5777776355237672</c:v>
                </c:pt>
                <c:pt idx="9" formatCode="0.0">
                  <c:v>2.9791444975866828</c:v>
                </c:pt>
                <c:pt idx="10" formatCode="0.0">
                  <c:v>3.4472054937635699</c:v>
                </c:pt>
                <c:pt idx="11" formatCode="0.0">
                  <c:v>3.3500989495154636</c:v>
                </c:pt>
                <c:pt idx="12" formatCode="0.0">
                  <c:v>3.4216468216350262</c:v>
                </c:pt>
              </c:numCache>
            </c:numRef>
          </c:val>
          <c:smooth val="0"/>
        </c:ser>
        <c:dLbls>
          <c:showLegendKey val="0"/>
          <c:showVal val="0"/>
          <c:showCatName val="0"/>
          <c:showSerName val="0"/>
          <c:showPercent val="0"/>
          <c:showBubbleSize val="0"/>
        </c:dLbls>
        <c:smooth val="0"/>
        <c:axId val="508157976"/>
        <c:axId val="508158368"/>
      </c:lineChart>
      <c:catAx>
        <c:axId val="508157976"/>
        <c:scaling>
          <c:orientation val="minMax"/>
        </c:scaling>
        <c:delete val="0"/>
        <c:axPos val="b"/>
        <c:numFmt formatCode="General" sourceLinked="1"/>
        <c:majorTickMark val="none"/>
        <c:minorTickMark val="none"/>
        <c:tickLblPos val="nextTo"/>
        <c:spPr>
          <a:noFill/>
          <a:ln w="8661" cap="flat" cmpd="sng" algn="ctr">
            <a:solidFill>
              <a:schemeClr val="tx1">
                <a:lumMod val="15000"/>
                <a:lumOff val="85000"/>
              </a:schemeClr>
            </a:solidFill>
            <a:round/>
          </a:ln>
          <a:effectLst/>
        </c:spPr>
        <c:txPr>
          <a:bodyPr rot="-60000000" spcFirstLastPara="1" vertOverflow="ellipsis" vert="horz" wrap="square" anchor="ctr" anchorCtr="1"/>
          <a:lstStyle/>
          <a:p>
            <a:pPr>
              <a:defRPr sz="818" b="0" i="0" u="none" strike="noStrike" baseline="0">
                <a:solidFill>
                  <a:sysClr val="windowText" lastClr="000000"/>
                </a:solidFill>
                <a:latin typeface="PT Astra Serif" pitchFamily="18" charset="-52"/>
                <a:ea typeface="PT Astra Serif" pitchFamily="18" charset="-52"/>
                <a:cs typeface="Times New Roman"/>
              </a:defRPr>
            </a:pPr>
            <a:endParaRPr lang="ru-RU"/>
          </a:p>
        </c:txPr>
        <c:crossAx val="508158368"/>
        <c:crosses val="autoZero"/>
        <c:auto val="1"/>
        <c:lblAlgn val="ctr"/>
        <c:lblOffset val="100"/>
        <c:noMultiLvlLbl val="0"/>
      </c:catAx>
      <c:valAx>
        <c:axId val="508158368"/>
        <c:scaling>
          <c:orientation val="minMax"/>
        </c:scaling>
        <c:delete val="0"/>
        <c:axPos val="l"/>
        <c:majorGridlines>
          <c:spPr>
            <a:ln w="8661" cap="flat" cmpd="sng" algn="ctr">
              <a:solidFill>
                <a:schemeClr val="tx1">
                  <a:lumMod val="15000"/>
                  <a:lumOff val="85000"/>
                </a:schemeClr>
              </a:solidFill>
              <a:round/>
            </a:ln>
            <a:effectLst/>
          </c:spPr>
        </c:majorGridlines>
        <c:numFmt formatCode="0.0" sourceLinked="1"/>
        <c:majorTickMark val="none"/>
        <c:minorTickMark val="none"/>
        <c:tickLblPos val="nextTo"/>
        <c:spPr>
          <a:ln w="5774">
            <a:noFill/>
          </a:ln>
        </c:spPr>
        <c:txPr>
          <a:bodyPr rot="-60000000" spcFirstLastPara="1" vertOverflow="ellipsis" vert="horz" wrap="square" anchor="ctr" anchorCtr="1"/>
          <a:lstStyle/>
          <a:p>
            <a:pPr>
              <a:defRPr sz="818" b="0" i="0" u="none" strike="noStrike" baseline="0">
                <a:solidFill>
                  <a:sysClr val="windowText" lastClr="000000"/>
                </a:solidFill>
                <a:latin typeface="PT Astra Serif" pitchFamily="18" charset="-52"/>
                <a:ea typeface="PT Astra Serif" pitchFamily="18" charset="-52"/>
                <a:cs typeface="Times New Roman"/>
              </a:defRPr>
            </a:pPr>
            <a:endParaRPr lang="ru-RU"/>
          </a:p>
        </c:txPr>
        <c:crossAx val="508157976"/>
        <c:crosses val="autoZero"/>
        <c:crossBetween val="between"/>
      </c:valAx>
      <c:spPr>
        <a:noFill/>
        <a:ln w="23095">
          <a:noFill/>
        </a:ln>
      </c:spPr>
    </c:plotArea>
    <c:legend>
      <c:legendPos val="b"/>
      <c:layout/>
      <c:overlay val="0"/>
      <c:spPr>
        <a:noFill/>
        <a:ln w="23095">
          <a:noFill/>
        </a:ln>
      </c:spPr>
      <c:txPr>
        <a:bodyPr rot="0" spcFirstLastPara="1" vertOverflow="ellipsis" vert="horz" wrap="square" anchor="ctr" anchorCtr="1"/>
        <a:lstStyle/>
        <a:p>
          <a:pPr>
            <a:defRPr sz="818" b="0" i="0" u="none" strike="noStrike" baseline="0">
              <a:solidFill>
                <a:sysClr val="windowText" lastClr="000000"/>
              </a:solidFill>
              <a:latin typeface="PT Astra Serif" pitchFamily="18" charset="-52"/>
              <a:ea typeface="PT Astra Serif" pitchFamily="18" charset="-52"/>
              <a:cs typeface="Times New Roman"/>
            </a:defRPr>
          </a:pPr>
          <a:endParaRPr lang="ru-RU"/>
        </a:p>
      </c:txPr>
    </c:legend>
    <c:plotVisOnly val="1"/>
    <c:dispBlanksAs val="gap"/>
    <c:showDLblsOverMax val="0"/>
  </c:chart>
  <c:spPr>
    <a:solidFill>
      <a:schemeClr val="bg1"/>
    </a:solidFill>
    <a:ln>
      <a:noFill/>
    </a:ln>
    <a:effectLst/>
  </c:spPr>
  <c:txPr>
    <a:bodyPr/>
    <a:lstStyle/>
    <a:p>
      <a:pPr>
        <a:defRPr>
          <a:solidFill>
            <a:sysClr val="windowText" lastClr="000000"/>
          </a:solidFill>
          <a:latin typeface="Times New Roman"/>
          <a:cs typeface="Times New Roman"/>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9992119139832531E-2"/>
          <c:y val="2.586259842519685E-2"/>
          <c:w val="0.91517241581608455"/>
          <c:h val="0.72471496062992125"/>
        </c:manualLayout>
      </c:layout>
      <c:lineChart>
        <c:grouping val="standard"/>
        <c:varyColors val="0"/>
        <c:ser>
          <c:idx val="0"/>
          <c:order val="0"/>
          <c:tx>
            <c:strRef>
              <c:f>'Уровень жизни'!$A$72</c:f>
              <c:strCache>
                <c:ptCount val="1"/>
                <c:pt idx="0">
                  <c:v>Российская Федерация</c:v>
                </c:pt>
              </c:strCache>
            </c:strRef>
          </c:tx>
          <c:spPr>
            <a:ln w="26919" cap="rnd">
              <a:solidFill>
                <a:srgbClr val="002060"/>
              </a:solidFill>
              <a:prstDash val="solid"/>
              <a:round/>
            </a:ln>
            <a:effectLst/>
          </c:spPr>
          <c:marker>
            <c:symbol val="none"/>
          </c:marker>
          <c:cat>
            <c:strRef>
              <c:f>'Уровень жизни'!$B$71:$N$71</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'Уровень жизни'!$B$72:$N$72</c:f>
              <c:numCache>
                <c:formatCode>General</c:formatCode>
                <c:ptCount val="13"/>
                <c:pt idx="0">
                  <c:v>23.3</c:v>
                </c:pt>
                <c:pt idx="1">
                  <c:v>23.3</c:v>
                </c:pt>
                <c:pt idx="2">
                  <c:v>23.7</c:v>
                </c:pt>
                <c:pt idx="3">
                  <c:v>24.3</c:v>
                </c:pt>
                <c:pt idx="4">
                  <c:v>24.8</c:v>
                </c:pt>
                <c:pt idx="5">
                  <c:v>25.1</c:v>
                </c:pt>
                <c:pt idx="6">
                  <c:v>25.6</c:v>
                </c:pt>
                <c:pt idx="7">
                  <c:v>26.1</c:v>
                </c:pt>
                <c:pt idx="8">
                  <c:v>26.7</c:v>
                </c:pt>
                <c:pt idx="9">
                  <c:v>27.5</c:v>
                </c:pt>
                <c:pt idx="10">
                  <c:v>28.2</c:v>
                </c:pt>
                <c:pt idx="11">
                  <c:v>28.8</c:v>
                </c:pt>
                <c:pt idx="12">
                  <c:v>29.4</c:v>
                </c:pt>
              </c:numCache>
            </c:numRef>
          </c:val>
          <c:smooth val="0"/>
        </c:ser>
        <c:ser>
          <c:idx val="1"/>
          <c:order val="1"/>
          <c:tx>
            <c:strRef>
              <c:f>'Уровень жизни'!$A$73</c:f>
              <c:strCache>
                <c:ptCount val="1"/>
                <c:pt idx="0">
                  <c:v>Алтайский край</c:v>
                </c:pt>
              </c:strCache>
            </c:strRef>
          </c:tx>
          <c:spPr>
            <a:ln w="26919" cap="rnd">
              <a:solidFill>
                <a:srgbClr val="6F94C0"/>
              </a:solidFill>
              <a:round/>
            </a:ln>
            <a:effectLst/>
          </c:spPr>
          <c:marker>
            <c:symbol val="none"/>
          </c:marker>
          <c:cat>
            <c:strRef>
              <c:f>'Уровень жизни'!$B$71:$N$71</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'Уровень жизни'!$B$73:$N$73</c:f>
              <c:numCache>
                <c:formatCode>General</c:formatCode>
                <c:ptCount val="13"/>
                <c:pt idx="0">
                  <c:v>22.6</c:v>
                </c:pt>
                <c:pt idx="1">
                  <c:v>22.6</c:v>
                </c:pt>
                <c:pt idx="2">
                  <c:v>23.1</c:v>
                </c:pt>
                <c:pt idx="3">
                  <c:v>23.6</c:v>
                </c:pt>
                <c:pt idx="4">
                  <c:v>24.1</c:v>
                </c:pt>
                <c:pt idx="5">
                  <c:v>24.6</c:v>
                </c:pt>
                <c:pt idx="6">
                  <c:v>25.2</c:v>
                </c:pt>
                <c:pt idx="7">
                  <c:v>25.8</c:v>
                </c:pt>
                <c:pt idx="8">
                  <c:v>26.5</c:v>
                </c:pt>
                <c:pt idx="9">
                  <c:v>27.3</c:v>
                </c:pt>
                <c:pt idx="10">
                  <c:v>27.9</c:v>
                </c:pt>
                <c:pt idx="11">
                  <c:v>28.4</c:v>
                </c:pt>
                <c:pt idx="12">
                  <c:v>28.9</c:v>
                </c:pt>
              </c:numCache>
            </c:numRef>
          </c:val>
          <c:smooth val="0"/>
        </c:ser>
        <c:ser>
          <c:idx val="2"/>
          <c:order val="2"/>
          <c:tx>
            <c:strRef>
              <c:f>'Уровень жизни'!$A$74</c:f>
              <c:strCache>
                <c:ptCount val="1"/>
                <c:pt idx="0">
                  <c:v>Барнаул</c:v>
                </c:pt>
              </c:strCache>
            </c:strRef>
          </c:tx>
          <c:spPr>
            <a:ln w="26919" cap="rnd">
              <a:solidFill>
                <a:srgbClr val="E36729"/>
              </a:solidFill>
              <a:prstDash val="solid"/>
              <a:round/>
            </a:ln>
            <a:effectLst/>
          </c:spPr>
          <c:marker>
            <c:symbol val="none"/>
          </c:marker>
          <c:cat>
            <c:strRef>
              <c:f>'Уровень жизни'!$B$71:$N$71</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'Уровень жизни'!$B$74:$N$74</c:f>
              <c:numCache>
                <c:formatCode>General</c:formatCode>
                <c:ptCount val="13"/>
                <c:pt idx="0">
                  <c:v>21.3</c:v>
                </c:pt>
                <c:pt idx="1">
                  <c:v>21.6</c:v>
                </c:pt>
                <c:pt idx="2">
                  <c:v>22.2</c:v>
                </c:pt>
                <c:pt idx="3">
                  <c:v>22.8</c:v>
                </c:pt>
                <c:pt idx="4">
                  <c:v>23.6</c:v>
                </c:pt>
                <c:pt idx="5">
                  <c:v>23.9</c:v>
                </c:pt>
                <c:pt idx="6">
                  <c:v>24.5</c:v>
                </c:pt>
                <c:pt idx="7">
                  <c:v>25.2</c:v>
                </c:pt>
                <c:pt idx="8">
                  <c:v>25.9</c:v>
                </c:pt>
                <c:pt idx="9">
                  <c:v>26.8</c:v>
                </c:pt>
                <c:pt idx="10">
                  <c:v>27.4</c:v>
                </c:pt>
                <c:pt idx="11">
                  <c:v>27.9</c:v>
                </c:pt>
                <c:pt idx="12">
                  <c:v>28.3</c:v>
                </c:pt>
              </c:numCache>
            </c:numRef>
          </c:val>
          <c:smooth val="0"/>
        </c:ser>
        <c:dLbls>
          <c:showLegendKey val="0"/>
          <c:showVal val="0"/>
          <c:showCatName val="0"/>
          <c:showSerName val="0"/>
          <c:showPercent val="0"/>
          <c:showBubbleSize val="0"/>
        </c:dLbls>
        <c:smooth val="0"/>
        <c:axId val="508159152"/>
        <c:axId val="508159544"/>
      </c:lineChart>
      <c:catAx>
        <c:axId val="508159152"/>
        <c:scaling>
          <c:orientation val="minMax"/>
        </c:scaling>
        <c:delete val="0"/>
        <c:axPos val="b"/>
        <c:numFmt formatCode="General" sourceLinked="1"/>
        <c:majorTickMark val="none"/>
        <c:minorTickMark val="none"/>
        <c:tickLblPos val="nextTo"/>
        <c:spPr>
          <a:noFill/>
          <a:ln w="8973" cap="flat" cmpd="sng" algn="ctr">
            <a:solidFill>
              <a:schemeClr val="tx1">
                <a:lumMod val="15000"/>
                <a:lumOff val="85000"/>
              </a:schemeClr>
            </a:solidFill>
            <a:round/>
          </a:ln>
          <a:effectLst/>
        </c:spPr>
        <c:txPr>
          <a:bodyPr rot="-60000000" spcFirstLastPara="1" vertOverflow="ellipsis" vert="horz" wrap="square" anchor="ctr" anchorCtr="1"/>
          <a:lstStyle/>
          <a:p>
            <a:pPr>
              <a:defRPr sz="848" b="0" i="0" u="none" strike="noStrike" baseline="0">
                <a:solidFill>
                  <a:sysClr val="windowText" lastClr="000000"/>
                </a:solidFill>
                <a:latin typeface="PT Astra Serif" pitchFamily="18" charset="-52"/>
                <a:ea typeface="PT Astra Serif" pitchFamily="18" charset="-52"/>
                <a:cs typeface="Times New Roman"/>
              </a:defRPr>
            </a:pPr>
            <a:endParaRPr lang="ru-RU"/>
          </a:p>
        </c:txPr>
        <c:crossAx val="508159544"/>
        <c:crosses val="autoZero"/>
        <c:auto val="1"/>
        <c:lblAlgn val="ctr"/>
        <c:lblOffset val="100"/>
        <c:noMultiLvlLbl val="0"/>
      </c:catAx>
      <c:valAx>
        <c:axId val="508159544"/>
        <c:scaling>
          <c:orientation val="minMax"/>
          <c:min val="20"/>
        </c:scaling>
        <c:delete val="0"/>
        <c:axPos val="l"/>
        <c:majorGridlines>
          <c:spPr>
            <a:ln w="8973" cap="flat" cmpd="sng" algn="ctr">
              <a:solidFill>
                <a:schemeClr val="tx1">
                  <a:lumMod val="15000"/>
                  <a:lumOff val="85000"/>
                </a:schemeClr>
              </a:solidFill>
              <a:round/>
            </a:ln>
            <a:effectLst/>
          </c:spPr>
        </c:majorGridlines>
        <c:numFmt formatCode="General" sourceLinked="1"/>
        <c:majorTickMark val="none"/>
        <c:minorTickMark val="none"/>
        <c:tickLblPos val="nextTo"/>
        <c:spPr>
          <a:ln w="11964">
            <a:noFill/>
          </a:ln>
        </c:spPr>
        <c:txPr>
          <a:bodyPr rot="-60000000" spcFirstLastPara="1" vertOverflow="ellipsis" vert="horz" wrap="square" anchor="ctr" anchorCtr="1"/>
          <a:lstStyle/>
          <a:p>
            <a:pPr>
              <a:defRPr sz="848" b="0" i="0" u="none" strike="noStrike" baseline="0">
                <a:solidFill>
                  <a:sysClr val="windowText" lastClr="000000"/>
                </a:solidFill>
                <a:latin typeface="PT Astra Serif" pitchFamily="18" charset="-52"/>
                <a:ea typeface="PT Astra Serif" pitchFamily="18" charset="-52"/>
                <a:cs typeface="Times New Roman"/>
              </a:defRPr>
            </a:pPr>
            <a:endParaRPr lang="ru-RU"/>
          </a:p>
        </c:txPr>
        <c:crossAx val="508159152"/>
        <c:crosses val="autoZero"/>
        <c:crossBetween val="between"/>
      </c:valAx>
      <c:spPr>
        <a:noFill/>
        <a:ln w="23928">
          <a:noFill/>
        </a:ln>
      </c:spPr>
    </c:plotArea>
    <c:legend>
      <c:legendPos val="b"/>
      <c:layout/>
      <c:overlay val="0"/>
      <c:spPr>
        <a:noFill/>
        <a:ln w="23928">
          <a:noFill/>
        </a:ln>
      </c:spPr>
      <c:txPr>
        <a:bodyPr rot="0" spcFirstLastPara="1" vertOverflow="ellipsis" vert="horz" wrap="square" anchor="ctr" anchorCtr="1"/>
        <a:lstStyle/>
        <a:p>
          <a:pPr>
            <a:defRPr sz="848" b="0" i="0" u="none" strike="noStrike" baseline="0">
              <a:solidFill>
                <a:sysClr val="windowText" lastClr="000000"/>
              </a:solidFill>
              <a:latin typeface="PT Astra Serif" pitchFamily="18" charset="-52"/>
              <a:ea typeface="PT Astra Serif" pitchFamily="18" charset="-52"/>
              <a:cs typeface="Times New Roman"/>
            </a:defRPr>
          </a:pPr>
          <a:endParaRPr lang="ru-RU"/>
        </a:p>
      </c:txPr>
    </c:legend>
    <c:plotVisOnly val="1"/>
    <c:dispBlanksAs val="gap"/>
    <c:showDLblsOverMax val="0"/>
  </c:chart>
  <c:spPr>
    <a:solidFill>
      <a:schemeClr val="bg1"/>
    </a:solidFill>
    <a:ln>
      <a:noFill/>
    </a:ln>
    <a:effectLst/>
  </c:spPr>
  <c:txPr>
    <a:bodyPr/>
    <a:lstStyle/>
    <a:p>
      <a:pPr>
        <a:defRPr>
          <a:solidFill>
            <a:sysClr val="windowText" lastClr="000000"/>
          </a:solidFill>
          <a:latin typeface="Times New Roman"/>
          <a:cs typeface="Times New Roman"/>
        </a:defRPr>
      </a:pPr>
      <a:endParaRPr lang="ru-RU"/>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бабочка!$B$1</c:f>
              <c:strCache>
                <c:ptCount val="1"/>
                <c:pt idx="0">
                  <c:v>Доля занятости,%</c:v>
                </c:pt>
              </c:strCache>
            </c:strRef>
          </c:tx>
          <c:spPr>
            <a:solidFill>
              <a:schemeClr val="accent1">
                <a:lumMod val="50000"/>
              </a:schemeClr>
            </a:solidFill>
            <a:ln>
              <a:solidFill>
                <a:srgbClr val="002060"/>
              </a:solidFill>
            </a:ln>
            <a:effectLst/>
          </c:spPr>
          <c:invertIfNegative val="0"/>
          <c:cat>
            <c:strRef>
              <c:f>бабочка!$A$2:$A$20</c:f>
              <c:strCache>
                <c:ptCount val="19"/>
                <c:pt idx="0">
                  <c:v>Добыча полезные ископаемых</c:v>
                </c:pt>
                <c:pt idx="1">
                  <c:v>Водоснабжение и водоотведение</c:v>
                </c:pt>
                <c:pt idx="2">
                  <c:v>Сельское хозяйство</c:v>
                </c:pt>
                <c:pt idx="3">
                  <c:v>Финансовая деятельность</c:v>
                </c:pt>
                <c:pt idx="4">
                  <c:v>Культура и спорт</c:v>
                </c:pt>
                <c:pt idx="5">
                  <c:v>Прочие  услуги</c:v>
                </c:pt>
                <c:pt idx="6">
                  <c:v>Гостиницы и общепит</c:v>
                </c:pt>
                <c:pt idx="7">
                  <c:v>Электроэнергия</c:v>
                </c:pt>
                <c:pt idx="8">
                  <c:v>Образование</c:v>
                </c:pt>
                <c:pt idx="9">
                  <c:v>Логистика</c:v>
                </c:pt>
                <c:pt idx="10">
                  <c:v>Информация и связь</c:v>
                </c:pt>
                <c:pt idx="11">
                  <c:v>Административная деятельность</c:v>
                </c:pt>
                <c:pt idx="12">
                  <c:v>Строительство</c:v>
                </c:pt>
                <c:pt idx="13">
                  <c:v>Здравоохранение</c:v>
                </c:pt>
                <c:pt idx="14">
                  <c:v>Профессиональная и научная деятельность</c:v>
                </c:pt>
                <c:pt idx="15">
                  <c:v>Госуправление</c:v>
                </c:pt>
                <c:pt idx="16">
                  <c:v>Операции с недвижимостью</c:v>
                </c:pt>
                <c:pt idx="17">
                  <c:v>Обрабатывающая промышленность</c:v>
                </c:pt>
                <c:pt idx="18">
                  <c:v>Торговля</c:v>
                </c:pt>
              </c:strCache>
            </c:strRef>
          </c:cat>
          <c:val>
            <c:numRef>
              <c:f>бабочка!$B$2:$B$20</c:f>
              <c:numCache>
                <c:formatCode>0%</c:formatCode>
                <c:ptCount val="19"/>
                <c:pt idx="0">
                  <c:v>7.7011395014689129E-4</c:v>
                </c:pt>
                <c:pt idx="1">
                  <c:v>6.4377160450397458E-3</c:v>
                </c:pt>
                <c:pt idx="2">
                  <c:v>5.8759114853632281E-3</c:v>
                </c:pt>
                <c:pt idx="3">
                  <c:v>2.9220302083780902E-2</c:v>
                </c:pt>
                <c:pt idx="4">
                  <c:v>1.3920871546702147E-2</c:v>
                </c:pt>
                <c:pt idx="5">
                  <c:v>8.4838477524210986E-3</c:v>
                </c:pt>
                <c:pt idx="6">
                  <c:v>2.1150330696834783E-2</c:v>
                </c:pt>
                <c:pt idx="7">
                  <c:v>2.2119844460896047E-2</c:v>
                </c:pt>
                <c:pt idx="8">
                  <c:v>9.1129329513099391E-2</c:v>
                </c:pt>
                <c:pt idx="9">
                  <c:v>6.1078897620570519E-2</c:v>
                </c:pt>
                <c:pt idx="10">
                  <c:v>3.0615737681041057E-2</c:v>
                </c:pt>
                <c:pt idx="11">
                  <c:v>2.6101599133456898E-2</c:v>
                </c:pt>
                <c:pt idx="12">
                  <c:v>2.7088337764411032E-2</c:v>
                </c:pt>
                <c:pt idx="13">
                  <c:v>0.10701560565036101</c:v>
                </c:pt>
                <c:pt idx="14">
                  <c:v>4.7178610415408176E-2</c:v>
                </c:pt>
                <c:pt idx="15">
                  <c:v>7.912462659231416E-2</c:v>
                </c:pt>
                <c:pt idx="16">
                  <c:v>1.8936489538734443E-2</c:v>
                </c:pt>
                <c:pt idx="17">
                  <c:v>0.17691139267993083</c:v>
                </c:pt>
                <c:pt idx="18">
                  <c:v>0.22684043538948798</c:v>
                </c:pt>
              </c:numCache>
            </c:numRef>
          </c:val>
        </c:ser>
        <c:ser>
          <c:idx val="1"/>
          <c:order val="1"/>
          <c:tx>
            <c:strRef>
              <c:f>бабочка!$C$1</c:f>
              <c:strCache>
                <c:ptCount val="1"/>
                <c:pt idx="0">
                  <c:v>Доля ВГП, %</c:v>
                </c:pt>
              </c:strCache>
            </c:strRef>
          </c:tx>
          <c:spPr>
            <a:solidFill>
              <a:srgbClr val="6F94C0"/>
            </a:solidFill>
            <a:ln w="25403">
              <a:noFill/>
            </a:ln>
          </c:spPr>
          <c:invertIfNegative val="0"/>
          <c:cat>
            <c:strRef>
              <c:f>бабочка!$A$2:$A$20</c:f>
              <c:strCache>
                <c:ptCount val="19"/>
                <c:pt idx="0">
                  <c:v>Добыча полезные ископаемых</c:v>
                </c:pt>
                <c:pt idx="1">
                  <c:v>Водоснабжение и водоотведение</c:v>
                </c:pt>
                <c:pt idx="2">
                  <c:v>Сельское хозяйство</c:v>
                </c:pt>
                <c:pt idx="3">
                  <c:v>Финансовая деятельность</c:v>
                </c:pt>
                <c:pt idx="4">
                  <c:v>Культура и спорт</c:v>
                </c:pt>
                <c:pt idx="5">
                  <c:v>Прочие  услуги</c:v>
                </c:pt>
                <c:pt idx="6">
                  <c:v>Гостиницы и общепит</c:v>
                </c:pt>
                <c:pt idx="7">
                  <c:v>Электроэнергия</c:v>
                </c:pt>
                <c:pt idx="8">
                  <c:v>Образование</c:v>
                </c:pt>
                <c:pt idx="9">
                  <c:v>Логистика</c:v>
                </c:pt>
                <c:pt idx="10">
                  <c:v>Информация и связь</c:v>
                </c:pt>
                <c:pt idx="11">
                  <c:v>Административная деятельность</c:v>
                </c:pt>
                <c:pt idx="12">
                  <c:v>Строительство</c:v>
                </c:pt>
                <c:pt idx="13">
                  <c:v>Здравоохранение</c:v>
                </c:pt>
                <c:pt idx="14">
                  <c:v>Профессиональная и научная деятельность</c:v>
                </c:pt>
                <c:pt idx="15">
                  <c:v>Госуправление</c:v>
                </c:pt>
                <c:pt idx="16">
                  <c:v>Операции с недвижимостью</c:v>
                </c:pt>
                <c:pt idx="17">
                  <c:v>Обрабатывающая промышленность</c:v>
                </c:pt>
                <c:pt idx="18">
                  <c:v>Торговля</c:v>
                </c:pt>
              </c:strCache>
            </c:strRef>
          </c:cat>
          <c:val>
            <c:numRef>
              <c:f>бабочка!$C$2:$C$20</c:f>
              <c:numCache>
                <c:formatCode>0%</c:formatCode>
                <c:ptCount val="19"/>
                <c:pt idx="0">
                  <c:v>1.5095534794954732E-5</c:v>
                </c:pt>
                <c:pt idx="1">
                  <c:v>2.3575931696271841E-3</c:v>
                </c:pt>
                <c:pt idx="2">
                  <c:v>2.4763359181696112E-3</c:v>
                </c:pt>
                <c:pt idx="3">
                  <c:v>4.1426411984353748E-3</c:v>
                </c:pt>
                <c:pt idx="4">
                  <c:v>7.5757347661498976E-3</c:v>
                </c:pt>
                <c:pt idx="5">
                  <c:v>1.172096425661651E-2</c:v>
                </c:pt>
                <c:pt idx="6">
                  <c:v>1.2579554145246087E-2</c:v>
                </c:pt>
                <c:pt idx="7">
                  <c:v>1.3582764768688697E-2</c:v>
                </c:pt>
                <c:pt idx="8">
                  <c:v>3.4255185800339205E-2</c:v>
                </c:pt>
                <c:pt idx="9">
                  <c:v>3.5207844460642339E-2</c:v>
                </c:pt>
                <c:pt idx="10">
                  <c:v>3.6725657054525157E-2</c:v>
                </c:pt>
                <c:pt idx="11">
                  <c:v>4.1570768039178009E-2</c:v>
                </c:pt>
                <c:pt idx="12">
                  <c:v>4.3593587675257603E-2</c:v>
                </c:pt>
                <c:pt idx="13">
                  <c:v>4.6429932732294205E-2</c:v>
                </c:pt>
                <c:pt idx="14">
                  <c:v>5.4911796512619584E-2</c:v>
                </c:pt>
                <c:pt idx="15">
                  <c:v>6.3245080178656307E-2</c:v>
                </c:pt>
                <c:pt idx="16">
                  <c:v>0.1369909871085811</c:v>
                </c:pt>
                <c:pt idx="17">
                  <c:v>0.21050267001625031</c:v>
                </c:pt>
                <c:pt idx="18">
                  <c:v>0.2421158066639279</c:v>
                </c:pt>
              </c:numCache>
            </c:numRef>
          </c:val>
        </c:ser>
        <c:dLbls>
          <c:showLegendKey val="0"/>
          <c:showVal val="0"/>
          <c:showCatName val="0"/>
          <c:showSerName val="0"/>
          <c:showPercent val="0"/>
          <c:showBubbleSize val="0"/>
        </c:dLbls>
        <c:gapWidth val="182"/>
        <c:axId val="509167552"/>
        <c:axId val="509167944"/>
      </c:barChart>
      <c:catAx>
        <c:axId val="509167552"/>
        <c:scaling>
          <c:orientation val="minMax"/>
        </c:scaling>
        <c:delete val="0"/>
        <c:axPos val="l"/>
        <c:numFmt formatCode="General" sourceLinked="1"/>
        <c:majorTickMark val="none"/>
        <c:minorTickMark val="none"/>
        <c:tickLblPos val="nextTo"/>
        <c:spPr>
          <a:noFill/>
          <a:ln w="9526"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baseline="0">
                <a:solidFill>
                  <a:schemeClr val="tx1">
                    <a:lumMod val="65000"/>
                    <a:lumOff val="35000"/>
                  </a:schemeClr>
                </a:solidFill>
                <a:latin typeface="Times New Roman"/>
                <a:ea typeface="+mn-ea"/>
                <a:cs typeface="Times New Roman"/>
              </a:defRPr>
            </a:pPr>
            <a:endParaRPr lang="ru-RU"/>
          </a:p>
        </c:txPr>
        <c:crossAx val="509167944"/>
        <c:crosses val="autoZero"/>
        <c:auto val="1"/>
        <c:lblAlgn val="ctr"/>
        <c:lblOffset val="100"/>
        <c:noMultiLvlLbl val="0"/>
      </c:catAx>
      <c:valAx>
        <c:axId val="509167944"/>
        <c:scaling>
          <c:orientation val="minMax"/>
        </c:scaling>
        <c:delete val="0"/>
        <c:axPos val="b"/>
        <c:majorGridlines>
          <c:spPr>
            <a:ln w="9526" cap="flat" cmpd="sng" algn="ctr">
              <a:solidFill>
                <a:schemeClr val="tx1">
                  <a:lumMod val="15000"/>
                  <a:lumOff val="85000"/>
                </a:schemeClr>
              </a:solidFill>
              <a:round/>
            </a:ln>
            <a:effectLst/>
          </c:spPr>
        </c:majorGridlines>
        <c:numFmt formatCode="0%" sourceLinked="1"/>
        <c:majorTickMark val="none"/>
        <c:minorTickMark val="none"/>
        <c:tickLblPos val="nextTo"/>
        <c:spPr>
          <a:ln w="6351">
            <a:noFill/>
          </a:ln>
        </c:spPr>
        <c:txPr>
          <a:bodyPr rot="-60000000" spcFirstLastPara="1" vertOverflow="ellipsis" vert="horz" wrap="square" anchor="ctr" anchorCtr="1"/>
          <a:lstStyle/>
          <a:p>
            <a:pPr>
              <a:defRPr sz="900" b="0" i="0" u="none" strike="noStrike" baseline="0">
                <a:solidFill>
                  <a:schemeClr val="tx1">
                    <a:lumMod val="65000"/>
                    <a:lumOff val="35000"/>
                  </a:schemeClr>
                </a:solidFill>
                <a:latin typeface="Times New Roman"/>
                <a:ea typeface="+mn-ea"/>
                <a:cs typeface="Times New Roman"/>
              </a:defRPr>
            </a:pPr>
            <a:endParaRPr lang="ru-RU"/>
          </a:p>
        </c:txPr>
        <c:crossAx val="509167552"/>
        <c:crosses val="autoZero"/>
        <c:crossBetween val="between"/>
      </c:valAx>
      <c:spPr>
        <a:noFill/>
        <a:ln w="25403">
          <a:noFill/>
        </a:ln>
      </c:spPr>
    </c:plotArea>
    <c:legend>
      <c:legendPos val="b"/>
      <c:layout/>
      <c:overlay val="0"/>
      <c:spPr>
        <a:noFill/>
        <a:ln w="25403">
          <a:noFill/>
        </a:ln>
      </c:spPr>
      <c:txPr>
        <a:bodyPr rot="0" spcFirstLastPara="1" vertOverflow="ellipsis" vert="horz" wrap="square" anchor="ctr" anchorCtr="1"/>
        <a:lstStyle/>
        <a:p>
          <a:pPr>
            <a:defRPr sz="900" b="0" i="0" u="none" strike="noStrike" baseline="0">
              <a:solidFill>
                <a:schemeClr val="tx1">
                  <a:lumMod val="65000"/>
                  <a:lumOff val="35000"/>
                </a:schemeClr>
              </a:solidFill>
              <a:latin typeface="Times New Roman"/>
              <a:ea typeface="+mn-ea"/>
              <a:cs typeface="Times New Roman"/>
            </a:defRPr>
          </a:pPr>
          <a:endParaRPr lang="ru-RU"/>
        </a:p>
      </c:txPr>
    </c:legend>
    <c:plotVisOnly val="1"/>
    <c:dispBlanksAs val="gap"/>
    <c:showDLblsOverMax val="0"/>
  </c:chart>
  <c:spPr>
    <a:solidFill>
      <a:schemeClr val="bg1"/>
    </a:solidFill>
    <a:ln>
      <a:noFill/>
    </a:ln>
    <a:effectLst/>
  </c:spPr>
  <c:txPr>
    <a:bodyPr/>
    <a:lstStyle/>
    <a:p>
      <a:pPr>
        <a:defRPr>
          <a:latin typeface="Times New Roman"/>
          <a:cs typeface="Times New Roman"/>
        </a:defRPr>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ИПП!$B$1</c:f>
              <c:strCache>
                <c:ptCount val="1"/>
                <c:pt idx="0">
                  <c:v>Барнаул</c:v>
                </c:pt>
              </c:strCache>
            </c:strRef>
          </c:tx>
          <c:spPr>
            <a:solidFill>
              <a:srgbClr val="002060"/>
            </a:solidFill>
            <a:ln>
              <a:solidFill>
                <a:schemeClr val="accent1">
                  <a:lumMod val="50000"/>
                </a:schemeClr>
              </a:solidFill>
            </a:ln>
            <a:effectLst/>
          </c:spPr>
          <c:invertIfNegative val="0"/>
          <c:dLbls>
            <c:spPr>
              <a:noFill/>
              <a:ln w="21874">
                <a:noFill/>
              </a:ln>
            </c:spPr>
            <c:txPr>
              <a:bodyPr rot="0" spcFirstLastPara="1" vertOverflow="ellipsis" vert="horz" wrap="square" anchor="ctr" anchorCtr="1"/>
              <a:lstStyle/>
              <a:p>
                <a:pPr>
                  <a:defRPr sz="775"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ИПП!$A$2:$A$9</c:f>
              <c:strCache>
                <c:ptCount val="8"/>
                <c:pt idx="0">
                  <c:v>2017 г.</c:v>
                </c:pt>
                <c:pt idx="1">
                  <c:v>2018 г.</c:v>
                </c:pt>
                <c:pt idx="2">
                  <c:v>2019 г.</c:v>
                </c:pt>
                <c:pt idx="3">
                  <c:v>2020 г.</c:v>
                </c:pt>
                <c:pt idx="4">
                  <c:v>2021 г.</c:v>
                </c:pt>
                <c:pt idx="5">
                  <c:v>2022 г.</c:v>
                </c:pt>
                <c:pt idx="6">
                  <c:v>2023 г.</c:v>
                </c:pt>
                <c:pt idx="7">
                  <c:v>2024 г.</c:v>
                </c:pt>
              </c:strCache>
            </c:strRef>
          </c:cat>
          <c:val>
            <c:numRef>
              <c:f>ИПП!$B$2:$B$9</c:f>
              <c:numCache>
                <c:formatCode>General</c:formatCode>
                <c:ptCount val="8"/>
                <c:pt idx="0">
                  <c:v>105.5</c:v>
                </c:pt>
                <c:pt idx="1">
                  <c:v>101.9</c:v>
                </c:pt>
                <c:pt idx="2">
                  <c:v>101.1</c:v>
                </c:pt>
                <c:pt idx="3">
                  <c:v>97.9</c:v>
                </c:pt>
                <c:pt idx="4">
                  <c:v>105.6</c:v>
                </c:pt>
                <c:pt idx="5">
                  <c:v>107.6</c:v>
                </c:pt>
                <c:pt idx="6">
                  <c:v>103.8</c:v>
                </c:pt>
                <c:pt idx="7">
                  <c:v>105.3</c:v>
                </c:pt>
              </c:numCache>
            </c:numRef>
          </c:val>
        </c:ser>
        <c:dLbls>
          <c:showLegendKey val="0"/>
          <c:showVal val="0"/>
          <c:showCatName val="0"/>
          <c:showSerName val="0"/>
          <c:showPercent val="0"/>
          <c:showBubbleSize val="0"/>
        </c:dLbls>
        <c:gapWidth val="150"/>
        <c:axId val="509169512"/>
        <c:axId val="509169904"/>
      </c:barChart>
      <c:catAx>
        <c:axId val="509169512"/>
        <c:scaling>
          <c:orientation val="minMax"/>
        </c:scaling>
        <c:delete val="0"/>
        <c:axPos val="b"/>
        <c:numFmt formatCode="General" sourceLinked="1"/>
        <c:majorTickMark val="none"/>
        <c:minorTickMark val="none"/>
        <c:tickLblPos val="nextTo"/>
        <c:spPr>
          <a:noFill/>
          <a:ln w="8203" cap="flat" cmpd="sng" algn="ctr">
            <a:solidFill>
              <a:schemeClr val="tx1">
                <a:lumMod val="15000"/>
                <a:lumOff val="85000"/>
              </a:schemeClr>
            </a:solidFill>
            <a:round/>
          </a:ln>
          <a:effectLst/>
        </c:spPr>
        <c:txPr>
          <a:bodyPr rot="-60000000" spcFirstLastPara="1" vertOverflow="ellipsis" vert="horz" wrap="square" anchor="ctr" anchorCtr="1"/>
          <a:lstStyle/>
          <a:p>
            <a:pPr>
              <a:defRPr sz="775"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509169904"/>
        <c:crosses val="autoZero"/>
        <c:auto val="1"/>
        <c:lblAlgn val="ctr"/>
        <c:lblOffset val="100"/>
        <c:noMultiLvlLbl val="0"/>
      </c:catAx>
      <c:valAx>
        <c:axId val="509169904"/>
        <c:scaling>
          <c:orientation val="minMax"/>
          <c:min val="80"/>
        </c:scaling>
        <c:delete val="0"/>
        <c:axPos val="l"/>
        <c:majorGridlines>
          <c:spPr>
            <a:ln w="8203" cap="flat" cmpd="sng" algn="ctr">
              <a:solidFill>
                <a:schemeClr val="tx1">
                  <a:lumMod val="15000"/>
                  <a:lumOff val="85000"/>
                </a:schemeClr>
              </a:solidFill>
              <a:round/>
            </a:ln>
            <a:effectLst/>
          </c:spPr>
        </c:majorGridlines>
        <c:numFmt formatCode="General" sourceLinked="1"/>
        <c:majorTickMark val="none"/>
        <c:minorTickMark val="none"/>
        <c:tickLblPos val="nextTo"/>
        <c:spPr>
          <a:ln w="10937">
            <a:noFill/>
          </a:ln>
        </c:spPr>
        <c:txPr>
          <a:bodyPr rot="-60000000" spcFirstLastPara="1" vertOverflow="ellipsis" vert="horz" wrap="square" anchor="ctr" anchorCtr="1"/>
          <a:lstStyle/>
          <a:p>
            <a:pPr>
              <a:defRPr sz="775"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509169512"/>
        <c:crosses val="autoZero"/>
        <c:crossBetween val="between"/>
        <c:majorUnit val="10"/>
      </c:valAx>
      <c:spPr>
        <a:noFill/>
        <a:ln w="21874">
          <a:noFill/>
        </a:ln>
      </c:spPr>
    </c:plotArea>
    <c:plotVisOnly val="1"/>
    <c:dispBlanksAs val="gap"/>
    <c:showDLblsOverMax val="0"/>
  </c:chart>
  <c:spPr>
    <a:solidFill>
      <a:schemeClr val="bg1"/>
    </a:solid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ВЭД!$B$2</c:f>
              <c:strCache>
                <c:ptCount val="1"/>
                <c:pt idx="0">
                  <c:v>Пищевая промышленность</c:v>
                </c:pt>
              </c:strCache>
            </c:strRef>
          </c:tx>
          <c:spPr>
            <a:solidFill>
              <a:schemeClr val="accent2">
                <a:lumMod val="50000"/>
              </a:schemeClr>
            </a:solidFill>
            <a:ln>
              <a:noFill/>
            </a:ln>
            <a:effectLst/>
          </c:spPr>
          <c:invertIfNegative val="0"/>
          <c:cat>
            <c:strRef>
              <c:f>ВЭД!$C$1:$N$1</c:f>
              <c:strCache>
                <c:ptCount val="12"/>
                <c:pt idx="0">
                  <c:v>2013 г.</c:v>
                </c:pt>
                <c:pt idx="1">
                  <c:v>2014 г.</c:v>
                </c:pt>
                <c:pt idx="2">
                  <c:v>2015 г.</c:v>
                </c:pt>
                <c:pt idx="3">
                  <c:v>2016 г.</c:v>
                </c:pt>
                <c:pt idx="4">
                  <c:v>2017 г.</c:v>
                </c:pt>
                <c:pt idx="5">
                  <c:v>2018 г.</c:v>
                </c:pt>
                <c:pt idx="6">
                  <c:v>2019 г.</c:v>
                </c:pt>
                <c:pt idx="7">
                  <c:v>2020 г.</c:v>
                </c:pt>
                <c:pt idx="8">
                  <c:v>2021 г.</c:v>
                </c:pt>
                <c:pt idx="9">
                  <c:v>2022 г.</c:v>
                </c:pt>
                <c:pt idx="10">
                  <c:v>2023 г.</c:v>
                </c:pt>
                <c:pt idx="11">
                  <c:v>2024 г.</c:v>
                </c:pt>
              </c:strCache>
            </c:strRef>
          </c:cat>
          <c:val>
            <c:numRef>
              <c:f>ВЭД!$C$2:$N$2</c:f>
              <c:numCache>
                <c:formatCode>_-* #\ ##0.0_-;\-* #\ ##0.0_-;_-* "-"??_-;_-@_-</c:formatCode>
                <c:ptCount val="12"/>
                <c:pt idx="0">
                  <c:v>0.65252900000000014</c:v>
                </c:pt>
                <c:pt idx="1">
                  <c:v>0.88951699999999989</c:v>
                </c:pt>
                <c:pt idx="2">
                  <c:v>0.57466200000000001</c:v>
                </c:pt>
                <c:pt idx="3">
                  <c:v>0.584758</c:v>
                </c:pt>
                <c:pt idx="4">
                  <c:v>0.99456599999999973</c:v>
                </c:pt>
                <c:pt idx="5">
                  <c:v>0.16658448997762801</c:v>
                </c:pt>
                <c:pt idx="6">
                  <c:v>0.89040996978108389</c:v>
                </c:pt>
                <c:pt idx="7">
                  <c:v>-0.44916303975871202</c:v>
                </c:pt>
                <c:pt idx="8">
                  <c:v>-7.9337419999999936E-2</c:v>
                </c:pt>
                <c:pt idx="9">
                  <c:v>8.1392355000000458E-2</c:v>
                </c:pt>
                <c:pt idx="10">
                  <c:v>-0.15023048902600264</c:v>
                </c:pt>
                <c:pt idx="11">
                  <c:v>6.5192235908322044E-2</c:v>
                </c:pt>
              </c:numCache>
            </c:numRef>
          </c:val>
        </c:ser>
        <c:ser>
          <c:idx val="1"/>
          <c:order val="1"/>
          <c:tx>
            <c:strRef>
              <c:f>ВЭД!$B$3</c:f>
              <c:strCache>
                <c:ptCount val="1"/>
                <c:pt idx="0">
                  <c:v>Текстильная промышленность</c:v>
                </c:pt>
              </c:strCache>
            </c:strRef>
          </c:tx>
          <c:spPr>
            <a:solidFill>
              <a:schemeClr val="accent2">
                <a:lumMod val="75000"/>
              </a:schemeClr>
            </a:solidFill>
            <a:ln>
              <a:noFill/>
            </a:ln>
            <a:effectLst/>
          </c:spPr>
          <c:invertIfNegative val="0"/>
          <c:cat>
            <c:strRef>
              <c:f>ВЭД!$C$1:$N$1</c:f>
              <c:strCache>
                <c:ptCount val="12"/>
                <c:pt idx="0">
                  <c:v>2013 г.</c:v>
                </c:pt>
                <c:pt idx="1">
                  <c:v>2014 г.</c:v>
                </c:pt>
                <c:pt idx="2">
                  <c:v>2015 г.</c:v>
                </c:pt>
                <c:pt idx="3">
                  <c:v>2016 г.</c:v>
                </c:pt>
                <c:pt idx="4">
                  <c:v>2017 г.</c:v>
                </c:pt>
                <c:pt idx="5">
                  <c:v>2018 г.</c:v>
                </c:pt>
                <c:pt idx="6">
                  <c:v>2019 г.</c:v>
                </c:pt>
                <c:pt idx="7">
                  <c:v>2020 г.</c:v>
                </c:pt>
                <c:pt idx="8">
                  <c:v>2021 г.</c:v>
                </c:pt>
                <c:pt idx="9">
                  <c:v>2022 г.</c:v>
                </c:pt>
                <c:pt idx="10">
                  <c:v>2023 г.</c:v>
                </c:pt>
                <c:pt idx="11">
                  <c:v>2024 г.</c:v>
                </c:pt>
              </c:strCache>
            </c:strRef>
          </c:cat>
          <c:val>
            <c:numRef>
              <c:f>ВЭД!$C$3:$N$3</c:f>
              <c:numCache>
                <c:formatCode>_-* #\ ##0.0_-;\-* #\ ##0.0_-;_-* "-"??_-;_-@_-</c:formatCode>
                <c:ptCount val="12"/>
                <c:pt idx="0">
                  <c:v>1.5590000000000003E-3</c:v>
                </c:pt>
                <c:pt idx="1">
                  <c:v>8.6690000000000017E-2</c:v>
                </c:pt>
                <c:pt idx="2">
                  <c:v>0.20174500000000004</c:v>
                </c:pt>
                <c:pt idx="3">
                  <c:v>9.8958000000000018E-2</c:v>
                </c:pt>
                <c:pt idx="4">
                  <c:v>2.7817000000000005E-2</c:v>
                </c:pt>
                <c:pt idx="5">
                  <c:v>9.6220000000000014E-2</c:v>
                </c:pt>
                <c:pt idx="6">
                  <c:v>5.774300000000001E-2</c:v>
                </c:pt>
                <c:pt idx="7">
                  <c:v>-0.19630300000000001</c:v>
                </c:pt>
                <c:pt idx="8">
                  <c:v>0.39145700000000005</c:v>
                </c:pt>
                <c:pt idx="9">
                  <c:v>0.75105291599999968</c:v>
                </c:pt>
                <c:pt idx="10">
                  <c:v>0.43565058673200024</c:v>
                </c:pt>
                <c:pt idx="11">
                  <c:v>1.8646064178861599</c:v>
                </c:pt>
              </c:numCache>
            </c:numRef>
          </c:val>
        </c:ser>
        <c:ser>
          <c:idx val="2"/>
          <c:order val="2"/>
          <c:tx>
            <c:strRef>
              <c:f>ВЭД!$B$4</c:f>
              <c:strCache>
                <c:ptCount val="1"/>
                <c:pt idx="0">
                  <c:v>Химическая промышленность</c:v>
                </c:pt>
              </c:strCache>
            </c:strRef>
          </c:tx>
          <c:spPr>
            <a:solidFill>
              <a:srgbClr val="E97132"/>
            </a:solidFill>
            <a:ln w="23685">
              <a:noFill/>
            </a:ln>
          </c:spPr>
          <c:invertIfNegative val="0"/>
          <c:cat>
            <c:strRef>
              <c:f>ВЭД!$C$1:$N$1</c:f>
              <c:strCache>
                <c:ptCount val="12"/>
                <c:pt idx="0">
                  <c:v>2013 г.</c:v>
                </c:pt>
                <c:pt idx="1">
                  <c:v>2014 г.</c:v>
                </c:pt>
                <c:pt idx="2">
                  <c:v>2015 г.</c:v>
                </c:pt>
                <c:pt idx="3">
                  <c:v>2016 г.</c:v>
                </c:pt>
                <c:pt idx="4">
                  <c:v>2017 г.</c:v>
                </c:pt>
                <c:pt idx="5">
                  <c:v>2018 г.</c:v>
                </c:pt>
                <c:pt idx="6">
                  <c:v>2019 г.</c:v>
                </c:pt>
                <c:pt idx="7">
                  <c:v>2020 г.</c:v>
                </c:pt>
                <c:pt idx="8">
                  <c:v>2021 г.</c:v>
                </c:pt>
                <c:pt idx="9">
                  <c:v>2022 г.</c:v>
                </c:pt>
                <c:pt idx="10">
                  <c:v>2023 г.</c:v>
                </c:pt>
                <c:pt idx="11">
                  <c:v>2024 г.</c:v>
                </c:pt>
              </c:strCache>
            </c:strRef>
          </c:cat>
          <c:val>
            <c:numRef>
              <c:f>ВЭД!$C$4:$N$4</c:f>
              <c:numCache>
                <c:formatCode>_-* #\ ##0.0_-;\-* #\ ##0.0_-;_-* "-"??_-;_-@_-</c:formatCode>
                <c:ptCount val="12"/>
                <c:pt idx="0">
                  <c:v>0.50369699999999984</c:v>
                </c:pt>
                <c:pt idx="1">
                  <c:v>0.50745899999999988</c:v>
                </c:pt>
                <c:pt idx="2">
                  <c:v>1.7896929999999998</c:v>
                </c:pt>
                <c:pt idx="3">
                  <c:v>3.2848299999999999</c:v>
                </c:pt>
                <c:pt idx="4">
                  <c:v>2.0293009999999998</c:v>
                </c:pt>
                <c:pt idx="5">
                  <c:v>-0.67894200000000016</c:v>
                </c:pt>
                <c:pt idx="6">
                  <c:v>2.0236969999999999</c:v>
                </c:pt>
                <c:pt idx="7">
                  <c:v>1.1749890000000001</c:v>
                </c:pt>
                <c:pt idx="8">
                  <c:v>4.5848049999999994</c:v>
                </c:pt>
                <c:pt idx="9">
                  <c:v>-3.2808455719999974</c:v>
                </c:pt>
                <c:pt idx="10">
                  <c:v>-3.6816865673890025</c:v>
                </c:pt>
                <c:pt idx="11">
                  <c:v>-0.70041679162528914</c:v>
                </c:pt>
              </c:numCache>
            </c:numRef>
          </c:val>
        </c:ser>
        <c:ser>
          <c:idx val="3"/>
          <c:order val="3"/>
          <c:tx>
            <c:strRef>
              <c:f>ВЭД!$B$5</c:f>
              <c:strCache>
                <c:ptCount val="1"/>
                <c:pt idx="0">
                  <c:v>Машиностроение</c:v>
                </c:pt>
              </c:strCache>
            </c:strRef>
          </c:tx>
          <c:spPr>
            <a:solidFill>
              <a:schemeClr val="accent4">
                <a:lumMod val="50000"/>
              </a:schemeClr>
            </a:solidFill>
            <a:ln>
              <a:noFill/>
            </a:ln>
            <a:effectLst/>
          </c:spPr>
          <c:invertIfNegative val="0"/>
          <c:cat>
            <c:strRef>
              <c:f>ВЭД!$C$1:$N$1</c:f>
              <c:strCache>
                <c:ptCount val="12"/>
                <c:pt idx="0">
                  <c:v>2013 г.</c:v>
                </c:pt>
                <c:pt idx="1">
                  <c:v>2014 г.</c:v>
                </c:pt>
                <c:pt idx="2">
                  <c:v>2015 г.</c:v>
                </c:pt>
                <c:pt idx="3">
                  <c:v>2016 г.</c:v>
                </c:pt>
                <c:pt idx="4">
                  <c:v>2017 г.</c:v>
                </c:pt>
                <c:pt idx="5">
                  <c:v>2018 г.</c:v>
                </c:pt>
                <c:pt idx="6">
                  <c:v>2019 г.</c:v>
                </c:pt>
                <c:pt idx="7">
                  <c:v>2020 г.</c:v>
                </c:pt>
                <c:pt idx="8">
                  <c:v>2021 г.</c:v>
                </c:pt>
                <c:pt idx="9">
                  <c:v>2022 г.</c:v>
                </c:pt>
                <c:pt idx="10">
                  <c:v>2023 г.</c:v>
                </c:pt>
                <c:pt idx="11">
                  <c:v>2024 г.</c:v>
                </c:pt>
              </c:strCache>
            </c:strRef>
          </c:cat>
          <c:val>
            <c:numRef>
              <c:f>ВЭД!$C$5:$N$5</c:f>
              <c:numCache>
                <c:formatCode>_-* #\ ##0.0_-;\-* #\ ##0.0_-;_-* "-"??_-;_-@_-</c:formatCode>
                <c:ptCount val="12"/>
                <c:pt idx="0">
                  <c:v>-0.22622999999999999</c:v>
                </c:pt>
                <c:pt idx="1">
                  <c:v>-2.5050049999999997</c:v>
                </c:pt>
                <c:pt idx="2">
                  <c:v>-0.43345700000000009</c:v>
                </c:pt>
                <c:pt idx="3">
                  <c:v>3.2930329999999999</c:v>
                </c:pt>
                <c:pt idx="4">
                  <c:v>2.3479199999999998</c:v>
                </c:pt>
                <c:pt idx="5">
                  <c:v>4.9645789599999999</c:v>
                </c:pt>
                <c:pt idx="6">
                  <c:v>4.0364932500000004</c:v>
                </c:pt>
                <c:pt idx="7">
                  <c:v>-3.6089482100000008</c:v>
                </c:pt>
                <c:pt idx="8">
                  <c:v>5.7023270000000004</c:v>
                </c:pt>
                <c:pt idx="9">
                  <c:v>4.5804997060000003</c:v>
                </c:pt>
                <c:pt idx="10">
                  <c:v>5.6313539213332833</c:v>
                </c:pt>
                <c:pt idx="11">
                  <c:v>9.0117496334567733</c:v>
                </c:pt>
              </c:numCache>
            </c:numRef>
          </c:val>
        </c:ser>
        <c:ser>
          <c:idx val="4"/>
          <c:order val="4"/>
          <c:tx>
            <c:strRef>
              <c:f>ВЭД!$B$6</c:f>
              <c:strCache>
                <c:ptCount val="1"/>
                <c:pt idx="0">
                  <c:v>Энергия</c:v>
                </c:pt>
              </c:strCache>
            </c:strRef>
          </c:tx>
          <c:spPr>
            <a:solidFill>
              <a:schemeClr val="accent4">
                <a:lumMod val="20000"/>
                <a:lumOff val="80000"/>
              </a:schemeClr>
            </a:solidFill>
            <a:ln>
              <a:noFill/>
            </a:ln>
            <a:effectLst/>
          </c:spPr>
          <c:invertIfNegative val="0"/>
          <c:cat>
            <c:strRef>
              <c:f>ВЭД!$C$1:$N$1</c:f>
              <c:strCache>
                <c:ptCount val="12"/>
                <c:pt idx="0">
                  <c:v>2013 г.</c:v>
                </c:pt>
                <c:pt idx="1">
                  <c:v>2014 г.</c:v>
                </c:pt>
                <c:pt idx="2">
                  <c:v>2015 г.</c:v>
                </c:pt>
                <c:pt idx="3">
                  <c:v>2016 г.</c:v>
                </c:pt>
                <c:pt idx="4">
                  <c:v>2017 г.</c:v>
                </c:pt>
                <c:pt idx="5">
                  <c:v>2018 г.</c:v>
                </c:pt>
                <c:pt idx="6">
                  <c:v>2019 г.</c:v>
                </c:pt>
                <c:pt idx="7">
                  <c:v>2020 г.</c:v>
                </c:pt>
                <c:pt idx="8">
                  <c:v>2021 г.</c:v>
                </c:pt>
                <c:pt idx="9">
                  <c:v>2022 г.</c:v>
                </c:pt>
                <c:pt idx="10">
                  <c:v>2023 г.</c:v>
                </c:pt>
                <c:pt idx="11">
                  <c:v>2024 г.</c:v>
                </c:pt>
              </c:strCache>
            </c:strRef>
          </c:cat>
          <c:val>
            <c:numRef>
              <c:f>ВЭД!$C$6:$N$6</c:f>
              <c:numCache>
                <c:formatCode>_-* #\ ##0.0_-;\-* #\ ##0.0_-;_-* "-"??_-;_-@_-</c:formatCode>
                <c:ptCount val="12"/>
                <c:pt idx="0">
                  <c:v>5.0617139999999994</c:v>
                </c:pt>
                <c:pt idx="1">
                  <c:v>1.5558239999999997</c:v>
                </c:pt>
                <c:pt idx="2">
                  <c:v>4.7786730000000013</c:v>
                </c:pt>
                <c:pt idx="3">
                  <c:v>-1.909063</c:v>
                </c:pt>
                <c:pt idx="4">
                  <c:v>1.4727000000000001E-2</c:v>
                </c:pt>
                <c:pt idx="5">
                  <c:v>0.18376500000000004</c:v>
                </c:pt>
                <c:pt idx="6">
                  <c:v>-0.21168699999999999</c:v>
                </c:pt>
                <c:pt idx="7">
                  <c:v>1.7460850000000001</c:v>
                </c:pt>
                <c:pt idx="8">
                  <c:v>3.55891</c:v>
                </c:pt>
                <c:pt idx="9">
                  <c:v>1.9624142880000006</c:v>
                </c:pt>
                <c:pt idx="10">
                  <c:v>1.1533132625599967</c:v>
                </c:pt>
                <c:pt idx="11">
                  <c:v>0.4783048299557307</c:v>
                </c:pt>
              </c:numCache>
            </c:numRef>
          </c:val>
        </c:ser>
        <c:ser>
          <c:idx val="5"/>
          <c:order val="5"/>
          <c:tx>
            <c:strRef>
              <c:f>ВЭД!$B$7</c:f>
              <c:strCache>
                <c:ptCount val="1"/>
                <c:pt idx="0">
                  <c:v>Прочее</c:v>
                </c:pt>
              </c:strCache>
            </c:strRef>
          </c:tx>
          <c:spPr>
            <a:solidFill>
              <a:schemeClr val="bg1">
                <a:lumMod val="65000"/>
              </a:schemeClr>
            </a:solidFill>
            <a:ln>
              <a:noFill/>
            </a:ln>
            <a:effectLst/>
          </c:spPr>
          <c:invertIfNegative val="0"/>
          <c:cat>
            <c:strRef>
              <c:f>ВЭД!$C$1:$N$1</c:f>
              <c:strCache>
                <c:ptCount val="12"/>
                <c:pt idx="0">
                  <c:v>2013 г.</c:v>
                </c:pt>
                <c:pt idx="1">
                  <c:v>2014 г.</c:v>
                </c:pt>
                <c:pt idx="2">
                  <c:v>2015 г.</c:v>
                </c:pt>
                <c:pt idx="3">
                  <c:v>2016 г.</c:v>
                </c:pt>
                <c:pt idx="4">
                  <c:v>2017 г.</c:v>
                </c:pt>
                <c:pt idx="5">
                  <c:v>2018 г.</c:v>
                </c:pt>
                <c:pt idx="6">
                  <c:v>2019 г.</c:v>
                </c:pt>
                <c:pt idx="7">
                  <c:v>2020 г.</c:v>
                </c:pt>
                <c:pt idx="8">
                  <c:v>2021 г.</c:v>
                </c:pt>
                <c:pt idx="9">
                  <c:v>2022 г.</c:v>
                </c:pt>
                <c:pt idx="10">
                  <c:v>2023 г.</c:v>
                </c:pt>
                <c:pt idx="11">
                  <c:v>2024 г.</c:v>
                </c:pt>
              </c:strCache>
            </c:strRef>
          </c:cat>
          <c:val>
            <c:numRef>
              <c:f>ВЭД!$C$7:$N$7</c:f>
              <c:numCache>
                <c:formatCode>_-* #\ ##0.0_-;\-* #\ ##0.0_-;_-* "-"??_-;_-@_-</c:formatCode>
                <c:ptCount val="12"/>
                <c:pt idx="0">
                  <c:v>0.35170000000000001</c:v>
                </c:pt>
                <c:pt idx="1">
                  <c:v>-4.5942999999999998E-2</c:v>
                </c:pt>
                <c:pt idx="2">
                  <c:v>-3.6430000000000008E-3</c:v>
                </c:pt>
                <c:pt idx="3">
                  <c:v>-0.19681100000000001</c:v>
                </c:pt>
                <c:pt idx="4">
                  <c:v>1.7391709999999998</c:v>
                </c:pt>
                <c:pt idx="5">
                  <c:v>0.20876500000000003</c:v>
                </c:pt>
                <c:pt idx="6">
                  <c:v>0.16728099999999257</c:v>
                </c:pt>
                <c:pt idx="7">
                  <c:v>-0.46451399999999265</c:v>
                </c:pt>
                <c:pt idx="8">
                  <c:v>0.65418000000000009</c:v>
                </c:pt>
                <c:pt idx="9">
                  <c:v>0.87646862000001968</c:v>
                </c:pt>
                <c:pt idx="10">
                  <c:v>0.45467719673998652</c:v>
                </c:pt>
                <c:pt idx="11">
                  <c:v>-0.37246412211807084</c:v>
                </c:pt>
              </c:numCache>
            </c:numRef>
          </c:val>
        </c:ser>
        <c:dLbls>
          <c:showLegendKey val="0"/>
          <c:showVal val="0"/>
          <c:showCatName val="0"/>
          <c:showSerName val="0"/>
          <c:showPercent val="0"/>
          <c:showBubbleSize val="0"/>
        </c:dLbls>
        <c:gapWidth val="88"/>
        <c:overlap val="100"/>
        <c:axId val="509170688"/>
        <c:axId val="509866640"/>
      </c:barChart>
      <c:catAx>
        <c:axId val="509170688"/>
        <c:scaling>
          <c:orientation val="minMax"/>
        </c:scaling>
        <c:delete val="0"/>
        <c:axPos val="b"/>
        <c:numFmt formatCode="General" sourceLinked="1"/>
        <c:majorTickMark val="none"/>
        <c:minorTickMark val="none"/>
        <c:tickLblPos val="low"/>
        <c:spPr>
          <a:noFill/>
          <a:ln w="8882" cap="flat" cmpd="sng" algn="ctr">
            <a:solidFill>
              <a:schemeClr val="tx1">
                <a:lumMod val="15000"/>
                <a:lumOff val="85000"/>
              </a:schemeClr>
            </a:solidFill>
            <a:round/>
          </a:ln>
          <a:effectLst/>
        </c:spPr>
        <c:txPr>
          <a:bodyPr rot="-60000000" spcFirstLastPara="1" vertOverflow="ellipsis" vert="horz" wrap="square" anchor="ctr" anchorCtr="1"/>
          <a:lstStyle/>
          <a:p>
            <a:pPr>
              <a:defRPr sz="839" b="0" i="0" u="none" strike="noStrike" kern="1200" baseline="0">
                <a:solidFill>
                  <a:sysClr val="windowText" lastClr="000000"/>
                </a:solidFill>
                <a:latin typeface="PT Astra Serif" pitchFamily="18" charset="-52"/>
                <a:ea typeface="PT Astra Serif" pitchFamily="18" charset="-52"/>
                <a:cs typeface="Times New Roman" panose="02020603050405020304" pitchFamily="18" charset="0"/>
              </a:defRPr>
            </a:pPr>
            <a:endParaRPr lang="ru-RU"/>
          </a:p>
        </c:txPr>
        <c:crossAx val="509866640"/>
        <c:crosses val="autoZero"/>
        <c:auto val="1"/>
        <c:lblAlgn val="ctr"/>
        <c:lblOffset val="100"/>
        <c:noMultiLvlLbl val="0"/>
      </c:catAx>
      <c:valAx>
        <c:axId val="509866640"/>
        <c:scaling>
          <c:orientation val="minMax"/>
        </c:scaling>
        <c:delete val="0"/>
        <c:axPos val="l"/>
        <c:majorGridlines>
          <c:spPr>
            <a:ln w="8882" cap="flat" cmpd="sng" algn="ctr">
              <a:solidFill>
                <a:schemeClr val="tx1">
                  <a:lumMod val="15000"/>
                  <a:lumOff val="85000"/>
                </a:schemeClr>
              </a:solidFill>
              <a:round/>
            </a:ln>
            <a:effectLst/>
          </c:spPr>
        </c:majorGridlines>
        <c:numFmt formatCode="General" sourceLinked="0"/>
        <c:majorTickMark val="none"/>
        <c:minorTickMark val="none"/>
        <c:tickLblPos val="nextTo"/>
        <c:spPr>
          <a:ln w="5921">
            <a:noFill/>
          </a:ln>
        </c:spPr>
        <c:txPr>
          <a:bodyPr rot="-60000000" spcFirstLastPara="1" vertOverflow="ellipsis" vert="horz" wrap="square" anchor="ctr" anchorCtr="1"/>
          <a:lstStyle/>
          <a:p>
            <a:pPr>
              <a:defRPr sz="839" b="0" i="0" u="none" strike="noStrike" kern="1200" baseline="0">
                <a:solidFill>
                  <a:sysClr val="windowText" lastClr="000000"/>
                </a:solidFill>
                <a:latin typeface="PT Astra Serif" pitchFamily="18" charset="-52"/>
                <a:ea typeface="PT Astra Serif" pitchFamily="18" charset="-52"/>
                <a:cs typeface="Times New Roman" panose="02020603050405020304" pitchFamily="18" charset="0"/>
              </a:defRPr>
            </a:pPr>
            <a:endParaRPr lang="ru-RU"/>
          </a:p>
        </c:txPr>
        <c:crossAx val="509170688"/>
        <c:crosses val="autoZero"/>
        <c:crossBetween val="between"/>
      </c:valAx>
      <c:spPr>
        <a:noFill/>
        <a:ln w="23685">
          <a:noFill/>
        </a:ln>
      </c:spPr>
    </c:plotArea>
    <c:legend>
      <c:legendPos val="b"/>
      <c:layout/>
      <c:overlay val="0"/>
      <c:spPr>
        <a:noFill/>
        <a:ln w="23685">
          <a:noFill/>
        </a:ln>
      </c:spPr>
      <c:txPr>
        <a:bodyPr rot="0" spcFirstLastPara="1" vertOverflow="ellipsis" vert="horz" wrap="square" anchor="ctr" anchorCtr="1"/>
        <a:lstStyle/>
        <a:p>
          <a:pPr>
            <a:defRPr sz="839" b="0" i="0" u="none" strike="noStrike" kern="1200" baseline="0">
              <a:solidFill>
                <a:sysClr val="windowText" lastClr="000000"/>
              </a:solidFill>
              <a:latin typeface="PT Astra Serif" pitchFamily="18" charset="-52"/>
              <a:ea typeface="PT Astra Serif" pitchFamily="18" charset="-52"/>
              <a:cs typeface="Times New Roman" panose="02020603050405020304" pitchFamily="18" charset="0"/>
            </a:defRPr>
          </a:pPr>
          <a:endParaRPr lang="ru-RU"/>
        </a:p>
      </c:txPr>
    </c:legend>
    <c:plotVisOnly val="1"/>
    <c:dispBlanksAs val="gap"/>
    <c:showDLblsOverMax val="0"/>
  </c:chart>
  <c:spPr>
    <a:solidFill>
      <a:schemeClr val="bg1"/>
    </a:solidFill>
    <a:ln>
      <a:noFill/>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5148663605718452E-2"/>
          <c:y val="5.1294007927255802E-2"/>
          <c:w val="0.68430928763514443"/>
          <c:h val="0.89741198414548851"/>
        </c:manualLayout>
      </c:layout>
      <c:areaChart>
        <c:grouping val="stacked"/>
        <c:varyColors val="0"/>
        <c:ser>
          <c:idx val="0"/>
          <c:order val="0"/>
          <c:tx>
            <c:strRef>
              <c:f>'накопленный рост'!$B$3</c:f>
              <c:strCache>
                <c:ptCount val="1"/>
                <c:pt idx="0">
                  <c:v>Пищевая промышленность</c:v>
                </c:pt>
              </c:strCache>
            </c:strRef>
          </c:tx>
          <c:spPr>
            <a:solidFill>
              <a:schemeClr val="accent2">
                <a:lumMod val="50000"/>
              </a:schemeClr>
            </a:solidFill>
            <a:ln>
              <a:noFill/>
            </a:ln>
            <a:effectLst/>
          </c:spPr>
          <c:cat>
            <c:strRef>
              <c:f>'накопленный рост'!$C$2:$O$2</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'накопленный рост'!$C$3:$O$3</c:f>
              <c:numCache>
                <c:formatCode>0%</c:formatCode>
                <c:ptCount val="13"/>
                <c:pt idx="0">
                  <c:v>0</c:v>
                </c:pt>
                <c:pt idx="1">
                  <c:v>2.1424394619481906E-2</c:v>
                </c:pt>
                <c:pt idx="2">
                  <c:v>5.0629783542790567E-2</c:v>
                </c:pt>
                <c:pt idx="3">
                  <c:v>6.9497581695548108E-2</c:v>
                </c:pt>
                <c:pt idx="4">
                  <c:v>8.8696860423235324E-2</c:v>
                </c:pt>
                <c:pt idx="5">
                  <c:v>0.12135130866863073</c:v>
                </c:pt>
                <c:pt idx="6">
                  <c:v>0.1268207542423383</c:v>
                </c:pt>
                <c:pt idx="7">
                  <c:v>0.15605546191925521</c:v>
                </c:pt>
                <c:pt idx="8">
                  <c:v>0.14130815381145206</c:v>
                </c:pt>
                <c:pt idx="9">
                  <c:v>0.13870327924775971</c:v>
                </c:pt>
                <c:pt idx="10">
                  <c:v>0.14137562320876215</c:v>
                </c:pt>
                <c:pt idx="11">
                  <c:v>0.13644312629173505</c:v>
                </c:pt>
                <c:pt idx="12">
                  <c:v>0.13858357397793172</c:v>
                </c:pt>
              </c:numCache>
            </c:numRef>
          </c:val>
        </c:ser>
        <c:ser>
          <c:idx val="1"/>
          <c:order val="1"/>
          <c:tx>
            <c:strRef>
              <c:f>'накопленный рост'!$B$4</c:f>
              <c:strCache>
                <c:ptCount val="1"/>
                <c:pt idx="0">
                  <c:v>Текстильная промышленность</c:v>
                </c:pt>
              </c:strCache>
            </c:strRef>
          </c:tx>
          <c:spPr>
            <a:solidFill>
              <a:schemeClr val="accent2">
                <a:lumMod val="75000"/>
              </a:schemeClr>
            </a:solidFill>
            <a:ln>
              <a:noFill/>
            </a:ln>
            <a:effectLst/>
          </c:spPr>
          <c:cat>
            <c:strRef>
              <c:f>'накопленный рост'!$C$2:$O$2</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'накопленный рост'!$C$4:$O$4</c:f>
              <c:numCache>
                <c:formatCode>0%</c:formatCode>
                <c:ptCount val="13"/>
                <c:pt idx="0">
                  <c:v>0</c:v>
                </c:pt>
                <c:pt idx="1">
                  <c:v>5.118643188543698E-5</c:v>
                </c:pt>
                <c:pt idx="2">
                  <c:v>2.8974672401911009E-3</c:v>
                </c:pt>
                <c:pt idx="3">
                  <c:v>9.5213329879316241E-3</c:v>
                </c:pt>
                <c:pt idx="4">
                  <c:v>1.2770407347469197E-2</c:v>
                </c:pt>
                <c:pt idx="5">
                  <c:v>1.3683719070212751E-2</c:v>
                </c:pt>
                <c:pt idx="6">
                  <c:v>1.6842897053546132E-2</c:v>
                </c:pt>
                <c:pt idx="7">
                  <c:v>1.8738765005028357E-2</c:v>
                </c:pt>
                <c:pt idx="8">
                  <c:v>1.2293575692387607E-2</c:v>
                </c:pt>
                <c:pt idx="9">
                  <c:v>2.5146229359210875E-2</c:v>
                </c:pt>
                <c:pt idx="10">
                  <c:v>4.9805446118154302E-2</c:v>
                </c:pt>
                <c:pt idx="11">
                  <c:v>6.4109101720212142E-2</c:v>
                </c:pt>
                <c:pt idx="12">
                  <c:v>0.12532946695579808</c:v>
                </c:pt>
              </c:numCache>
            </c:numRef>
          </c:val>
        </c:ser>
        <c:ser>
          <c:idx val="2"/>
          <c:order val="2"/>
          <c:tx>
            <c:strRef>
              <c:f>'накопленный рост'!$B$5</c:f>
              <c:strCache>
                <c:ptCount val="1"/>
                <c:pt idx="0">
                  <c:v>Химическая промышленность</c:v>
                </c:pt>
              </c:strCache>
            </c:strRef>
          </c:tx>
          <c:spPr>
            <a:solidFill>
              <a:srgbClr val="E97132"/>
            </a:solidFill>
            <a:ln w="23534">
              <a:noFill/>
            </a:ln>
          </c:spPr>
          <c:cat>
            <c:strRef>
              <c:f>'накопленный рост'!$C$2:$O$2</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'накопленный рост'!$C$5:$O$5</c:f>
              <c:numCache>
                <c:formatCode>0%</c:formatCode>
                <c:ptCount val="13"/>
                <c:pt idx="0">
                  <c:v>0</c:v>
                </c:pt>
                <c:pt idx="1">
                  <c:v>1.6537814099678604E-2</c:v>
                </c:pt>
                <c:pt idx="2">
                  <c:v>3.319914542626741E-2</c:v>
                </c:pt>
                <c:pt idx="3">
                  <c:v>9.1959888749130358E-2</c:v>
                </c:pt>
                <c:pt idx="4">
                  <c:v>0.19981025889040036</c:v>
                </c:pt>
                <c:pt idx="5">
                  <c:v>0.26643801861557609</c:v>
                </c:pt>
                <c:pt idx="6">
                  <c:v>0.24414640961162343</c:v>
                </c:pt>
                <c:pt idx="7">
                  <c:v>0.31059017397805266</c:v>
                </c:pt>
                <c:pt idx="8">
                  <c:v>0.34916842568724937</c:v>
                </c:pt>
                <c:pt idx="9">
                  <c:v>0.49970069562984776</c:v>
                </c:pt>
                <c:pt idx="10">
                  <c:v>0.39198114566332082</c:v>
                </c:pt>
                <c:pt idx="11">
                  <c:v>0.27110083860418971</c:v>
                </c:pt>
                <c:pt idx="12">
                  <c:v>0.24810415072994718</c:v>
                </c:pt>
              </c:numCache>
            </c:numRef>
          </c:val>
        </c:ser>
        <c:ser>
          <c:idx val="3"/>
          <c:order val="3"/>
          <c:tx>
            <c:strRef>
              <c:f>'накопленный рост'!$B$6</c:f>
              <c:strCache>
                <c:ptCount val="1"/>
                <c:pt idx="0">
                  <c:v>Машиностроение</c:v>
                </c:pt>
              </c:strCache>
            </c:strRef>
          </c:tx>
          <c:spPr>
            <a:solidFill>
              <a:schemeClr val="accent4">
                <a:lumMod val="50000"/>
              </a:schemeClr>
            </a:solidFill>
            <a:ln>
              <a:noFill/>
            </a:ln>
            <a:effectLst/>
          </c:spPr>
          <c:cat>
            <c:strRef>
              <c:f>'накопленный рост'!$C$2:$O$2</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'накопленный рост'!$C$6:$O$6</c:f>
              <c:numCache>
                <c:formatCode>0%</c:formatCode>
                <c:ptCount val="13"/>
                <c:pt idx="0">
                  <c:v>0</c:v>
                </c:pt>
                <c:pt idx="1">
                  <c:v>-7.4277783742414394E-3</c:v>
                </c:pt>
                <c:pt idx="2">
                  <c:v>-8.9674261892637219E-2</c:v>
                </c:pt>
                <c:pt idx="3">
                  <c:v>-0.10390589576419963</c:v>
                </c:pt>
                <c:pt idx="4">
                  <c:v>4.2138023442006844E-3</c:v>
                </c:pt>
                <c:pt idx="5">
                  <c:v>8.1302735732561873E-2</c:v>
                </c:pt>
                <c:pt idx="6">
                  <c:v>0.24430407170171742</c:v>
                </c:pt>
                <c:pt idx="7">
                  <c:v>0.37683369761393742</c:v>
                </c:pt>
                <c:pt idx="8">
                  <c:v>0.25834159900634635</c:v>
                </c:pt>
                <c:pt idx="9">
                  <c:v>0.44556531457657589</c:v>
                </c:pt>
                <c:pt idx="10">
                  <c:v>0.59595622939532689</c:v>
                </c:pt>
                <c:pt idx="11">
                  <c:v>0.78084969566672824</c:v>
                </c:pt>
                <c:pt idx="12">
                  <c:v>1.0767312279191632</c:v>
                </c:pt>
              </c:numCache>
            </c:numRef>
          </c:val>
        </c:ser>
        <c:ser>
          <c:idx val="4"/>
          <c:order val="4"/>
          <c:tx>
            <c:strRef>
              <c:f>'накопленный рост'!$B$7</c:f>
              <c:strCache>
                <c:ptCount val="1"/>
                <c:pt idx="0">
                  <c:v>Энергия</c:v>
                </c:pt>
              </c:strCache>
            </c:strRef>
          </c:tx>
          <c:spPr>
            <a:solidFill>
              <a:schemeClr val="accent4">
                <a:lumMod val="20000"/>
                <a:lumOff val="80000"/>
              </a:schemeClr>
            </a:solidFill>
            <a:ln>
              <a:noFill/>
            </a:ln>
            <a:effectLst/>
          </c:spPr>
          <c:cat>
            <c:strRef>
              <c:f>'накопленный рост'!$C$2:$O$2</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'накопленный рост'!$C$7:$O$7</c:f>
              <c:numCache>
                <c:formatCode>0%</c:formatCode>
                <c:ptCount val="13"/>
                <c:pt idx="0">
                  <c:v>0</c:v>
                </c:pt>
                <c:pt idx="1">
                  <c:v>0.1661905573345494</c:v>
                </c:pt>
                <c:pt idx="2">
                  <c:v>0.21727271205021853</c:v>
                </c:pt>
                <c:pt idx="3">
                  <c:v>0.37417022328644489</c:v>
                </c:pt>
                <c:pt idx="4">
                  <c:v>0.31149022122454112</c:v>
                </c:pt>
                <c:pt idx="5">
                  <c:v>0.31197375078347422</c:v>
                </c:pt>
                <c:pt idx="6">
                  <c:v>0.31800728167213832</c:v>
                </c:pt>
                <c:pt idx="7">
                  <c:v>0.31105699161021888</c:v>
                </c:pt>
                <c:pt idx="8">
                  <c:v>0.36838595948621827</c:v>
                </c:pt>
                <c:pt idx="9">
                  <c:v>0.48523516044927179</c:v>
                </c:pt>
                <c:pt idx="10">
                  <c:v>0.54966683798854077</c:v>
                </c:pt>
                <c:pt idx="11">
                  <c:v>0.58753341320123997</c:v>
                </c:pt>
                <c:pt idx="12">
                  <c:v>0.6032375296855278</c:v>
                </c:pt>
              </c:numCache>
            </c:numRef>
          </c:val>
        </c:ser>
        <c:ser>
          <c:idx val="5"/>
          <c:order val="5"/>
          <c:tx>
            <c:strRef>
              <c:f>'накопленный рост'!$B$8</c:f>
              <c:strCache>
                <c:ptCount val="1"/>
                <c:pt idx="0">
                  <c:v>Прочее</c:v>
                </c:pt>
              </c:strCache>
            </c:strRef>
          </c:tx>
          <c:spPr>
            <a:solidFill>
              <a:schemeClr val="bg1">
                <a:lumMod val="65000"/>
              </a:schemeClr>
            </a:solidFill>
            <a:ln>
              <a:noFill/>
            </a:ln>
            <a:effectLst/>
          </c:spPr>
          <c:cat>
            <c:strRef>
              <c:f>'накопленный рост'!$C$2:$O$2</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'накопленный рост'!$C$8:$O$8</c:f>
              <c:numCache>
                <c:formatCode>0%</c:formatCode>
                <c:ptCount val="13"/>
                <c:pt idx="0">
                  <c:v>0</c:v>
                </c:pt>
                <c:pt idx="1">
                  <c:v>1.1547317571589553E-2</c:v>
                </c:pt>
                <c:pt idx="2">
                  <c:v>1.0038877391915063E-2</c:v>
                </c:pt>
                <c:pt idx="3">
                  <c:v>9.9192672755848994E-3</c:v>
                </c:pt>
                <c:pt idx="4">
                  <c:v>3.4573988690392854E-3</c:v>
                </c:pt>
                <c:pt idx="5">
                  <c:v>6.0559360337048902E-2</c:v>
                </c:pt>
                <c:pt idx="6">
                  <c:v>6.741371277615317E-2</c:v>
                </c:pt>
                <c:pt idx="7">
                  <c:v>7.2906026767318735E-2</c:v>
                </c:pt>
                <c:pt idx="8">
                  <c:v>5.7654702700076221E-2</c:v>
                </c:pt>
                <c:pt idx="9">
                  <c:v>7.9133304374748872E-2</c:v>
                </c:pt>
                <c:pt idx="10">
                  <c:v>0.10791027763796546</c:v>
                </c:pt>
                <c:pt idx="11">
                  <c:v>0.12283863130107786</c:v>
                </c:pt>
                <c:pt idx="12">
                  <c:v>0.11060956817306875</c:v>
                </c:pt>
              </c:numCache>
            </c:numRef>
          </c:val>
        </c:ser>
        <c:dLbls>
          <c:showLegendKey val="0"/>
          <c:showVal val="0"/>
          <c:showCatName val="0"/>
          <c:showSerName val="0"/>
          <c:showPercent val="0"/>
          <c:showBubbleSize val="0"/>
        </c:dLbls>
        <c:axId val="509868208"/>
        <c:axId val="509868600"/>
      </c:areaChart>
      <c:catAx>
        <c:axId val="509868208"/>
        <c:scaling>
          <c:orientation val="minMax"/>
        </c:scaling>
        <c:delete val="0"/>
        <c:axPos val="b"/>
        <c:numFmt formatCode="General" sourceLinked="1"/>
        <c:majorTickMark val="out"/>
        <c:minorTickMark val="none"/>
        <c:tickLblPos val="nextTo"/>
        <c:spPr>
          <a:noFill/>
          <a:ln w="8825" cap="flat" cmpd="sng" algn="ctr">
            <a:solidFill>
              <a:schemeClr val="tx1">
                <a:lumMod val="15000"/>
                <a:lumOff val="85000"/>
              </a:schemeClr>
            </a:solidFill>
            <a:round/>
          </a:ln>
          <a:effectLst/>
        </c:spPr>
        <c:txPr>
          <a:bodyPr rot="-60000000" spcFirstLastPara="1" vertOverflow="ellipsis" vert="horz" wrap="square" anchor="ctr" anchorCtr="1"/>
          <a:lstStyle/>
          <a:p>
            <a:pPr>
              <a:defRPr sz="741" b="0" i="0" u="none" strike="noStrike" kern="1200" baseline="0">
                <a:solidFill>
                  <a:sysClr val="windowText" lastClr="000000"/>
                </a:solidFill>
                <a:latin typeface="PT Astra Serif" pitchFamily="18" charset="-52"/>
                <a:ea typeface="PT Astra Serif" pitchFamily="18" charset="-52"/>
                <a:cs typeface="Times New Roman" panose="02020603050405020304" pitchFamily="18" charset="0"/>
              </a:defRPr>
            </a:pPr>
            <a:endParaRPr lang="ru-RU"/>
          </a:p>
        </c:txPr>
        <c:crossAx val="509868600"/>
        <c:crosses val="autoZero"/>
        <c:auto val="1"/>
        <c:lblAlgn val="ctr"/>
        <c:lblOffset val="100"/>
        <c:noMultiLvlLbl val="0"/>
      </c:catAx>
      <c:valAx>
        <c:axId val="509868600"/>
        <c:scaling>
          <c:orientation val="minMax"/>
        </c:scaling>
        <c:delete val="0"/>
        <c:axPos val="l"/>
        <c:majorGridlines>
          <c:spPr>
            <a:ln w="8825" cap="flat" cmpd="sng" algn="ctr">
              <a:solidFill>
                <a:schemeClr val="tx1">
                  <a:lumMod val="15000"/>
                  <a:lumOff val="85000"/>
                </a:schemeClr>
              </a:solidFill>
              <a:round/>
            </a:ln>
            <a:effectLst/>
          </c:spPr>
        </c:majorGridlines>
        <c:numFmt formatCode="0%" sourceLinked="1"/>
        <c:majorTickMark val="none"/>
        <c:minorTickMark val="none"/>
        <c:tickLblPos val="nextTo"/>
        <c:spPr>
          <a:ln w="11767">
            <a:noFill/>
          </a:ln>
        </c:spPr>
        <c:txPr>
          <a:bodyPr rot="-60000000" spcFirstLastPara="1" vertOverflow="ellipsis" vert="horz" wrap="square" anchor="ctr" anchorCtr="1"/>
          <a:lstStyle/>
          <a:p>
            <a:pPr>
              <a:defRPr sz="834" b="0" i="0" u="none" strike="noStrike" kern="1200" baseline="0">
                <a:solidFill>
                  <a:sysClr val="windowText" lastClr="000000"/>
                </a:solidFill>
                <a:latin typeface="PT Astra Serif" pitchFamily="18" charset="-52"/>
                <a:ea typeface="PT Astra Serif" pitchFamily="18" charset="-52"/>
                <a:cs typeface="Times New Roman" panose="02020603050405020304" pitchFamily="18" charset="0"/>
              </a:defRPr>
            </a:pPr>
            <a:endParaRPr lang="ru-RU"/>
          </a:p>
        </c:txPr>
        <c:crossAx val="509868208"/>
        <c:crosses val="autoZero"/>
        <c:crossBetween val="between"/>
      </c:valAx>
      <c:spPr>
        <a:noFill/>
        <a:ln w="23534">
          <a:noFill/>
        </a:ln>
      </c:spPr>
    </c:plotArea>
    <c:legend>
      <c:legendPos val="r"/>
      <c:layout>
        <c:manualLayout>
          <c:xMode val="edge"/>
          <c:yMode val="edge"/>
          <c:x val="0.76587157061393396"/>
          <c:y val="9.619460610901899E-2"/>
          <c:w val="0.2213010507237084"/>
          <c:h val="0.86356803225683754"/>
        </c:manualLayout>
      </c:layout>
      <c:overlay val="0"/>
      <c:spPr>
        <a:noFill/>
        <a:ln w="23534">
          <a:noFill/>
        </a:ln>
      </c:spPr>
      <c:txPr>
        <a:bodyPr rot="0" spcFirstLastPara="1" vertOverflow="ellipsis" vert="horz" wrap="square" anchor="ctr" anchorCtr="1"/>
        <a:lstStyle/>
        <a:p>
          <a:pPr>
            <a:defRPr sz="834" b="0" i="0" u="none" strike="noStrike" kern="1200" baseline="0">
              <a:solidFill>
                <a:sysClr val="windowText" lastClr="000000"/>
              </a:solidFill>
              <a:latin typeface="PT Astra Serif" pitchFamily="18" charset="-52"/>
              <a:ea typeface="PT Astra Serif" pitchFamily="18" charset="-52"/>
              <a:cs typeface="Times New Roman" panose="02020603050405020304" pitchFamily="18" charset="0"/>
            </a:defRPr>
          </a:pPr>
          <a:endParaRPr lang="ru-RU"/>
        </a:p>
      </c:txPr>
    </c:legend>
    <c:plotVisOnly val="1"/>
    <c:dispBlanksAs val="zero"/>
    <c:showDLblsOverMax val="0"/>
  </c:chart>
  <c:spPr>
    <a:solidFill>
      <a:schemeClr val="bg1"/>
    </a:solidFill>
    <a:ln>
      <a:noFill/>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'инвестиции тип'!$A$2</c:f>
              <c:strCache>
                <c:ptCount val="1"/>
                <c:pt idx="0">
                  <c:v>Жилые здания</c:v>
                </c:pt>
              </c:strCache>
            </c:strRef>
          </c:tx>
          <c:spPr>
            <a:solidFill>
              <a:schemeClr val="accent2">
                <a:lumMod val="50000"/>
              </a:schemeClr>
            </a:solidFill>
            <a:ln>
              <a:noFill/>
            </a:ln>
            <a:effectLst/>
          </c:spPr>
          <c:invertIfNegative val="0"/>
          <c:dLbls>
            <c:dLbl>
              <c:idx val="0"/>
              <c:layout/>
              <c:tx>
                <c:rich>
                  <a:bodyPr rot="0" spcFirstLastPara="1" vertOverflow="ellipsis" vert="horz" wrap="square" anchor="ctr" anchorCtr="1"/>
                  <a:lstStyle/>
                  <a:p>
                    <a:pPr>
                      <a:defRPr sz="836" b="0" i="0" u="none" strike="noStrike" kern="1200" baseline="0">
                        <a:solidFill>
                          <a:schemeClr val="bg1"/>
                        </a:solidFill>
                        <a:latin typeface="PT Astra Serif" pitchFamily="18" charset="-52"/>
                        <a:ea typeface="PT Astra Serif" pitchFamily="18" charset="-52"/>
                        <a:cs typeface="Times New Roman" panose="02020603050405020304" pitchFamily="18" charset="0"/>
                      </a:defRPr>
                    </a:pPr>
                    <a:r>
                      <a:rPr lang="en-US">
                        <a:latin typeface="PT Astra Serif" pitchFamily="18" charset="-52"/>
                        <a:ea typeface="PT Astra Serif" pitchFamily="18" charset="-52"/>
                      </a:rPr>
                      <a:t>1</a:t>
                    </a:r>
                    <a:r>
                      <a:rPr lang="en-US"/>
                      <a:t>4%</a:t>
                    </a:r>
                  </a:p>
                </c:rich>
              </c:tx>
              <c:spPr>
                <a:noFill/>
                <a:ln w="23582">
                  <a:noFill/>
                </a:ln>
              </c:spPr>
              <c:showLegendKey val="0"/>
              <c:showVal val="0"/>
              <c:showCatName val="0"/>
              <c:showSerName val="0"/>
              <c:showPercent val="0"/>
              <c:showBubbleSize val="0"/>
              <c:extLst>
                <c:ext xmlns:c15="http://schemas.microsoft.com/office/drawing/2012/chart" uri="{CE6537A1-D6FC-4f65-9D91-7224C49458BB}">
                  <c15:layout/>
                </c:ext>
              </c:extLst>
            </c:dLbl>
            <c:dLbl>
              <c:idx val="1"/>
              <c:tx>
                <c:rich>
                  <a:bodyPr/>
                  <a:lstStyle/>
                  <a:p>
                    <a:pPr>
                      <a:defRPr sz="1021" b="0" i="0" u="none" strike="noStrike" baseline="0">
                        <a:solidFill>
                          <a:srgbClr val="000000"/>
                        </a:solidFill>
                        <a:latin typeface="Calibri"/>
                        <a:ea typeface="Calibri"/>
                        <a:cs typeface="Calibri"/>
                      </a:defRPr>
                    </a:pPr>
                    <a:endParaRPr lang="ru-RU"/>
                  </a:p>
                </c:rich>
              </c:tx>
              <c:spPr>
                <a:noFill/>
                <a:ln w="23582">
                  <a:noFill/>
                </a:ln>
              </c:spPr>
              <c:showLegendKey val="0"/>
              <c:showVal val="0"/>
              <c:showCatName val="0"/>
              <c:showSerName val="0"/>
              <c:showPercent val="0"/>
              <c:showBubbleSize val="0"/>
              <c:extLst>
                <c:ext xmlns:c15="http://schemas.microsoft.com/office/drawing/2012/chart" uri="{CE6537A1-D6FC-4f65-9D91-7224C49458BB}"/>
              </c:extLst>
            </c:dLbl>
            <c:dLbl>
              <c:idx val="2"/>
              <c:tx>
                <c:rich>
                  <a:bodyPr/>
                  <a:lstStyle/>
                  <a:p>
                    <a:pPr>
                      <a:defRPr sz="1021" b="0" i="0" u="none" strike="noStrike" baseline="0">
                        <a:solidFill>
                          <a:srgbClr val="000000"/>
                        </a:solidFill>
                        <a:latin typeface="Calibri"/>
                        <a:ea typeface="Calibri"/>
                        <a:cs typeface="Calibri"/>
                      </a:defRPr>
                    </a:pPr>
                    <a:endParaRPr lang="ru-RU"/>
                  </a:p>
                </c:rich>
              </c:tx>
              <c:spPr>
                <a:noFill/>
                <a:ln w="23582">
                  <a:noFill/>
                </a:ln>
              </c:spPr>
              <c:showLegendKey val="0"/>
              <c:showVal val="0"/>
              <c:showCatName val="0"/>
              <c:showSerName val="0"/>
              <c:showPercent val="0"/>
              <c:showBubbleSize val="0"/>
              <c:extLst>
                <c:ext xmlns:c15="http://schemas.microsoft.com/office/drawing/2012/chart" uri="{CE6537A1-D6FC-4f65-9D91-7224C49458BB}"/>
              </c:extLst>
            </c:dLbl>
            <c:dLbl>
              <c:idx val="4"/>
              <c:tx>
                <c:rich>
                  <a:bodyPr/>
                  <a:lstStyle/>
                  <a:p>
                    <a:pPr>
                      <a:defRPr sz="1021" b="0" i="0" u="none" strike="noStrike" baseline="0">
                        <a:solidFill>
                          <a:srgbClr val="000000"/>
                        </a:solidFill>
                        <a:latin typeface="Calibri"/>
                        <a:ea typeface="Calibri"/>
                        <a:cs typeface="Calibri"/>
                      </a:defRPr>
                    </a:pPr>
                    <a:endParaRPr lang="ru-RU"/>
                  </a:p>
                </c:rich>
              </c:tx>
              <c:spPr>
                <a:noFill/>
                <a:ln w="23582">
                  <a:noFill/>
                </a:ln>
              </c:spPr>
              <c:showLegendKey val="0"/>
              <c:showVal val="0"/>
              <c:showCatName val="0"/>
              <c:showSerName val="0"/>
              <c:showPercent val="0"/>
              <c:showBubbleSize val="0"/>
              <c:extLst>
                <c:ext xmlns:c15="http://schemas.microsoft.com/office/drawing/2012/chart" uri="{CE6537A1-D6FC-4f65-9D91-7224C49458BB}"/>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'инвестиции тип'!$B$1:$F$1</c:f>
              <c:strCache>
                <c:ptCount val="5"/>
                <c:pt idx="0">
                  <c:v>2020 г.</c:v>
                </c:pt>
                <c:pt idx="1">
                  <c:v>2021 г.</c:v>
                </c:pt>
                <c:pt idx="2">
                  <c:v>2022 г.</c:v>
                </c:pt>
                <c:pt idx="3">
                  <c:v>2023 г.</c:v>
                </c:pt>
                <c:pt idx="4">
                  <c:v>2024 г.</c:v>
                </c:pt>
              </c:strCache>
            </c:strRef>
          </c:cat>
          <c:val>
            <c:numRef>
              <c:f>'инвестиции тип'!$B$2:$F$2</c:f>
              <c:numCache>
                <c:formatCode>General</c:formatCode>
                <c:ptCount val="5"/>
                <c:pt idx="0" formatCode="_-* #\ ##0.0_-;\-* #\ ##0.0_-;_-* &quot;-&quot;??_-;_-@_-">
                  <c:v>5.1757669999999996</c:v>
                </c:pt>
                <c:pt idx="3" formatCode="_-* #\ ##0.0_-;\-* #\ ##0.0_-;_-* &quot;-&quot;??_-;_-@_-">
                  <c:v>0.19429299999999999</c:v>
                </c:pt>
              </c:numCache>
            </c:numRef>
          </c:val>
        </c:ser>
        <c:ser>
          <c:idx val="1"/>
          <c:order val="1"/>
          <c:tx>
            <c:strRef>
              <c:f>'инвестиции тип'!$A$3</c:f>
              <c:strCache>
                <c:ptCount val="1"/>
                <c:pt idx="0">
                  <c:v>Здания (кроме жилых)</c:v>
                </c:pt>
              </c:strCache>
            </c:strRef>
          </c:tx>
          <c:spPr>
            <a:solidFill>
              <a:schemeClr val="accent2">
                <a:lumMod val="75000"/>
              </a:schemeClr>
            </a:solidFill>
            <a:ln>
              <a:noFill/>
            </a:ln>
            <a:effectLst/>
          </c:spPr>
          <c:invertIfNegative val="0"/>
          <c:dLbls>
            <c:dLbl>
              <c:idx val="0"/>
              <c:layout/>
              <c:tx>
                <c:rich>
                  <a:bodyPr rot="0" spcFirstLastPara="1" vertOverflow="ellipsis" vert="horz" wrap="square" anchor="ctr" anchorCtr="1"/>
                  <a:lstStyle/>
                  <a:p>
                    <a:pPr>
                      <a:defRPr sz="836" b="0" i="0" u="none" strike="noStrike" kern="1200" baseline="0">
                        <a:solidFill>
                          <a:schemeClr val="bg1"/>
                        </a:solidFill>
                        <a:latin typeface="PT Astra Serif" pitchFamily="18" charset="-52"/>
                        <a:ea typeface="PT Astra Serif" pitchFamily="18" charset="-52"/>
                        <a:cs typeface="Times New Roman" panose="02020603050405020304" pitchFamily="18" charset="0"/>
                      </a:defRPr>
                    </a:pPr>
                    <a:r>
                      <a:rPr lang="en-US">
                        <a:latin typeface="PT Astra Serif" pitchFamily="18" charset="-52"/>
                        <a:ea typeface="PT Astra Serif" pitchFamily="18" charset="-52"/>
                      </a:rPr>
                      <a:t>9</a:t>
                    </a:r>
                    <a:r>
                      <a:rPr lang="en-US"/>
                      <a:t>%</a:t>
                    </a:r>
                  </a:p>
                </c:rich>
              </c:tx>
              <c:spPr>
                <a:noFill/>
                <a:ln w="23582">
                  <a:noFill/>
                </a:ln>
              </c:spPr>
              <c:showLegendKey val="0"/>
              <c:showVal val="0"/>
              <c:showCatName val="0"/>
              <c:showSerName val="0"/>
              <c:showPercent val="0"/>
              <c:showBubbleSize val="0"/>
              <c:extLst>
                <c:ext xmlns:c15="http://schemas.microsoft.com/office/drawing/2012/chart" uri="{CE6537A1-D6FC-4f65-9D91-7224C49458BB}">
                  <c15:layout/>
                </c:ext>
              </c:extLst>
            </c:dLbl>
            <c:dLbl>
              <c:idx val="1"/>
              <c:layout/>
              <c:tx>
                <c:rich>
                  <a:bodyPr rot="0" spcFirstLastPara="1" vertOverflow="ellipsis" vert="horz" wrap="square" anchor="ctr" anchorCtr="1"/>
                  <a:lstStyle/>
                  <a:p>
                    <a:pPr>
                      <a:defRPr sz="836" b="0" i="0" u="none" strike="noStrike" kern="1200" baseline="0">
                        <a:solidFill>
                          <a:schemeClr val="bg1"/>
                        </a:solidFill>
                        <a:latin typeface="PT Astra Serif" pitchFamily="18" charset="-52"/>
                        <a:ea typeface="PT Astra Serif" pitchFamily="18" charset="-52"/>
                        <a:cs typeface="Times New Roman" panose="02020603050405020304" pitchFamily="18" charset="0"/>
                      </a:defRPr>
                    </a:pPr>
                    <a:r>
                      <a:rPr lang="en-US">
                        <a:latin typeface="PT Astra Serif" pitchFamily="18" charset="-52"/>
                        <a:ea typeface="PT Astra Serif" pitchFamily="18" charset="-52"/>
                      </a:rPr>
                      <a:t>6</a:t>
                    </a:r>
                    <a:r>
                      <a:rPr lang="en-US"/>
                      <a:t>%</a:t>
                    </a:r>
                  </a:p>
                </c:rich>
              </c:tx>
              <c:spPr>
                <a:noFill/>
                <a:ln w="23582">
                  <a:noFill/>
                </a:ln>
              </c:spPr>
              <c:showLegendKey val="0"/>
              <c:showVal val="0"/>
              <c:showCatName val="0"/>
              <c:showSerName val="0"/>
              <c:showPercent val="0"/>
              <c:showBubbleSize val="0"/>
              <c:extLst>
                <c:ext xmlns:c15="http://schemas.microsoft.com/office/drawing/2012/chart" uri="{CE6537A1-D6FC-4f65-9D91-7224C49458BB}">
                  <c15:layout/>
                </c:ext>
              </c:extLst>
            </c:dLbl>
            <c:dLbl>
              <c:idx val="2"/>
              <c:layout/>
              <c:tx>
                <c:rich>
                  <a:bodyPr rot="0" spcFirstLastPara="1" vertOverflow="ellipsis" vert="horz" wrap="square" anchor="ctr" anchorCtr="1"/>
                  <a:lstStyle/>
                  <a:p>
                    <a:pPr>
                      <a:defRPr sz="836" b="0" i="0" u="none" strike="noStrike" kern="1200" baseline="0">
                        <a:solidFill>
                          <a:schemeClr val="bg1"/>
                        </a:solidFill>
                        <a:latin typeface="PT Astra Serif" pitchFamily="18" charset="-52"/>
                        <a:ea typeface="PT Astra Serif" pitchFamily="18" charset="-52"/>
                        <a:cs typeface="Times New Roman" panose="02020603050405020304" pitchFamily="18" charset="0"/>
                      </a:defRPr>
                    </a:pPr>
                    <a:r>
                      <a:rPr lang="en-US">
                        <a:latin typeface="PT Astra Serif" pitchFamily="18" charset="-52"/>
                        <a:ea typeface="PT Astra Serif" pitchFamily="18" charset="-52"/>
                      </a:rPr>
                      <a:t>9</a:t>
                    </a:r>
                    <a:r>
                      <a:rPr lang="en-US"/>
                      <a:t>%</a:t>
                    </a:r>
                  </a:p>
                </c:rich>
              </c:tx>
              <c:spPr>
                <a:noFill/>
                <a:ln w="23582">
                  <a:noFill/>
                </a:ln>
              </c:spPr>
              <c:showLegendKey val="0"/>
              <c:showVal val="0"/>
              <c:showCatName val="0"/>
              <c:showSerName val="0"/>
              <c:showPercent val="0"/>
              <c:showBubbleSize val="0"/>
              <c:extLst>
                <c:ext xmlns:c15="http://schemas.microsoft.com/office/drawing/2012/chart" uri="{CE6537A1-D6FC-4f65-9D91-7224C49458BB}">
                  <c15:layout/>
                </c:ext>
              </c:extLst>
            </c:dLbl>
            <c:dLbl>
              <c:idx val="3"/>
              <c:layout/>
              <c:tx>
                <c:rich>
                  <a:bodyPr rot="0" spcFirstLastPara="1" vertOverflow="ellipsis" vert="horz" wrap="square" anchor="ctr" anchorCtr="1"/>
                  <a:lstStyle/>
                  <a:p>
                    <a:pPr>
                      <a:defRPr sz="836" b="0" i="0" u="none" strike="noStrike" kern="1200" baseline="0">
                        <a:solidFill>
                          <a:schemeClr val="bg1"/>
                        </a:solidFill>
                        <a:latin typeface="PT Astra Serif" pitchFamily="18" charset="-52"/>
                        <a:ea typeface="PT Astra Serif" pitchFamily="18" charset="-52"/>
                        <a:cs typeface="Times New Roman" panose="02020603050405020304" pitchFamily="18" charset="0"/>
                      </a:defRPr>
                    </a:pPr>
                    <a:r>
                      <a:rPr lang="en-US">
                        <a:latin typeface="PT Astra Serif" pitchFamily="18" charset="-52"/>
                        <a:ea typeface="PT Astra Serif" pitchFamily="18" charset="-52"/>
                      </a:rPr>
                      <a:t>1</a:t>
                    </a:r>
                    <a:r>
                      <a:rPr lang="en-US"/>
                      <a:t>2%</a:t>
                    </a:r>
                  </a:p>
                </c:rich>
              </c:tx>
              <c:spPr>
                <a:noFill/>
                <a:ln w="23582">
                  <a:noFill/>
                </a:ln>
              </c:spPr>
              <c:showLegendKey val="0"/>
              <c:showVal val="0"/>
              <c:showCatName val="0"/>
              <c:showSerName val="0"/>
              <c:showPercent val="0"/>
              <c:showBubbleSize val="0"/>
              <c:extLst>
                <c:ext xmlns:c15="http://schemas.microsoft.com/office/drawing/2012/chart" uri="{CE6537A1-D6FC-4f65-9D91-7224C49458BB}">
                  <c15:layout/>
                </c:ext>
              </c:extLst>
            </c:dLbl>
            <c:dLbl>
              <c:idx val="4"/>
              <c:layout/>
              <c:tx>
                <c:rich>
                  <a:bodyPr rot="0" spcFirstLastPara="1" vertOverflow="ellipsis" vert="horz" wrap="square" anchor="ctr" anchorCtr="1"/>
                  <a:lstStyle/>
                  <a:p>
                    <a:pPr>
                      <a:defRPr sz="836" b="0" i="0" u="none" strike="noStrike" kern="1200" baseline="0">
                        <a:solidFill>
                          <a:schemeClr val="bg1"/>
                        </a:solidFill>
                        <a:latin typeface="PT Astra Serif" pitchFamily="18" charset="-52"/>
                        <a:ea typeface="PT Astra Serif" pitchFamily="18" charset="-52"/>
                        <a:cs typeface="Times New Roman" panose="02020603050405020304" pitchFamily="18" charset="0"/>
                      </a:defRPr>
                    </a:pPr>
                    <a:r>
                      <a:rPr lang="en-US">
                        <a:latin typeface="PT Astra Serif" pitchFamily="18" charset="-52"/>
                        <a:ea typeface="PT Astra Serif" pitchFamily="18" charset="-52"/>
                      </a:rPr>
                      <a:t>1</a:t>
                    </a:r>
                    <a:r>
                      <a:rPr lang="en-US"/>
                      <a:t>2%</a:t>
                    </a:r>
                  </a:p>
                </c:rich>
              </c:tx>
              <c:spPr>
                <a:noFill/>
                <a:ln w="23582">
                  <a:noFill/>
                </a:ln>
              </c:spPr>
              <c:showLegendKey val="0"/>
              <c:showVal val="0"/>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'инвестиции тип'!$B$1:$F$1</c:f>
              <c:strCache>
                <c:ptCount val="5"/>
                <c:pt idx="0">
                  <c:v>2020 г.</c:v>
                </c:pt>
                <c:pt idx="1">
                  <c:v>2021 г.</c:v>
                </c:pt>
                <c:pt idx="2">
                  <c:v>2022 г.</c:v>
                </c:pt>
                <c:pt idx="3">
                  <c:v>2023 г.</c:v>
                </c:pt>
                <c:pt idx="4">
                  <c:v>2024 г.</c:v>
                </c:pt>
              </c:strCache>
            </c:strRef>
          </c:cat>
          <c:val>
            <c:numRef>
              <c:f>'инвестиции тип'!$B$3:$F$3</c:f>
              <c:numCache>
                <c:formatCode>_-* #\ ##0.0_-;\-* #\ ##0.0_-;_-* "-"??_-;_-@_-</c:formatCode>
                <c:ptCount val="5"/>
                <c:pt idx="0">
                  <c:v>3.4507300000000001</c:v>
                </c:pt>
                <c:pt idx="1">
                  <c:v>2.0401380000000002</c:v>
                </c:pt>
                <c:pt idx="2">
                  <c:v>2.9553409999999998</c:v>
                </c:pt>
                <c:pt idx="3">
                  <c:v>5.5122260000000001</c:v>
                </c:pt>
                <c:pt idx="4">
                  <c:v>7.2453519999999996</c:v>
                </c:pt>
              </c:numCache>
            </c:numRef>
          </c:val>
        </c:ser>
        <c:ser>
          <c:idx val="2"/>
          <c:order val="2"/>
          <c:tx>
            <c:strRef>
              <c:f>'инвестиции тип'!$A$4</c:f>
              <c:strCache>
                <c:ptCount val="1"/>
                <c:pt idx="0">
                  <c:v>Сооружения</c:v>
                </c:pt>
              </c:strCache>
            </c:strRef>
          </c:tx>
          <c:spPr>
            <a:solidFill>
              <a:srgbClr val="E97132"/>
            </a:solidFill>
            <a:ln w="23582">
              <a:noFill/>
            </a:ln>
          </c:spPr>
          <c:invertIfNegative val="0"/>
          <c:dLbls>
            <c:dLbl>
              <c:idx val="0"/>
              <c:layout/>
              <c:tx>
                <c:rich>
                  <a:bodyPr rot="0" spcFirstLastPara="1" vertOverflow="ellipsis" vert="horz" wrap="square" anchor="ctr" anchorCtr="1"/>
                  <a:lstStyle/>
                  <a:p>
                    <a:pPr>
                      <a:defRPr sz="836" b="0" i="0" u="none" strike="noStrike" kern="1200" baseline="0">
                        <a:solidFill>
                          <a:schemeClr val="tx1">
                            <a:lumMod val="75000"/>
                            <a:lumOff val="25000"/>
                          </a:schemeClr>
                        </a:solidFill>
                        <a:latin typeface="PT Astra Serif" pitchFamily="18" charset="-52"/>
                        <a:ea typeface="PT Astra Serif" pitchFamily="18" charset="-52"/>
                        <a:cs typeface="Times New Roman" panose="02020603050405020304" pitchFamily="18" charset="0"/>
                      </a:defRPr>
                    </a:pPr>
                    <a:r>
                      <a:rPr lang="en-US">
                        <a:latin typeface="PT Astra Serif" pitchFamily="18" charset="-52"/>
                        <a:ea typeface="PT Astra Serif" pitchFamily="18" charset="-52"/>
                      </a:rPr>
                      <a:t>2</a:t>
                    </a:r>
                    <a:r>
                      <a:rPr lang="en-US"/>
                      <a:t>5%</a:t>
                    </a:r>
                  </a:p>
                </c:rich>
              </c:tx>
              <c:spPr>
                <a:noFill/>
                <a:ln w="23582">
                  <a:noFill/>
                </a:ln>
              </c:spPr>
              <c:showLegendKey val="0"/>
              <c:showVal val="0"/>
              <c:showCatName val="0"/>
              <c:showSerName val="0"/>
              <c:showPercent val="0"/>
              <c:showBubbleSize val="0"/>
              <c:extLst>
                <c:ext xmlns:c15="http://schemas.microsoft.com/office/drawing/2012/chart" uri="{CE6537A1-D6FC-4f65-9D91-7224C49458BB}">
                  <c15:layout/>
                </c:ext>
              </c:extLst>
            </c:dLbl>
            <c:dLbl>
              <c:idx val="1"/>
              <c:layout/>
              <c:tx>
                <c:rich>
                  <a:bodyPr rot="0" spcFirstLastPara="1" vertOverflow="ellipsis" vert="horz" wrap="square" anchor="ctr" anchorCtr="1"/>
                  <a:lstStyle/>
                  <a:p>
                    <a:pPr>
                      <a:defRPr sz="836" b="0" i="0" u="none" strike="noStrike" kern="1200" baseline="0">
                        <a:solidFill>
                          <a:schemeClr val="tx1">
                            <a:lumMod val="75000"/>
                            <a:lumOff val="25000"/>
                          </a:schemeClr>
                        </a:solidFill>
                        <a:latin typeface="PT Astra Serif" pitchFamily="18" charset="-52"/>
                        <a:ea typeface="PT Astra Serif" pitchFamily="18" charset="-52"/>
                        <a:cs typeface="Times New Roman" panose="02020603050405020304" pitchFamily="18" charset="0"/>
                      </a:defRPr>
                    </a:pPr>
                    <a:r>
                      <a:rPr lang="en-US">
                        <a:latin typeface="PT Astra Serif" pitchFamily="18" charset="-52"/>
                        <a:ea typeface="PT Astra Serif" pitchFamily="18" charset="-52"/>
                      </a:rPr>
                      <a:t>3</a:t>
                    </a:r>
                    <a:r>
                      <a:rPr lang="en-US"/>
                      <a:t>1%</a:t>
                    </a:r>
                  </a:p>
                </c:rich>
              </c:tx>
              <c:spPr>
                <a:noFill/>
                <a:ln w="23582">
                  <a:noFill/>
                </a:ln>
              </c:spPr>
              <c:showLegendKey val="0"/>
              <c:showVal val="0"/>
              <c:showCatName val="0"/>
              <c:showSerName val="0"/>
              <c:showPercent val="0"/>
              <c:showBubbleSize val="0"/>
              <c:extLst>
                <c:ext xmlns:c15="http://schemas.microsoft.com/office/drawing/2012/chart" uri="{CE6537A1-D6FC-4f65-9D91-7224C49458BB}">
                  <c15:layout/>
                </c:ext>
              </c:extLst>
            </c:dLbl>
            <c:dLbl>
              <c:idx val="2"/>
              <c:layout/>
              <c:tx>
                <c:rich>
                  <a:bodyPr rot="0" spcFirstLastPara="1" vertOverflow="ellipsis" vert="horz" wrap="square" anchor="ctr" anchorCtr="1"/>
                  <a:lstStyle/>
                  <a:p>
                    <a:pPr>
                      <a:defRPr sz="836" b="0" i="0" u="none" strike="noStrike" kern="1200" baseline="0">
                        <a:solidFill>
                          <a:schemeClr val="tx1">
                            <a:lumMod val="75000"/>
                            <a:lumOff val="25000"/>
                          </a:schemeClr>
                        </a:solidFill>
                        <a:latin typeface="PT Astra Serif" pitchFamily="18" charset="-52"/>
                        <a:ea typeface="PT Astra Serif" pitchFamily="18" charset="-52"/>
                        <a:cs typeface="Times New Roman" panose="02020603050405020304" pitchFamily="18" charset="0"/>
                      </a:defRPr>
                    </a:pPr>
                    <a:r>
                      <a:rPr lang="en-US">
                        <a:latin typeface="PT Astra Serif" pitchFamily="18" charset="-52"/>
                        <a:ea typeface="PT Astra Serif" pitchFamily="18" charset="-52"/>
                      </a:rPr>
                      <a:t>2</a:t>
                    </a:r>
                    <a:r>
                      <a:rPr lang="en-US"/>
                      <a:t>7%</a:t>
                    </a:r>
                  </a:p>
                </c:rich>
              </c:tx>
              <c:spPr>
                <a:noFill/>
                <a:ln w="23582">
                  <a:noFill/>
                </a:ln>
              </c:spPr>
              <c:showLegendKey val="0"/>
              <c:showVal val="0"/>
              <c:showCatName val="0"/>
              <c:showSerName val="0"/>
              <c:showPercent val="0"/>
              <c:showBubbleSize val="0"/>
              <c:extLst>
                <c:ext xmlns:c15="http://schemas.microsoft.com/office/drawing/2012/chart" uri="{CE6537A1-D6FC-4f65-9D91-7224C49458BB}">
                  <c15:layout/>
                </c:ext>
              </c:extLst>
            </c:dLbl>
            <c:dLbl>
              <c:idx val="3"/>
              <c:layout/>
              <c:tx>
                <c:rich>
                  <a:bodyPr rot="0" spcFirstLastPara="1" vertOverflow="ellipsis" vert="horz" wrap="square" anchor="ctr" anchorCtr="1"/>
                  <a:lstStyle/>
                  <a:p>
                    <a:pPr>
                      <a:defRPr sz="836" b="0" i="0" u="none" strike="noStrike" kern="1200" baseline="0">
                        <a:solidFill>
                          <a:schemeClr val="tx1">
                            <a:lumMod val="75000"/>
                            <a:lumOff val="25000"/>
                          </a:schemeClr>
                        </a:solidFill>
                        <a:latin typeface="PT Astra Serif" pitchFamily="18" charset="-52"/>
                        <a:ea typeface="PT Astra Serif" pitchFamily="18" charset="-52"/>
                        <a:cs typeface="Times New Roman" panose="02020603050405020304" pitchFamily="18" charset="0"/>
                      </a:defRPr>
                    </a:pPr>
                    <a:r>
                      <a:rPr lang="en-US">
                        <a:latin typeface="PT Astra Serif" pitchFamily="18" charset="-52"/>
                        <a:ea typeface="PT Astra Serif" pitchFamily="18" charset="-52"/>
                      </a:rPr>
                      <a:t>3</a:t>
                    </a:r>
                    <a:r>
                      <a:rPr lang="en-US"/>
                      <a:t>3%</a:t>
                    </a:r>
                  </a:p>
                </c:rich>
              </c:tx>
              <c:spPr>
                <a:noFill/>
                <a:ln w="23582">
                  <a:noFill/>
                </a:ln>
              </c:spPr>
              <c:showLegendKey val="0"/>
              <c:showVal val="0"/>
              <c:showCatName val="0"/>
              <c:showSerName val="0"/>
              <c:showPercent val="0"/>
              <c:showBubbleSize val="0"/>
              <c:extLst>
                <c:ext xmlns:c15="http://schemas.microsoft.com/office/drawing/2012/chart" uri="{CE6537A1-D6FC-4f65-9D91-7224C49458BB}">
                  <c15:layout/>
                </c:ext>
              </c:extLst>
            </c:dLbl>
            <c:dLbl>
              <c:idx val="4"/>
              <c:layout/>
              <c:tx>
                <c:rich>
                  <a:bodyPr rot="0" spcFirstLastPara="1" vertOverflow="ellipsis" vert="horz" wrap="square" anchor="ctr" anchorCtr="1"/>
                  <a:lstStyle/>
                  <a:p>
                    <a:pPr>
                      <a:defRPr sz="836" b="0" i="0" u="none" strike="noStrike" kern="1200" baseline="0">
                        <a:solidFill>
                          <a:schemeClr val="tx1">
                            <a:lumMod val="75000"/>
                            <a:lumOff val="25000"/>
                          </a:schemeClr>
                        </a:solidFill>
                        <a:latin typeface="PT Astra Serif" pitchFamily="18" charset="-52"/>
                        <a:ea typeface="PT Astra Serif" pitchFamily="18" charset="-52"/>
                        <a:cs typeface="Times New Roman" panose="02020603050405020304" pitchFamily="18" charset="0"/>
                      </a:defRPr>
                    </a:pPr>
                    <a:r>
                      <a:rPr lang="en-US">
                        <a:latin typeface="PT Astra Serif" pitchFamily="18" charset="-52"/>
                        <a:ea typeface="PT Astra Serif" pitchFamily="18" charset="-52"/>
                      </a:rPr>
                      <a:t>3</a:t>
                    </a:r>
                    <a:r>
                      <a:rPr lang="en-US"/>
                      <a:t>2%</a:t>
                    </a:r>
                  </a:p>
                </c:rich>
              </c:tx>
              <c:spPr>
                <a:noFill/>
                <a:ln w="23582">
                  <a:noFill/>
                </a:ln>
              </c:spPr>
              <c:showLegendKey val="0"/>
              <c:showVal val="0"/>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'инвестиции тип'!$B$1:$F$1</c:f>
              <c:strCache>
                <c:ptCount val="5"/>
                <c:pt idx="0">
                  <c:v>2020 г.</c:v>
                </c:pt>
                <c:pt idx="1">
                  <c:v>2021 г.</c:v>
                </c:pt>
                <c:pt idx="2">
                  <c:v>2022 г.</c:v>
                </c:pt>
                <c:pt idx="3">
                  <c:v>2023 г.</c:v>
                </c:pt>
                <c:pt idx="4">
                  <c:v>2024 г.</c:v>
                </c:pt>
              </c:strCache>
            </c:strRef>
          </c:cat>
          <c:val>
            <c:numRef>
              <c:f>'инвестиции тип'!$B$4:$F$4</c:f>
              <c:numCache>
                <c:formatCode>_-* #\ ##0.0_-;\-* #\ ##0.0_-;_-* "-"??_-;_-@_-</c:formatCode>
                <c:ptCount val="5"/>
                <c:pt idx="0">
                  <c:v>9.0421179999999985</c:v>
                </c:pt>
                <c:pt idx="1">
                  <c:v>9.9787360000000014</c:v>
                </c:pt>
                <c:pt idx="2">
                  <c:v>9.3498420000000007</c:v>
                </c:pt>
                <c:pt idx="3">
                  <c:v>14.711137000000001</c:v>
                </c:pt>
                <c:pt idx="4">
                  <c:v>20.006332999999998</c:v>
                </c:pt>
              </c:numCache>
            </c:numRef>
          </c:val>
        </c:ser>
        <c:ser>
          <c:idx val="4"/>
          <c:order val="3"/>
          <c:tx>
            <c:strRef>
              <c:f>'инвестиции тип'!$A$5</c:f>
              <c:strCache>
                <c:ptCount val="1"/>
                <c:pt idx="0">
                  <c:v>Улучшение земель</c:v>
                </c:pt>
              </c:strCache>
            </c:strRef>
          </c:tx>
          <c:spPr>
            <a:solidFill>
              <a:srgbClr val="A02B93"/>
            </a:solidFill>
            <a:ln w="23582">
              <a:noFill/>
            </a:ln>
          </c:spPr>
          <c:invertIfNegative val="0"/>
          <c:cat>
            <c:strRef>
              <c:f>'инвестиции тип'!$B$1:$F$1</c:f>
              <c:strCache>
                <c:ptCount val="5"/>
                <c:pt idx="0">
                  <c:v>2020 г.</c:v>
                </c:pt>
                <c:pt idx="1">
                  <c:v>2021 г.</c:v>
                </c:pt>
                <c:pt idx="2">
                  <c:v>2022 г.</c:v>
                </c:pt>
                <c:pt idx="3">
                  <c:v>2023 г.</c:v>
                </c:pt>
                <c:pt idx="4">
                  <c:v>2024 г.</c:v>
                </c:pt>
              </c:strCache>
            </c:strRef>
          </c:cat>
          <c:val>
            <c:numRef>
              <c:f>'инвестиции тип'!$B$5:$F$5</c:f>
              <c:numCache>
                <c:formatCode>General</c:formatCode>
                <c:ptCount val="5"/>
              </c:numCache>
            </c:numRef>
          </c:val>
        </c:ser>
        <c:ser>
          <c:idx val="5"/>
          <c:order val="4"/>
          <c:tx>
            <c:strRef>
              <c:f>'инвестиции тип'!$A$6</c:f>
              <c:strCache>
                <c:ptCount val="1"/>
                <c:pt idx="0">
                  <c:v>Транспортные средства</c:v>
                </c:pt>
              </c:strCache>
            </c:strRef>
          </c:tx>
          <c:spPr>
            <a:solidFill>
              <a:schemeClr val="accent4">
                <a:lumMod val="50000"/>
              </a:schemeClr>
            </a:solidFill>
            <a:ln>
              <a:noFill/>
            </a:ln>
            <a:effectLst/>
          </c:spPr>
          <c:invertIfNegative val="0"/>
          <c:dLbls>
            <c:dLbl>
              <c:idx val="0"/>
              <c:layout/>
              <c:tx>
                <c:rich>
                  <a:bodyPr rot="0" spcFirstLastPara="1" vertOverflow="ellipsis" vert="horz" wrap="square" anchor="ctr" anchorCtr="1"/>
                  <a:lstStyle/>
                  <a:p>
                    <a:pPr>
                      <a:defRPr sz="836" b="0" i="0" u="none" strike="noStrike" kern="1200" baseline="0">
                        <a:solidFill>
                          <a:schemeClr val="bg1"/>
                        </a:solidFill>
                        <a:latin typeface="Times New Roman" panose="02020603050405020304" pitchFamily="18" charset="0"/>
                        <a:ea typeface="+mn-ea"/>
                        <a:cs typeface="Times New Roman" panose="02020603050405020304" pitchFamily="18" charset="0"/>
                      </a:defRPr>
                    </a:pPr>
                    <a:r>
                      <a:rPr lang="en-US"/>
                      <a:t>9%</a:t>
                    </a:r>
                  </a:p>
                </c:rich>
              </c:tx>
              <c:spPr>
                <a:noFill/>
                <a:ln w="23582">
                  <a:noFill/>
                </a:ln>
              </c:spPr>
              <c:showLegendKey val="0"/>
              <c:showVal val="0"/>
              <c:showCatName val="0"/>
              <c:showSerName val="0"/>
              <c:showPercent val="0"/>
              <c:showBubbleSize val="0"/>
              <c:extLst>
                <c:ext xmlns:c15="http://schemas.microsoft.com/office/drawing/2012/chart" uri="{CE6537A1-D6FC-4f65-9D91-7224C49458BB}">
                  <c15:layout/>
                </c:ext>
              </c:extLst>
            </c:dLbl>
            <c:dLbl>
              <c:idx val="1"/>
              <c:layout/>
              <c:tx>
                <c:rich>
                  <a:bodyPr rot="0" spcFirstLastPara="1" vertOverflow="ellipsis" vert="horz" wrap="square" anchor="ctr" anchorCtr="1"/>
                  <a:lstStyle/>
                  <a:p>
                    <a:pPr>
                      <a:defRPr sz="836" b="0" i="0" u="none" strike="noStrike" kern="1200" baseline="0">
                        <a:solidFill>
                          <a:schemeClr val="bg1"/>
                        </a:solidFill>
                        <a:latin typeface="Times New Roman" panose="02020603050405020304" pitchFamily="18" charset="0"/>
                        <a:ea typeface="+mn-ea"/>
                        <a:cs typeface="Times New Roman" panose="02020603050405020304" pitchFamily="18" charset="0"/>
                      </a:defRPr>
                    </a:pPr>
                    <a:r>
                      <a:rPr lang="en-US"/>
                      <a:t>14%</a:t>
                    </a:r>
                  </a:p>
                </c:rich>
              </c:tx>
              <c:spPr>
                <a:noFill/>
                <a:ln w="23582">
                  <a:noFill/>
                </a:ln>
              </c:spPr>
              <c:showLegendKey val="0"/>
              <c:showVal val="0"/>
              <c:showCatName val="0"/>
              <c:showSerName val="0"/>
              <c:showPercent val="0"/>
              <c:showBubbleSize val="0"/>
              <c:extLst>
                <c:ext xmlns:c15="http://schemas.microsoft.com/office/drawing/2012/chart" uri="{CE6537A1-D6FC-4f65-9D91-7224C49458BB}">
                  <c15:layout/>
                </c:ext>
              </c:extLst>
            </c:dLbl>
            <c:dLbl>
              <c:idx val="2"/>
              <c:layout/>
              <c:tx>
                <c:rich>
                  <a:bodyPr rot="0" spcFirstLastPara="1" vertOverflow="ellipsis" vert="horz" wrap="square" anchor="ctr" anchorCtr="1"/>
                  <a:lstStyle/>
                  <a:p>
                    <a:pPr>
                      <a:defRPr sz="836" b="0" i="0" u="none" strike="noStrike" kern="1200" baseline="0">
                        <a:solidFill>
                          <a:schemeClr val="bg1"/>
                        </a:solidFill>
                        <a:latin typeface="Times New Roman" panose="02020603050405020304" pitchFamily="18" charset="0"/>
                        <a:ea typeface="+mn-ea"/>
                        <a:cs typeface="Times New Roman" panose="02020603050405020304" pitchFamily="18" charset="0"/>
                      </a:defRPr>
                    </a:pPr>
                    <a:r>
                      <a:rPr lang="en-US"/>
                      <a:t>15%</a:t>
                    </a:r>
                  </a:p>
                </c:rich>
              </c:tx>
              <c:spPr>
                <a:noFill/>
                <a:ln w="23582">
                  <a:noFill/>
                </a:ln>
              </c:spPr>
              <c:showLegendKey val="0"/>
              <c:showVal val="0"/>
              <c:showCatName val="0"/>
              <c:showSerName val="0"/>
              <c:showPercent val="0"/>
              <c:showBubbleSize val="0"/>
              <c:extLst>
                <c:ext xmlns:c15="http://schemas.microsoft.com/office/drawing/2012/chart" uri="{CE6537A1-D6FC-4f65-9D91-7224C49458BB}">
                  <c15:layout/>
                </c:ext>
              </c:extLst>
            </c:dLbl>
            <c:dLbl>
              <c:idx val="3"/>
              <c:layout/>
              <c:tx>
                <c:rich>
                  <a:bodyPr rot="0" spcFirstLastPara="1" vertOverflow="ellipsis" vert="horz" wrap="square" anchor="ctr" anchorCtr="1"/>
                  <a:lstStyle/>
                  <a:p>
                    <a:pPr>
                      <a:defRPr sz="836" b="0" i="0" u="none" strike="noStrike" kern="1200" baseline="0">
                        <a:solidFill>
                          <a:schemeClr val="bg1"/>
                        </a:solidFill>
                        <a:latin typeface="Times New Roman" panose="02020603050405020304" pitchFamily="18" charset="0"/>
                        <a:ea typeface="+mn-ea"/>
                        <a:cs typeface="Times New Roman" panose="02020603050405020304" pitchFamily="18" charset="0"/>
                      </a:defRPr>
                    </a:pPr>
                    <a:r>
                      <a:rPr lang="en-US"/>
                      <a:t>14%</a:t>
                    </a:r>
                  </a:p>
                </c:rich>
              </c:tx>
              <c:spPr>
                <a:noFill/>
                <a:ln w="23582">
                  <a:noFill/>
                </a:ln>
              </c:spPr>
              <c:showLegendKey val="0"/>
              <c:showVal val="0"/>
              <c:showCatName val="0"/>
              <c:showSerName val="0"/>
              <c:showPercent val="0"/>
              <c:showBubbleSize val="0"/>
              <c:extLst>
                <c:ext xmlns:c15="http://schemas.microsoft.com/office/drawing/2012/chart" uri="{CE6537A1-D6FC-4f65-9D91-7224C49458BB}">
                  <c15:layout/>
                </c:ext>
              </c:extLst>
            </c:dLbl>
            <c:dLbl>
              <c:idx val="4"/>
              <c:layout/>
              <c:tx>
                <c:rich>
                  <a:bodyPr rot="0" spcFirstLastPara="1" vertOverflow="ellipsis" vert="horz" wrap="square" anchor="ctr" anchorCtr="1"/>
                  <a:lstStyle/>
                  <a:p>
                    <a:pPr>
                      <a:defRPr sz="836" b="0" i="0" u="none" strike="noStrike" kern="1200" baseline="0">
                        <a:solidFill>
                          <a:schemeClr val="bg1"/>
                        </a:solidFill>
                        <a:latin typeface="Times New Roman" panose="02020603050405020304" pitchFamily="18" charset="0"/>
                        <a:ea typeface="+mn-ea"/>
                        <a:cs typeface="Times New Roman" panose="02020603050405020304" pitchFamily="18" charset="0"/>
                      </a:defRPr>
                    </a:pPr>
                    <a:r>
                      <a:rPr lang="en-US"/>
                      <a:t>11%</a:t>
                    </a:r>
                  </a:p>
                </c:rich>
              </c:tx>
              <c:spPr>
                <a:noFill/>
                <a:ln w="23582">
                  <a:noFill/>
                </a:ln>
              </c:spPr>
              <c:showLegendKey val="0"/>
              <c:showVal val="0"/>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'инвестиции тип'!$B$1:$F$1</c:f>
              <c:strCache>
                <c:ptCount val="5"/>
                <c:pt idx="0">
                  <c:v>2020 г.</c:v>
                </c:pt>
                <c:pt idx="1">
                  <c:v>2021 г.</c:v>
                </c:pt>
                <c:pt idx="2">
                  <c:v>2022 г.</c:v>
                </c:pt>
                <c:pt idx="3">
                  <c:v>2023 г.</c:v>
                </c:pt>
                <c:pt idx="4">
                  <c:v>2024 г.</c:v>
                </c:pt>
              </c:strCache>
            </c:strRef>
          </c:cat>
          <c:val>
            <c:numRef>
              <c:f>'инвестиции тип'!$B$6:$F$6</c:f>
              <c:numCache>
                <c:formatCode>_-* #\ ##0.0_-;\-* #\ ##0.0_-;_-* "-"??_-;_-@_-</c:formatCode>
                <c:ptCount val="5"/>
                <c:pt idx="0">
                  <c:v>3.4329639999999997</c:v>
                </c:pt>
                <c:pt idx="1">
                  <c:v>4.4112400000000012</c:v>
                </c:pt>
                <c:pt idx="2">
                  <c:v>5.1918039999999994</c:v>
                </c:pt>
                <c:pt idx="3">
                  <c:v>5.9917270000000009</c:v>
                </c:pt>
                <c:pt idx="4">
                  <c:v>6.509748000000001</c:v>
                </c:pt>
              </c:numCache>
            </c:numRef>
          </c:val>
        </c:ser>
        <c:ser>
          <c:idx val="6"/>
          <c:order val="5"/>
          <c:tx>
            <c:strRef>
              <c:f>'инвестиции тип'!$A$7</c:f>
              <c:strCache>
                <c:ptCount val="1"/>
                <c:pt idx="0">
                  <c:v>ИКТ</c:v>
                </c:pt>
              </c:strCache>
            </c:strRef>
          </c:tx>
          <c:spPr>
            <a:solidFill>
              <a:srgbClr val="0F9ED5"/>
            </a:solidFill>
            <a:ln w="23582">
              <a:noFill/>
            </a:ln>
          </c:spPr>
          <c:invertIfNegative val="0"/>
          <c:dLbls>
            <c:dLbl>
              <c:idx val="0"/>
              <c:layout/>
              <c:tx>
                <c:rich>
                  <a:bodyPr rot="0" spcFirstLastPara="1" vertOverflow="ellipsis" vert="horz" wrap="square" anchor="ctr" anchorCtr="1"/>
                  <a:lstStyle/>
                  <a:p>
                    <a:pPr>
                      <a:defRPr sz="836" b="0" i="0" u="none" strike="noStrike" kern="1200" baseline="0">
                        <a:solidFill>
                          <a:schemeClr val="tx1">
                            <a:lumMod val="75000"/>
                            <a:lumOff val="25000"/>
                          </a:schemeClr>
                        </a:solidFill>
                        <a:latin typeface="PT Astra Serif" pitchFamily="18" charset="-52"/>
                        <a:ea typeface="PT Astra Serif" pitchFamily="18" charset="-52"/>
                        <a:cs typeface="Times New Roman" panose="02020603050405020304" pitchFamily="18" charset="0"/>
                      </a:defRPr>
                    </a:pPr>
                    <a:r>
                      <a:rPr lang="en-US">
                        <a:latin typeface="PT Astra Serif" pitchFamily="18" charset="-52"/>
                        <a:ea typeface="PT Astra Serif" pitchFamily="18" charset="-52"/>
                      </a:rPr>
                      <a:t>9</a:t>
                    </a:r>
                    <a:r>
                      <a:rPr lang="en-US"/>
                      <a:t>%</a:t>
                    </a:r>
                  </a:p>
                </c:rich>
              </c:tx>
              <c:spPr>
                <a:noFill/>
                <a:ln w="23582">
                  <a:noFill/>
                </a:ln>
              </c:spPr>
              <c:showLegendKey val="0"/>
              <c:showVal val="0"/>
              <c:showCatName val="0"/>
              <c:showSerName val="0"/>
              <c:showPercent val="0"/>
              <c:showBubbleSize val="0"/>
              <c:extLst>
                <c:ext xmlns:c15="http://schemas.microsoft.com/office/drawing/2012/chart" uri="{CE6537A1-D6FC-4f65-9D91-7224C49458BB}">
                  <c15:layout/>
                </c:ext>
              </c:extLst>
            </c:dLbl>
            <c:dLbl>
              <c:idx val="1"/>
              <c:layout/>
              <c:tx>
                <c:rich>
                  <a:bodyPr rot="0" spcFirstLastPara="1" vertOverflow="ellipsis" vert="horz" wrap="square" anchor="ctr" anchorCtr="1"/>
                  <a:lstStyle/>
                  <a:p>
                    <a:pPr>
                      <a:defRPr sz="836" b="0" i="0" u="none" strike="noStrike" kern="1200" baseline="0">
                        <a:solidFill>
                          <a:schemeClr val="tx1">
                            <a:lumMod val="75000"/>
                            <a:lumOff val="25000"/>
                          </a:schemeClr>
                        </a:solidFill>
                        <a:latin typeface="PT Astra Serif" pitchFamily="18" charset="-52"/>
                        <a:ea typeface="PT Astra Serif" pitchFamily="18" charset="-52"/>
                        <a:cs typeface="Times New Roman" panose="02020603050405020304" pitchFamily="18" charset="0"/>
                      </a:defRPr>
                    </a:pPr>
                    <a:r>
                      <a:rPr lang="en-US">
                        <a:latin typeface="PT Astra Serif" pitchFamily="18" charset="-52"/>
                        <a:ea typeface="PT Astra Serif" pitchFamily="18" charset="-52"/>
                      </a:rPr>
                      <a:t>1</a:t>
                    </a:r>
                    <a:r>
                      <a:rPr lang="en-US"/>
                      <a:t>4%</a:t>
                    </a:r>
                  </a:p>
                </c:rich>
              </c:tx>
              <c:spPr>
                <a:noFill/>
                <a:ln w="23582">
                  <a:noFill/>
                </a:ln>
              </c:spPr>
              <c:showLegendKey val="0"/>
              <c:showVal val="0"/>
              <c:showCatName val="0"/>
              <c:showSerName val="0"/>
              <c:showPercent val="0"/>
              <c:showBubbleSize val="0"/>
              <c:extLst>
                <c:ext xmlns:c15="http://schemas.microsoft.com/office/drawing/2012/chart" uri="{CE6537A1-D6FC-4f65-9D91-7224C49458BB}">
                  <c15:layout/>
                </c:ext>
              </c:extLst>
            </c:dLbl>
            <c:dLbl>
              <c:idx val="2"/>
              <c:layout/>
              <c:tx>
                <c:rich>
                  <a:bodyPr rot="0" spcFirstLastPara="1" vertOverflow="ellipsis" vert="horz" wrap="square" anchor="ctr" anchorCtr="1"/>
                  <a:lstStyle/>
                  <a:p>
                    <a:pPr>
                      <a:defRPr sz="836" b="0" i="0" u="none" strike="noStrike" kern="1200" baseline="0">
                        <a:solidFill>
                          <a:schemeClr val="tx1">
                            <a:lumMod val="75000"/>
                            <a:lumOff val="25000"/>
                          </a:schemeClr>
                        </a:solidFill>
                        <a:latin typeface="PT Astra Serif" pitchFamily="18" charset="-52"/>
                        <a:ea typeface="PT Astra Serif" pitchFamily="18" charset="-52"/>
                        <a:cs typeface="Times New Roman" panose="02020603050405020304" pitchFamily="18" charset="0"/>
                      </a:defRPr>
                    </a:pPr>
                    <a:r>
                      <a:rPr lang="en-US">
                        <a:latin typeface="PT Astra Serif" pitchFamily="18" charset="-52"/>
                        <a:ea typeface="PT Astra Serif" pitchFamily="18" charset="-52"/>
                      </a:rPr>
                      <a:t>1</a:t>
                    </a:r>
                    <a:r>
                      <a:rPr lang="en-US"/>
                      <a:t>5%</a:t>
                    </a:r>
                  </a:p>
                </c:rich>
              </c:tx>
              <c:spPr>
                <a:noFill/>
                <a:ln w="23582">
                  <a:noFill/>
                </a:ln>
              </c:spPr>
              <c:showLegendKey val="0"/>
              <c:showVal val="0"/>
              <c:showCatName val="0"/>
              <c:showSerName val="0"/>
              <c:showPercent val="0"/>
              <c:showBubbleSize val="0"/>
              <c:extLst>
                <c:ext xmlns:c15="http://schemas.microsoft.com/office/drawing/2012/chart" uri="{CE6537A1-D6FC-4f65-9D91-7224C49458BB}">
                  <c15:layout/>
                </c:ext>
              </c:extLst>
            </c:dLbl>
            <c:dLbl>
              <c:idx val="3"/>
              <c:layout/>
              <c:tx>
                <c:rich>
                  <a:bodyPr rot="0" spcFirstLastPara="1" vertOverflow="ellipsis" vert="horz" wrap="square" anchor="ctr" anchorCtr="1"/>
                  <a:lstStyle/>
                  <a:p>
                    <a:pPr>
                      <a:defRPr sz="836" b="0" i="0" u="none" strike="noStrike" kern="1200" baseline="0">
                        <a:solidFill>
                          <a:schemeClr val="tx1">
                            <a:lumMod val="75000"/>
                            <a:lumOff val="25000"/>
                          </a:schemeClr>
                        </a:solidFill>
                        <a:latin typeface="PT Astra Serif" pitchFamily="18" charset="-52"/>
                        <a:ea typeface="PT Astra Serif" pitchFamily="18" charset="-52"/>
                        <a:cs typeface="Times New Roman" panose="02020603050405020304" pitchFamily="18" charset="0"/>
                      </a:defRPr>
                    </a:pPr>
                    <a:r>
                      <a:rPr lang="en-US">
                        <a:latin typeface="PT Astra Serif" pitchFamily="18" charset="-52"/>
                        <a:ea typeface="PT Astra Serif" pitchFamily="18" charset="-52"/>
                      </a:rPr>
                      <a:t>1</a:t>
                    </a:r>
                    <a:r>
                      <a:rPr lang="en-US"/>
                      <a:t>4%</a:t>
                    </a:r>
                  </a:p>
                </c:rich>
              </c:tx>
              <c:spPr>
                <a:noFill/>
                <a:ln w="23582">
                  <a:noFill/>
                </a:ln>
              </c:spPr>
              <c:showLegendKey val="0"/>
              <c:showVal val="0"/>
              <c:showCatName val="0"/>
              <c:showSerName val="0"/>
              <c:showPercent val="0"/>
              <c:showBubbleSize val="0"/>
              <c:extLst>
                <c:ext xmlns:c15="http://schemas.microsoft.com/office/drawing/2012/chart" uri="{CE6537A1-D6FC-4f65-9D91-7224C49458BB}">
                  <c15:layout/>
                </c:ext>
              </c:extLst>
            </c:dLbl>
            <c:dLbl>
              <c:idx val="4"/>
              <c:layout/>
              <c:tx>
                <c:rich>
                  <a:bodyPr rot="0" spcFirstLastPara="1" vertOverflow="ellipsis" vert="horz" wrap="square" anchor="ctr" anchorCtr="1"/>
                  <a:lstStyle/>
                  <a:p>
                    <a:pPr>
                      <a:defRPr sz="836" b="0" i="0" u="none" strike="noStrike" kern="1200" baseline="0">
                        <a:solidFill>
                          <a:schemeClr val="tx1">
                            <a:lumMod val="75000"/>
                            <a:lumOff val="25000"/>
                          </a:schemeClr>
                        </a:solidFill>
                        <a:latin typeface="PT Astra Serif" pitchFamily="18" charset="-52"/>
                        <a:ea typeface="PT Astra Serif" pitchFamily="18" charset="-52"/>
                        <a:cs typeface="Times New Roman" panose="02020603050405020304" pitchFamily="18" charset="0"/>
                      </a:defRPr>
                    </a:pPr>
                    <a:r>
                      <a:rPr lang="en-US">
                        <a:latin typeface="PT Astra Serif" pitchFamily="18" charset="-52"/>
                        <a:ea typeface="PT Astra Serif" pitchFamily="18" charset="-52"/>
                      </a:rPr>
                      <a:t>1</a:t>
                    </a:r>
                    <a:r>
                      <a:rPr lang="en-US"/>
                      <a:t>1%</a:t>
                    </a:r>
                  </a:p>
                </c:rich>
              </c:tx>
              <c:spPr>
                <a:noFill/>
                <a:ln w="23582">
                  <a:noFill/>
                </a:ln>
              </c:spPr>
              <c:showLegendKey val="0"/>
              <c:showVal val="0"/>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'инвестиции тип'!$B$1:$F$1</c:f>
              <c:strCache>
                <c:ptCount val="5"/>
                <c:pt idx="0">
                  <c:v>2020 г.</c:v>
                </c:pt>
                <c:pt idx="1">
                  <c:v>2021 г.</c:v>
                </c:pt>
                <c:pt idx="2">
                  <c:v>2022 г.</c:v>
                </c:pt>
                <c:pt idx="3">
                  <c:v>2023 г.</c:v>
                </c:pt>
                <c:pt idx="4">
                  <c:v>2024 г.</c:v>
                </c:pt>
              </c:strCache>
            </c:strRef>
          </c:cat>
          <c:val>
            <c:numRef>
              <c:f>'инвестиции тип'!$B$7:$F$7</c:f>
              <c:numCache>
                <c:formatCode>_-* #\ ##0.0_-;\-* #\ ##0.0_-;_-* "-"??_-;_-@_-</c:formatCode>
                <c:ptCount val="5"/>
                <c:pt idx="0">
                  <c:v>3.6471240000000003</c:v>
                </c:pt>
                <c:pt idx="1">
                  <c:v>3.1007950000000002</c:v>
                </c:pt>
                <c:pt idx="2">
                  <c:v>3.5142889999999998</c:v>
                </c:pt>
                <c:pt idx="3">
                  <c:v>2.5992609999999994</c:v>
                </c:pt>
                <c:pt idx="4">
                  <c:v>3.803388</c:v>
                </c:pt>
              </c:numCache>
            </c:numRef>
          </c:val>
        </c:ser>
        <c:ser>
          <c:idx val="7"/>
          <c:order val="6"/>
          <c:tx>
            <c:strRef>
              <c:f>'инвестиции тип'!$A$8</c:f>
              <c:strCache>
                <c:ptCount val="1"/>
                <c:pt idx="0">
                  <c:v>Прочее оборудование</c:v>
                </c:pt>
              </c:strCache>
            </c:strRef>
          </c:tx>
          <c:spPr>
            <a:solidFill>
              <a:schemeClr val="accent4">
                <a:lumMod val="40000"/>
                <a:lumOff val="60000"/>
              </a:schemeClr>
            </a:solidFill>
            <a:ln>
              <a:noFill/>
            </a:ln>
            <a:effectLst/>
          </c:spPr>
          <c:invertIfNegative val="0"/>
          <c:dLbls>
            <c:dLbl>
              <c:idx val="0"/>
              <c:layout/>
              <c:tx>
                <c:rich>
                  <a:bodyPr rot="0" spcFirstLastPara="1" vertOverflow="ellipsis" vert="horz" wrap="square" anchor="ctr" anchorCtr="1"/>
                  <a:lstStyle/>
                  <a:p>
                    <a:pPr>
                      <a:defRPr sz="836" b="0" i="0" u="none" strike="noStrike" kern="1200" baseline="0">
                        <a:solidFill>
                          <a:schemeClr val="tx1">
                            <a:lumMod val="75000"/>
                            <a:lumOff val="25000"/>
                          </a:schemeClr>
                        </a:solidFill>
                        <a:latin typeface="PT Astra Serif" pitchFamily="18" charset="-52"/>
                        <a:ea typeface="PT Astra Serif" pitchFamily="18" charset="-52"/>
                        <a:cs typeface="Times New Roman" panose="02020603050405020304" pitchFamily="18" charset="0"/>
                      </a:defRPr>
                    </a:pPr>
                    <a:r>
                      <a:rPr lang="en-US">
                        <a:latin typeface="PT Astra Serif" pitchFamily="18" charset="-52"/>
                        <a:ea typeface="PT Astra Serif" pitchFamily="18" charset="-52"/>
                      </a:rPr>
                      <a:t>3</a:t>
                    </a:r>
                    <a:r>
                      <a:rPr lang="en-US"/>
                      <a:t>%</a:t>
                    </a:r>
                  </a:p>
                </c:rich>
              </c:tx>
              <c:spPr>
                <a:noFill/>
                <a:ln w="23582">
                  <a:noFill/>
                </a:ln>
              </c:spPr>
              <c:showLegendKey val="0"/>
              <c:showVal val="0"/>
              <c:showCatName val="0"/>
              <c:showSerName val="0"/>
              <c:showPercent val="0"/>
              <c:showBubbleSize val="0"/>
              <c:extLst>
                <c:ext xmlns:c15="http://schemas.microsoft.com/office/drawing/2012/chart" uri="{CE6537A1-D6FC-4f65-9D91-7224C49458BB}">
                  <c15:layout/>
                </c:ext>
              </c:extLst>
            </c:dLbl>
            <c:dLbl>
              <c:idx val="1"/>
              <c:layout/>
              <c:tx>
                <c:rich>
                  <a:bodyPr rot="0" spcFirstLastPara="1" vertOverflow="ellipsis" vert="horz" wrap="square" anchor="ctr" anchorCtr="1"/>
                  <a:lstStyle/>
                  <a:p>
                    <a:pPr>
                      <a:defRPr sz="836" b="0" i="0" u="none" strike="noStrike" kern="1200" baseline="0">
                        <a:solidFill>
                          <a:schemeClr val="tx1">
                            <a:lumMod val="75000"/>
                            <a:lumOff val="25000"/>
                          </a:schemeClr>
                        </a:solidFill>
                        <a:latin typeface="PT Astra Serif" pitchFamily="18" charset="-52"/>
                        <a:ea typeface="PT Astra Serif" pitchFamily="18" charset="-52"/>
                        <a:cs typeface="Times New Roman" panose="02020603050405020304" pitchFamily="18" charset="0"/>
                      </a:defRPr>
                    </a:pPr>
                    <a:r>
                      <a:rPr lang="en-US">
                        <a:latin typeface="PT Astra Serif" pitchFamily="18" charset="-52"/>
                        <a:ea typeface="PT Astra Serif" pitchFamily="18" charset="-52"/>
                      </a:rPr>
                      <a:t>3</a:t>
                    </a:r>
                    <a:r>
                      <a:rPr lang="en-US"/>
                      <a:t>5%</a:t>
                    </a:r>
                  </a:p>
                </c:rich>
              </c:tx>
              <c:spPr>
                <a:noFill/>
                <a:ln w="23582">
                  <a:noFill/>
                </a:ln>
              </c:spPr>
              <c:showLegendKey val="0"/>
              <c:showVal val="0"/>
              <c:showCatName val="0"/>
              <c:showSerName val="0"/>
              <c:showPercent val="0"/>
              <c:showBubbleSize val="0"/>
              <c:extLst>
                <c:ext xmlns:c15="http://schemas.microsoft.com/office/drawing/2012/chart" uri="{CE6537A1-D6FC-4f65-9D91-7224C49458BB}">
                  <c15:layout/>
                </c:ext>
              </c:extLst>
            </c:dLbl>
            <c:dLbl>
              <c:idx val="2"/>
              <c:layout/>
              <c:tx>
                <c:rich>
                  <a:bodyPr rot="0" spcFirstLastPara="1" vertOverflow="ellipsis" vert="horz" wrap="square" anchor="ctr" anchorCtr="1"/>
                  <a:lstStyle/>
                  <a:p>
                    <a:pPr>
                      <a:defRPr sz="836" b="0" i="0" u="none" strike="noStrike" kern="1200" baseline="0">
                        <a:solidFill>
                          <a:schemeClr val="tx1">
                            <a:lumMod val="75000"/>
                            <a:lumOff val="25000"/>
                          </a:schemeClr>
                        </a:solidFill>
                        <a:latin typeface="PT Astra Serif" pitchFamily="18" charset="-52"/>
                        <a:ea typeface="PT Astra Serif" pitchFamily="18" charset="-52"/>
                        <a:cs typeface="Times New Roman" panose="02020603050405020304" pitchFamily="18" charset="0"/>
                      </a:defRPr>
                    </a:pPr>
                    <a:r>
                      <a:rPr lang="en-US">
                        <a:latin typeface="PT Astra Serif" pitchFamily="18" charset="-52"/>
                        <a:ea typeface="PT Astra Serif" pitchFamily="18" charset="-52"/>
                      </a:rPr>
                      <a:t>3</a:t>
                    </a:r>
                    <a:r>
                      <a:rPr lang="en-US"/>
                      <a:t>5%</a:t>
                    </a:r>
                  </a:p>
                </c:rich>
              </c:tx>
              <c:spPr>
                <a:noFill/>
                <a:ln w="23582">
                  <a:noFill/>
                </a:ln>
              </c:spPr>
              <c:showLegendKey val="0"/>
              <c:showVal val="0"/>
              <c:showCatName val="0"/>
              <c:showSerName val="0"/>
              <c:showPercent val="0"/>
              <c:showBubbleSize val="0"/>
              <c:extLst>
                <c:ext xmlns:c15="http://schemas.microsoft.com/office/drawing/2012/chart" uri="{CE6537A1-D6FC-4f65-9D91-7224C49458BB}">
                  <c15:layout/>
                </c:ext>
              </c:extLst>
            </c:dLbl>
            <c:dLbl>
              <c:idx val="3"/>
              <c:layout>
                <c:manualLayout>
                  <c:x val="0"/>
                  <c:y val="-8.1967213114754103E-3"/>
                </c:manualLayout>
              </c:layout>
              <c:tx>
                <c:rich>
                  <a:bodyPr rot="0" spcFirstLastPara="1" vertOverflow="ellipsis" vert="horz" wrap="square" anchor="ctr" anchorCtr="1"/>
                  <a:lstStyle/>
                  <a:p>
                    <a:pPr>
                      <a:defRPr sz="836" b="0" i="0" u="none" strike="noStrike" kern="1200" baseline="0">
                        <a:solidFill>
                          <a:schemeClr val="tx1">
                            <a:lumMod val="75000"/>
                            <a:lumOff val="25000"/>
                          </a:schemeClr>
                        </a:solidFill>
                        <a:latin typeface="PT Astra Serif" pitchFamily="18" charset="-52"/>
                        <a:ea typeface="PT Astra Serif" pitchFamily="18" charset="-52"/>
                        <a:cs typeface="Times New Roman" panose="02020603050405020304" pitchFamily="18" charset="0"/>
                      </a:defRPr>
                    </a:pPr>
                    <a:r>
                      <a:rPr lang="en-US">
                        <a:solidFill>
                          <a:schemeClr val="tx2">
                            <a:lumMod val="20000"/>
                            <a:lumOff val="80000"/>
                          </a:schemeClr>
                        </a:solidFill>
                        <a:latin typeface="PT Astra Serif" pitchFamily="18" charset="-52"/>
                        <a:ea typeface="PT Astra Serif" pitchFamily="18" charset="-52"/>
                      </a:rPr>
                      <a:t>0</a:t>
                    </a:r>
                    <a:endParaRPr lang="en-US">
                      <a:solidFill>
                        <a:schemeClr val="tx2">
                          <a:lumMod val="20000"/>
                          <a:lumOff val="80000"/>
                        </a:schemeClr>
                      </a:solidFill>
                    </a:endParaRPr>
                  </a:p>
                </c:rich>
              </c:tx>
              <c:spPr>
                <a:noFill/>
                <a:ln w="23582">
                  <a:noFill/>
                </a:ln>
              </c:spPr>
              <c:dLblPos val="ctr"/>
              <c:showLegendKey val="0"/>
              <c:showVal val="0"/>
              <c:showCatName val="0"/>
              <c:showSerName val="0"/>
              <c:showPercent val="0"/>
              <c:showBubbleSize val="0"/>
              <c:extLst>
                <c:ext xmlns:c15="http://schemas.microsoft.com/office/drawing/2012/chart" uri="{CE6537A1-D6FC-4f65-9D91-7224C49458BB}">
                  <c15:layout/>
                </c:ext>
              </c:extLst>
            </c:dLbl>
            <c:dLbl>
              <c:idx val="4"/>
              <c:layout/>
              <c:tx>
                <c:rich>
                  <a:bodyPr rot="0" spcFirstLastPara="1" vertOverflow="ellipsis" vert="horz" wrap="square" anchor="ctr" anchorCtr="1"/>
                  <a:lstStyle/>
                  <a:p>
                    <a:pPr>
                      <a:defRPr sz="836" b="0" i="0" u="none" strike="noStrike" kern="1200" baseline="0">
                        <a:solidFill>
                          <a:schemeClr val="tx1">
                            <a:lumMod val="75000"/>
                            <a:lumOff val="25000"/>
                          </a:schemeClr>
                        </a:solidFill>
                        <a:latin typeface="PT Astra Serif" pitchFamily="18" charset="-52"/>
                        <a:ea typeface="PT Astra Serif" pitchFamily="18" charset="-52"/>
                        <a:cs typeface="Times New Roman" panose="02020603050405020304" pitchFamily="18" charset="0"/>
                      </a:defRPr>
                    </a:pPr>
                    <a:r>
                      <a:rPr lang="en-US">
                        <a:latin typeface="PT Astra Serif" pitchFamily="18" charset="-52"/>
                        <a:ea typeface="PT Astra Serif" pitchFamily="18" charset="-52"/>
                      </a:rPr>
                      <a:t>3</a:t>
                    </a:r>
                    <a:r>
                      <a:rPr lang="en-US"/>
                      <a:t>5%</a:t>
                    </a:r>
                  </a:p>
                </c:rich>
              </c:tx>
              <c:spPr>
                <a:noFill/>
                <a:ln w="23582">
                  <a:noFill/>
                </a:ln>
              </c:spPr>
              <c:showLegendKey val="0"/>
              <c:showVal val="0"/>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'инвестиции тип'!$B$1:$F$1</c:f>
              <c:strCache>
                <c:ptCount val="5"/>
                <c:pt idx="0">
                  <c:v>2020 г.</c:v>
                </c:pt>
                <c:pt idx="1">
                  <c:v>2021 г.</c:v>
                </c:pt>
                <c:pt idx="2">
                  <c:v>2022 г.</c:v>
                </c:pt>
                <c:pt idx="3">
                  <c:v>2023 г.</c:v>
                </c:pt>
                <c:pt idx="4">
                  <c:v>2024 г.</c:v>
                </c:pt>
              </c:strCache>
            </c:strRef>
          </c:cat>
          <c:val>
            <c:numRef>
              <c:f>'инвестиции тип'!$B$8:$F$8</c:f>
              <c:numCache>
                <c:formatCode>_-* #\ ##0.0_-;\-* #\ ##0.0_-;_-* "-"??_-;_-@_-</c:formatCode>
                <c:ptCount val="5"/>
                <c:pt idx="0">
                  <c:v>1.102465</c:v>
                </c:pt>
                <c:pt idx="1">
                  <c:v>11.372561000000003</c:v>
                </c:pt>
                <c:pt idx="2">
                  <c:v>12.142559</c:v>
                </c:pt>
                <c:pt idx="3">
                  <c:v>14.665892000000001</c:v>
                </c:pt>
                <c:pt idx="4">
                  <c:v>21.384566</c:v>
                </c:pt>
              </c:numCache>
            </c:numRef>
          </c:val>
        </c:ser>
        <c:ser>
          <c:idx val="8"/>
          <c:order val="7"/>
          <c:tx>
            <c:strRef>
              <c:f>'инвестиции тип'!$A$9</c:f>
              <c:strCache>
                <c:ptCount val="1"/>
                <c:pt idx="0">
                  <c:v>Интеллектуальная собственность</c:v>
                </c:pt>
              </c:strCache>
            </c:strRef>
          </c:tx>
          <c:spPr>
            <a:solidFill>
              <a:schemeClr val="bg2">
                <a:lumMod val="75000"/>
              </a:schemeClr>
            </a:solidFill>
            <a:ln>
              <a:noFill/>
            </a:ln>
            <a:effectLst/>
          </c:spPr>
          <c:invertIfNegative val="0"/>
          <c:cat>
            <c:strRef>
              <c:f>'инвестиции тип'!$B$1:$F$1</c:f>
              <c:strCache>
                <c:ptCount val="5"/>
                <c:pt idx="0">
                  <c:v>2020 г.</c:v>
                </c:pt>
                <c:pt idx="1">
                  <c:v>2021 г.</c:v>
                </c:pt>
                <c:pt idx="2">
                  <c:v>2022 г.</c:v>
                </c:pt>
                <c:pt idx="3">
                  <c:v>2023 г.</c:v>
                </c:pt>
                <c:pt idx="4">
                  <c:v>2024 г.</c:v>
                </c:pt>
              </c:strCache>
            </c:strRef>
          </c:cat>
          <c:val>
            <c:numRef>
              <c:f>'инвестиции тип'!$B$9:$F$9</c:f>
              <c:numCache>
                <c:formatCode>_-* #\ ##0.0_-;\-* #\ ##0.0_-;_-* "-"??_-;_-@_-</c:formatCode>
                <c:ptCount val="5"/>
                <c:pt idx="0">
                  <c:v>0.30976200000000004</c:v>
                </c:pt>
                <c:pt idx="1">
                  <c:v>0.46772200000000008</c:v>
                </c:pt>
                <c:pt idx="2">
                  <c:v>0.31367400000000006</c:v>
                </c:pt>
                <c:pt idx="3">
                  <c:v>0.25347600000000003</c:v>
                </c:pt>
              </c:numCache>
            </c:numRef>
          </c:val>
        </c:ser>
        <c:ser>
          <c:idx val="3"/>
          <c:order val="8"/>
          <c:tx>
            <c:strRef>
              <c:f>'инвестиции тип'!$A$10</c:f>
              <c:strCache>
                <c:ptCount val="1"/>
                <c:pt idx="0">
                  <c:v>Прочие инвестиции</c:v>
                </c:pt>
              </c:strCache>
            </c:strRef>
          </c:tx>
          <c:spPr>
            <a:solidFill>
              <a:srgbClr val="E8E8E8"/>
            </a:solidFill>
            <a:ln w="23582">
              <a:noFill/>
            </a:ln>
          </c:spPr>
          <c:invertIfNegative val="0"/>
          <c:dLbls>
            <c:dLbl>
              <c:idx val="0"/>
              <c:layout/>
              <c:tx>
                <c:rich>
                  <a:bodyPr rot="0" spcFirstLastPara="1" vertOverflow="ellipsis" vert="horz" wrap="square" anchor="ctr" anchorCtr="1"/>
                  <a:lstStyle/>
                  <a:p>
                    <a:pPr>
                      <a:defRPr sz="836" b="0" i="0" u="none" strike="noStrike" kern="1200" baseline="0">
                        <a:solidFill>
                          <a:schemeClr val="tx1">
                            <a:lumMod val="75000"/>
                            <a:lumOff val="25000"/>
                          </a:schemeClr>
                        </a:solidFill>
                        <a:latin typeface="PT Astra Serif" pitchFamily="18" charset="-52"/>
                        <a:ea typeface="PT Astra Serif" pitchFamily="18" charset="-52"/>
                        <a:cs typeface="Times New Roman" panose="02020603050405020304" pitchFamily="18" charset="0"/>
                      </a:defRPr>
                    </a:pPr>
                    <a:r>
                      <a:rPr lang="en-US">
                        <a:latin typeface="PT Astra Serif" pitchFamily="18" charset="-52"/>
                        <a:ea typeface="PT Astra Serif" pitchFamily="18" charset="-52"/>
                      </a:rPr>
                      <a:t>2</a:t>
                    </a:r>
                    <a:r>
                      <a:rPr lang="en-US"/>
                      <a:t>8%</a:t>
                    </a:r>
                  </a:p>
                </c:rich>
              </c:tx>
              <c:spPr>
                <a:noFill/>
                <a:ln w="23582">
                  <a:noFill/>
                </a:ln>
              </c:spPr>
              <c:showLegendKey val="0"/>
              <c:showVal val="0"/>
              <c:showCatName val="0"/>
              <c:showSerName val="0"/>
              <c:showPercent val="0"/>
              <c:showBubbleSize val="0"/>
              <c:extLst>
                <c:ext xmlns:c15="http://schemas.microsoft.com/office/drawing/2012/chart" uri="{CE6537A1-D6FC-4f65-9D91-7224C49458BB}">
                  <c15:layout/>
                </c:ext>
              </c:extLst>
            </c:dLbl>
            <c:dLbl>
              <c:idx val="1"/>
              <c:layout/>
              <c:tx>
                <c:rich>
                  <a:bodyPr rot="0" spcFirstLastPara="1" vertOverflow="ellipsis" vert="horz" wrap="square" anchor="ctr" anchorCtr="1"/>
                  <a:lstStyle/>
                  <a:p>
                    <a:pPr>
                      <a:defRPr sz="836" b="0" i="0" u="none" strike="noStrike" kern="1200" baseline="0">
                        <a:solidFill>
                          <a:schemeClr val="tx1">
                            <a:lumMod val="75000"/>
                            <a:lumOff val="25000"/>
                          </a:schemeClr>
                        </a:solidFill>
                        <a:latin typeface="PT Astra Serif" pitchFamily="18" charset="-52"/>
                        <a:ea typeface="PT Astra Serif" pitchFamily="18" charset="-52"/>
                        <a:cs typeface="Times New Roman" panose="02020603050405020304" pitchFamily="18" charset="0"/>
                      </a:defRPr>
                    </a:pPr>
                    <a:r>
                      <a:rPr lang="en-US">
                        <a:latin typeface="PT Astra Serif" pitchFamily="18" charset="-52"/>
                        <a:ea typeface="PT Astra Serif" pitchFamily="18" charset="-52"/>
                      </a:rPr>
                      <a:t>3</a:t>
                    </a:r>
                    <a:r>
                      <a:rPr lang="en-US"/>
                      <a:t>%</a:t>
                    </a:r>
                  </a:p>
                </c:rich>
              </c:tx>
              <c:spPr>
                <a:noFill/>
                <a:ln w="23582">
                  <a:noFill/>
                </a:ln>
              </c:spPr>
              <c:showLegendKey val="0"/>
              <c:showVal val="0"/>
              <c:showCatName val="0"/>
              <c:showSerName val="0"/>
              <c:showPercent val="0"/>
              <c:showBubbleSize val="0"/>
              <c:extLst>
                <c:ext xmlns:c15="http://schemas.microsoft.com/office/drawing/2012/chart" uri="{CE6537A1-D6FC-4f65-9D91-7224C49458BB}">
                  <c15:layout/>
                </c:ext>
              </c:extLst>
            </c:dLbl>
            <c:dLbl>
              <c:idx val="2"/>
              <c:layout/>
              <c:tx>
                <c:rich>
                  <a:bodyPr rot="0" spcFirstLastPara="1" vertOverflow="ellipsis" vert="horz" wrap="square" anchor="ctr" anchorCtr="1"/>
                  <a:lstStyle/>
                  <a:p>
                    <a:pPr>
                      <a:defRPr sz="836" b="0" i="0" u="none" strike="noStrike" kern="1200" baseline="0">
                        <a:solidFill>
                          <a:schemeClr val="tx1">
                            <a:lumMod val="75000"/>
                            <a:lumOff val="25000"/>
                          </a:schemeClr>
                        </a:solidFill>
                        <a:latin typeface="PT Astra Serif" pitchFamily="18" charset="-52"/>
                        <a:ea typeface="PT Astra Serif" pitchFamily="18" charset="-52"/>
                        <a:cs typeface="Times New Roman" panose="02020603050405020304" pitchFamily="18" charset="0"/>
                      </a:defRPr>
                    </a:pPr>
                    <a:r>
                      <a:rPr lang="en-US">
                        <a:latin typeface="PT Astra Serif" pitchFamily="18" charset="-52"/>
                        <a:ea typeface="PT Astra Serif" pitchFamily="18" charset="-52"/>
                      </a:rPr>
                      <a:t>3</a:t>
                    </a:r>
                    <a:r>
                      <a:rPr lang="en-US"/>
                      <a:t>%</a:t>
                    </a:r>
                  </a:p>
                </c:rich>
              </c:tx>
              <c:spPr>
                <a:noFill/>
                <a:ln w="23582">
                  <a:noFill/>
                </a:ln>
              </c:spPr>
              <c:showLegendKey val="0"/>
              <c:showVal val="0"/>
              <c:showCatName val="0"/>
              <c:showSerName val="0"/>
              <c:showPercent val="0"/>
              <c:showBubbleSize val="0"/>
              <c:extLst>
                <c:ext xmlns:c15="http://schemas.microsoft.com/office/drawing/2012/chart" uri="{CE6537A1-D6FC-4f65-9D91-7224C49458BB}">
                  <c15:layout/>
                </c:ext>
              </c:extLst>
            </c:dLbl>
            <c:dLbl>
              <c:idx val="3"/>
              <c:layout>
                <c:manualLayout>
                  <c:x val="-2.1378941742383772E-3"/>
                  <c:y val="3.2786885245901641E-2"/>
                </c:manualLayout>
              </c:layout>
              <c:tx>
                <c:rich>
                  <a:bodyPr rot="0" spcFirstLastPara="1" vertOverflow="ellipsis" vert="horz" wrap="square" anchor="ctr" anchorCtr="1"/>
                  <a:lstStyle/>
                  <a:p>
                    <a:pPr>
                      <a:defRPr sz="836" b="0" i="0" u="none" strike="noStrike" kern="1200" baseline="0">
                        <a:solidFill>
                          <a:schemeClr val="tx1">
                            <a:lumMod val="75000"/>
                            <a:lumOff val="25000"/>
                          </a:schemeClr>
                        </a:solidFill>
                        <a:latin typeface="PT Astra Serif" pitchFamily="18" charset="-52"/>
                        <a:ea typeface="PT Astra Serif" pitchFamily="18" charset="-52"/>
                        <a:cs typeface="Times New Roman" panose="02020603050405020304" pitchFamily="18" charset="0"/>
                      </a:defRPr>
                    </a:pPr>
                    <a:r>
                      <a:rPr lang="en-US">
                        <a:latin typeface="PT Astra Serif" pitchFamily="18" charset="-52"/>
                        <a:ea typeface="PT Astra Serif" pitchFamily="18" charset="-52"/>
                      </a:rPr>
                      <a:t>3</a:t>
                    </a:r>
                    <a:r>
                      <a:rPr lang="en-US"/>
                      <a:t>3%</a:t>
                    </a:r>
                  </a:p>
                </c:rich>
              </c:tx>
              <c:spPr>
                <a:noFill/>
                <a:ln w="23582">
                  <a:noFill/>
                </a:ln>
              </c:spPr>
              <c:dLblPos val="ctr"/>
              <c:showLegendKey val="0"/>
              <c:showVal val="0"/>
              <c:showCatName val="0"/>
              <c:showSerName val="0"/>
              <c:showPercent val="0"/>
              <c:showBubbleSize val="0"/>
              <c:extLst>
                <c:ext xmlns:c15="http://schemas.microsoft.com/office/drawing/2012/chart" uri="{CE6537A1-D6FC-4f65-9D91-7224C49458BB}">
                  <c15:layout/>
                </c:ext>
              </c:extLst>
            </c:dLbl>
            <c:dLbl>
              <c:idx val="4"/>
              <c:layout/>
              <c:tx>
                <c:rich>
                  <a:bodyPr rot="0" spcFirstLastPara="1" vertOverflow="ellipsis" vert="horz" wrap="square" anchor="ctr" anchorCtr="1"/>
                  <a:lstStyle/>
                  <a:p>
                    <a:pPr>
                      <a:defRPr sz="836" b="0" i="0" u="none" strike="noStrike" kern="1200" baseline="0">
                        <a:solidFill>
                          <a:schemeClr val="tx1">
                            <a:lumMod val="75000"/>
                            <a:lumOff val="25000"/>
                          </a:schemeClr>
                        </a:solidFill>
                        <a:latin typeface="PT Astra Serif" pitchFamily="18" charset="-52"/>
                        <a:ea typeface="PT Astra Serif" pitchFamily="18" charset="-52"/>
                        <a:cs typeface="Times New Roman" panose="02020603050405020304" pitchFamily="18" charset="0"/>
                      </a:defRPr>
                    </a:pPr>
                    <a:r>
                      <a:rPr lang="en-US">
                        <a:latin typeface="PT Astra Serif" pitchFamily="18" charset="-52"/>
                        <a:ea typeface="PT Astra Serif" pitchFamily="18" charset="-52"/>
                      </a:rPr>
                      <a:t>4</a:t>
                    </a:r>
                    <a:r>
                      <a:rPr lang="en-US"/>
                      <a:t>%</a:t>
                    </a:r>
                  </a:p>
                </c:rich>
              </c:tx>
              <c:spPr>
                <a:noFill/>
                <a:ln w="23582">
                  <a:noFill/>
                </a:ln>
              </c:spPr>
              <c:showLegendKey val="0"/>
              <c:showVal val="0"/>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'инвестиции тип'!$B$1:$F$1</c:f>
              <c:strCache>
                <c:ptCount val="5"/>
                <c:pt idx="0">
                  <c:v>2020 г.</c:v>
                </c:pt>
                <c:pt idx="1">
                  <c:v>2021 г.</c:v>
                </c:pt>
                <c:pt idx="2">
                  <c:v>2022 г.</c:v>
                </c:pt>
                <c:pt idx="3">
                  <c:v>2023 г.</c:v>
                </c:pt>
                <c:pt idx="4">
                  <c:v>2024 г.</c:v>
                </c:pt>
              </c:strCache>
            </c:strRef>
          </c:cat>
          <c:val>
            <c:numRef>
              <c:f>'инвестиции тип'!$B$10:$F$10</c:f>
              <c:numCache>
                <c:formatCode>_-* #\ ##0.0_-;\-* #\ ##0.0_-;_-* "-"??_-;_-@_-</c:formatCode>
                <c:ptCount val="5"/>
                <c:pt idx="0">
                  <c:v>10.201357000000002</c:v>
                </c:pt>
                <c:pt idx="1">
                  <c:v>0.97261300000000628</c:v>
                </c:pt>
                <c:pt idx="2">
                  <c:v>0.97751300000000174</c:v>
                </c:pt>
                <c:pt idx="3">
                  <c:v>0.25921099999999997</c:v>
                </c:pt>
                <c:pt idx="4">
                  <c:v>2.6607369999999952</c:v>
                </c:pt>
              </c:numCache>
            </c:numRef>
          </c:val>
        </c:ser>
        <c:dLbls>
          <c:showLegendKey val="0"/>
          <c:showVal val="0"/>
          <c:showCatName val="0"/>
          <c:showSerName val="0"/>
          <c:showPercent val="0"/>
          <c:showBubbleSize val="0"/>
        </c:dLbls>
        <c:gapWidth val="150"/>
        <c:overlap val="100"/>
        <c:axId val="509869384"/>
        <c:axId val="509869776"/>
      </c:barChart>
      <c:lineChart>
        <c:grouping val="standard"/>
        <c:varyColors val="0"/>
        <c:ser>
          <c:idx val="9"/>
          <c:order val="9"/>
          <c:tx>
            <c:strRef>
              <c:f>'инвестиции тип'!$A$11</c:f>
              <c:strCache>
                <c:ptCount val="1"/>
              </c:strCache>
            </c:strRef>
          </c:tx>
          <c:spPr>
            <a:ln w="17686">
              <a:noFill/>
            </a:ln>
          </c:spPr>
          <c:marker>
            <c:symbol val="none"/>
          </c:marker>
          <c:dLbls>
            <c:numFmt formatCode="#,##0" sourceLinked="0"/>
            <c:spPr>
              <a:noFill/>
              <a:ln w="23582">
                <a:noFill/>
              </a:ln>
            </c:spPr>
            <c:txPr>
              <a:bodyPr rot="0" spcFirstLastPara="1" vertOverflow="ellipsis" vert="horz" wrap="square" lIns="38100" tIns="19050" rIns="38100" bIns="19050" anchor="ctr" anchorCtr="1">
                <a:spAutoFit/>
              </a:bodyPr>
              <a:lstStyle/>
              <a:p>
                <a:pPr>
                  <a:defRPr sz="836" b="0" i="0" u="none" strike="noStrike" kern="1200" baseline="0">
                    <a:solidFill>
                      <a:schemeClr val="tx1">
                        <a:lumMod val="75000"/>
                        <a:lumOff val="25000"/>
                      </a:schemeClr>
                    </a:solidFill>
                    <a:latin typeface="PT Astra Serif" pitchFamily="18" charset="-52"/>
                    <a:ea typeface="PT Astra Serif" pitchFamily="18" charset="-52"/>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'инвестиции тип'!$B$1:$F$1</c:f>
              <c:strCache>
                <c:ptCount val="5"/>
                <c:pt idx="0">
                  <c:v>2020 г.</c:v>
                </c:pt>
                <c:pt idx="1">
                  <c:v>2021 г.</c:v>
                </c:pt>
                <c:pt idx="2">
                  <c:v>2022 г.</c:v>
                </c:pt>
                <c:pt idx="3">
                  <c:v>2023 г.</c:v>
                </c:pt>
                <c:pt idx="4">
                  <c:v>2024 г.</c:v>
                </c:pt>
              </c:strCache>
            </c:strRef>
          </c:cat>
          <c:val>
            <c:numRef>
              <c:f>'инвестиции тип'!$B$11:$F$11</c:f>
              <c:numCache>
                <c:formatCode>_-* #\ ##0_-;\-* #\ ##0_-;_-* "-"??_-;_-@_-</c:formatCode>
                <c:ptCount val="5"/>
                <c:pt idx="0">
                  <c:v>36.362286999999995</c:v>
                </c:pt>
                <c:pt idx="1">
                  <c:v>32.343804999999996</c:v>
                </c:pt>
                <c:pt idx="2">
                  <c:v>34.445022000000002</c:v>
                </c:pt>
                <c:pt idx="3">
                  <c:v>44.187222999999996</c:v>
                </c:pt>
                <c:pt idx="4">
                  <c:v>61.610124000000006</c:v>
                </c:pt>
              </c:numCache>
            </c:numRef>
          </c:val>
          <c:smooth val="0"/>
        </c:ser>
        <c:dLbls>
          <c:showLegendKey val="0"/>
          <c:showVal val="0"/>
          <c:showCatName val="0"/>
          <c:showSerName val="0"/>
          <c:showPercent val="0"/>
          <c:showBubbleSize val="0"/>
        </c:dLbls>
        <c:marker val="1"/>
        <c:smooth val="0"/>
        <c:axId val="509869384"/>
        <c:axId val="509869776"/>
      </c:lineChart>
      <c:catAx>
        <c:axId val="509869384"/>
        <c:scaling>
          <c:orientation val="minMax"/>
        </c:scaling>
        <c:delete val="0"/>
        <c:axPos val="b"/>
        <c:numFmt formatCode="General" sourceLinked="1"/>
        <c:majorTickMark val="none"/>
        <c:minorTickMark val="none"/>
        <c:tickLblPos val="nextTo"/>
        <c:spPr>
          <a:noFill/>
          <a:ln w="8843" cap="flat" cmpd="sng" algn="ctr">
            <a:solidFill>
              <a:schemeClr val="tx1">
                <a:lumMod val="15000"/>
                <a:lumOff val="85000"/>
              </a:schemeClr>
            </a:solidFill>
            <a:round/>
          </a:ln>
          <a:effectLst/>
        </c:spPr>
        <c:txPr>
          <a:bodyPr rot="-60000000" spcFirstLastPara="1" vertOverflow="ellipsis" vert="horz" wrap="square" anchor="ctr" anchorCtr="1"/>
          <a:lstStyle/>
          <a:p>
            <a:pPr>
              <a:defRPr sz="836" b="0" i="0" u="none" strike="noStrike" kern="1200" baseline="0">
                <a:solidFill>
                  <a:schemeClr val="tx1">
                    <a:lumMod val="65000"/>
                    <a:lumOff val="35000"/>
                  </a:schemeClr>
                </a:solidFill>
                <a:latin typeface="PT Astra Serif" pitchFamily="18" charset="-52"/>
                <a:ea typeface="PT Astra Serif" pitchFamily="18" charset="-52"/>
                <a:cs typeface="Times New Roman" panose="02020603050405020304" pitchFamily="18" charset="0"/>
              </a:defRPr>
            </a:pPr>
            <a:endParaRPr lang="ru-RU"/>
          </a:p>
        </c:txPr>
        <c:crossAx val="509869776"/>
        <c:crosses val="autoZero"/>
        <c:auto val="1"/>
        <c:lblAlgn val="ctr"/>
        <c:lblOffset val="100"/>
        <c:noMultiLvlLbl val="0"/>
      </c:catAx>
      <c:valAx>
        <c:axId val="509869776"/>
        <c:scaling>
          <c:orientation val="minMax"/>
        </c:scaling>
        <c:delete val="0"/>
        <c:axPos val="l"/>
        <c:majorGridlines>
          <c:spPr>
            <a:ln w="8843" cap="flat" cmpd="sng" algn="ctr">
              <a:solidFill>
                <a:schemeClr val="tx1">
                  <a:lumMod val="15000"/>
                  <a:lumOff val="85000"/>
                </a:schemeClr>
              </a:solidFill>
              <a:round/>
            </a:ln>
            <a:effectLst/>
          </c:spPr>
        </c:majorGridlines>
        <c:numFmt formatCode="#,##0" sourceLinked="0"/>
        <c:majorTickMark val="none"/>
        <c:minorTickMark val="none"/>
        <c:tickLblPos val="nextTo"/>
        <c:spPr>
          <a:ln w="5895">
            <a:noFill/>
          </a:ln>
        </c:spPr>
        <c:txPr>
          <a:bodyPr rot="-60000000" spcFirstLastPara="1" vertOverflow="ellipsis" vert="horz" wrap="square" anchor="ctr" anchorCtr="1"/>
          <a:lstStyle/>
          <a:p>
            <a:pPr>
              <a:defRPr sz="836" b="0" i="0" u="none" strike="noStrike" kern="1200" baseline="0">
                <a:solidFill>
                  <a:schemeClr val="tx1">
                    <a:lumMod val="65000"/>
                    <a:lumOff val="35000"/>
                  </a:schemeClr>
                </a:solidFill>
                <a:latin typeface="PT Astra Serif" pitchFamily="18" charset="-52"/>
                <a:ea typeface="PT Astra Serif" pitchFamily="18" charset="-52"/>
                <a:cs typeface="Times New Roman" panose="02020603050405020304" pitchFamily="18" charset="0"/>
              </a:defRPr>
            </a:pPr>
            <a:endParaRPr lang="ru-RU"/>
          </a:p>
        </c:txPr>
        <c:crossAx val="509869384"/>
        <c:crosses val="autoZero"/>
        <c:crossBetween val="between"/>
      </c:valAx>
      <c:spPr>
        <a:noFill/>
        <a:ln w="23582">
          <a:noFill/>
        </a:ln>
      </c:spPr>
    </c:plotArea>
    <c:legend>
      <c:legendPos val="r"/>
      <c:layout/>
      <c:overlay val="0"/>
      <c:spPr>
        <a:noFill/>
        <a:ln w="23582">
          <a:noFill/>
        </a:ln>
      </c:spPr>
      <c:txPr>
        <a:bodyPr rot="0" spcFirstLastPara="1" vertOverflow="ellipsis" vert="horz" wrap="square" anchor="ctr" anchorCtr="1"/>
        <a:lstStyle/>
        <a:p>
          <a:pPr>
            <a:defRPr sz="836" b="0" i="0" u="none" strike="noStrike" kern="1200" baseline="0">
              <a:solidFill>
                <a:schemeClr val="tx1">
                  <a:lumMod val="65000"/>
                  <a:lumOff val="35000"/>
                </a:schemeClr>
              </a:solidFill>
              <a:latin typeface="PT Astra Serif" pitchFamily="18" charset="-52"/>
              <a:ea typeface="PT Astra Serif" pitchFamily="18" charset="-52"/>
              <a:cs typeface="Times New Roman" panose="02020603050405020304" pitchFamily="18" charset="0"/>
            </a:defRPr>
          </a:pPr>
          <a:endParaRPr lang="ru-RU"/>
        </a:p>
      </c:txPr>
    </c:legend>
    <c:plotVisOnly val="1"/>
    <c:dispBlanksAs val="gap"/>
    <c:showDLblsOverMax val="0"/>
  </c:chart>
  <c:spPr>
    <a:solidFill>
      <a:schemeClr val="bg1"/>
    </a:solid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spPr>
            <a:solidFill>
              <a:srgbClr val="6F94C0"/>
            </a:solidFill>
            <a:ln w="9525">
              <a:solidFill>
                <a:schemeClr val="bg2"/>
              </a:solidFill>
            </a:ln>
            <a:effectLst/>
          </c:spPr>
          <c:invertIfNegative val="0"/>
          <c:cat>
            <c:strRef>
              <c:f>Лист4!$H$61:$H$75</c:f>
              <c:strCache>
                <c:ptCount val="15"/>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c:v>
                </c:pt>
              </c:strCache>
            </c:strRef>
          </c:cat>
          <c:val>
            <c:numRef>
              <c:f>Лист4!$I$61:$I$75</c:f>
              <c:numCache>
                <c:formatCode>0.0%</c:formatCode>
                <c:ptCount val="15"/>
                <c:pt idx="0">
                  <c:v>-2.2901057429850814E-2</c:v>
                </c:pt>
                <c:pt idx="1">
                  <c:v>-3.2330863405446643E-2</c:v>
                </c:pt>
                <c:pt idx="2">
                  <c:v>-3.3689596146602462E-2</c:v>
                </c:pt>
                <c:pt idx="3">
                  <c:v>-3.0696074194495087E-2</c:v>
                </c:pt>
                <c:pt idx="4">
                  <c:v>-2.5199848428283961E-2</c:v>
                </c:pt>
                <c:pt idx="5">
                  <c:v>-2.2800896822667404E-2</c:v>
                </c:pt>
                <c:pt idx="6">
                  <c:v>-2.9270711707654308E-2</c:v>
                </c:pt>
                <c:pt idx="7">
                  <c:v>-3.4626152284747504E-2</c:v>
                </c:pt>
                <c:pt idx="8">
                  <c:v>-3.1630262317826778E-2</c:v>
                </c:pt>
                <c:pt idx="9">
                  <c:v>-2.8235851896666813E-2</c:v>
                </c:pt>
                <c:pt idx="10">
                  <c:v>-2.682515005068347E-2</c:v>
                </c:pt>
                <c:pt idx="11">
                  <c:v>-2.1294326215348731E-2</c:v>
                </c:pt>
                <c:pt idx="12">
                  <c:v>-2.4184083501914626E-2</c:v>
                </c:pt>
                <c:pt idx="13">
                  <c:v>-2.0663146214156179E-2</c:v>
                </c:pt>
                <c:pt idx="14">
                  <c:v>-2.8190767610867352E-2</c:v>
                </c:pt>
              </c:numCache>
            </c:numRef>
          </c:val>
          <c:extLst xmlns:c16r2="http://schemas.microsoft.com/office/drawing/2015/06/chart">
            <c:ext xmlns:c16="http://schemas.microsoft.com/office/drawing/2014/chart" uri="{C3380CC4-5D6E-409C-BE32-E72D297353CC}">
              <c16:uniqueId val="{00000000-9A07-4422-A9E5-BC17D7633F84}"/>
            </c:ext>
          </c:extLst>
        </c:ser>
        <c:ser>
          <c:idx val="1"/>
          <c:order val="1"/>
          <c:spPr>
            <a:solidFill>
              <a:schemeClr val="accent2"/>
            </a:solidFill>
            <a:ln>
              <a:solidFill>
                <a:schemeClr val="bg2"/>
              </a:solidFill>
            </a:ln>
            <a:effectLst/>
          </c:spPr>
          <c:invertIfNegative val="0"/>
          <c:dPt>
            <c:idx val="1"/>
            <c:invertIfNegative val="0"/>
            <c:bubble3D val="0"/>
            <c:spPr>
              <a:solidFill>
                <a:schemeClr val="accent1">
                  <a:lumMod val="75000"/>
                </a:schemeClr>
              </a:solidFill>
              <a:ln>
                <a:solidFill>
                  <a:schemeClr val="bg2"/>
                </a:solidFill>
              </a:ln>
              <a:effectLst/>
            </c:spPr>
            <c:extLst xmlns:c16r2="http://schemas.microsoft.com/office/drawing/2015/06/chart">
              <c:ext xmlns:c16="http://schemas.microsoft.com/office/drawing/2014/chart" uri="{C3380CC4-5D6E-409C-BE32-E72D297353CC}">
                <c16:uniqueId val="{00000002-9A07-4422-A9E5-BC17D7633F84}"/>
              </c:ext>
            </c:extLst>
          </c:dPt>
          <c:dPt>
            <c:idx val="2"/>
            <c:invertIfNegative val="0"/>
            <c:bubble3D val="0"/>
            <c:spPr>
              <a:solidFill>
                <a:srgbClr val="D9D9D9"/>
              </a:solidFill>
              <a:ln>
                <a:solidFill>
                  <a:schemeClr val="bg2"/>
                </a:solidFill>
              </a:ln>
              <a:effectLst/>
            </c:spPr>
            <c:extLst xmlns:c16r2="http://schemas.microsoft.com/office/drawing/2015/06/chart">
              <c:ext xmlns:c16="http://schemas.microsoft.com/office/drawing/2014/chart" uri="{C3380CC4-5D6E-409C-BE32-E72D297353CC}">
                <c16:uniqueId val="{00000004-9A07-4422-A9E5-BC17D7633F84}"/>
              </c:ext>
            </c:extLst>
          </c:dPt>
          <c:dPt>
            <c:idx val="4"/>
            <c:invertIfNegative val="0"/>
            <c:bubble3D val="0"/>
            <c:spPr>
              <a:solidFill>
                <a:schemeClr val="accent1">
                  <a:lumMod val="75000"/>
                </a:schemeClr>
              </a:solidFill>
              <a:ln>
                <a:solidFill>
                  <a:schemeClr val="bg2"/>
                </a:solidFill>
              </a:ln>
              <a:effectLst/>
            </c:spPr>
            <c:extLst xmlns:c16r2="http://schemas.microsoft.com/office/drawing/2015/06/chart">
              <c:ext xmlns:c16="http://schemas.microsoft.com/office/drawing/2014/chart" uri="{C3380CC4-5D6E-409C-BE32-E72D297353CC}">
                <c16:uniqueId val="{00000006-9A07-4422-A9E5-BC17D7633F84}"/>
              </c:ext>
            </c:extLst>
          </c:dPt>
          <c:dPt>
            <c:idx val="5"/>
            <c:invertIfNegative val="0"/>
            <c:bubble3D val="0"/>
            <c:spPr>
              <a:solidFill>
                <a:schemeClr val="accent1">
                  <a:lumMod val="75000"/>
                </a:schemeClr>
              </a:solidFill>
              <a:ln>
                <a:solidFill>
                  <a:schemeClr val="bg2"/>
                </a:solidFill>
              </a:ln>
              <a:effectLst/>
            </c:spPr>
            <c:extLst xmlns:c16r2="http://schemas.microsoft.com/office/drawing/2015/06/chart">
              <c:ext xmlns:c16="http://schemas.microsoft.com/office/drawing/2014/chart" uri="{C3380CC4-5D6E-409C-BE32-E72D297353CC}">
                <c16:uniqueId val="{00000008-9A07-4422-A9E5-BC17D7633F84}"/>
              </c:ext>
            </c:extLst>
          </c:dPt>
          <c:dPt>
            <c:idx val="6"/>
            <c:invertIfNegative val="0"/>
            <c:bubble3D val="0"/>
            <c:spPr>
              <a:solidFill>
                <a:schemeClr val="accent1">
                  <a:lumMod val="75000"/>
                </a:schemeClr>
              </a:solidFill>
              <a:ln>
                <a:solidFill>
                  <a:schemeClr val="bg2"/>
                </a:solidFill>
              </a:ln>
              <a:effectLst/>
            </c:spPr>
            <c:extLst xmlns:c16r2="http://schemas.microsoft.com/office/drawing/2015/06/chart">
              <c:ext xmlns:c16="http://schemas.microsoft.com/office/drawing/2014/chart" uri="{C3380CC4-5D6E-409C-BE32-E72D297353CC}">
                <c16:uniqueId val="{0000000A-9A07-4422-A9E5-BC17D7633F84}"/>
              </c:ext>
            </c:extLst>
          </c:dPt>
          <c:dPt>
            <c:idx val="7"/>
            <c:invertIfNegative val="0"/>
            <c:bubble3D val="0"/>
            <c:spPr>
              <a:solidFill>
                <a:schemeClr val="accent1">
                  <a:lumMod val="75000"/>
                </a:schemeClr>
              </a:solidFill>
              <a:ln>
                <a:solidFill>
                  <a:schemeClr val="bg2"/>
                </a:solidFill>
              </a:ln>
              <a:effectLst/>
            </c:spPr>
            <c:extLst xmlns:c16r2="http://schemas.microsoft.com/office/drawing/2015/06/chart">
              <c:ext xmlns:c16="http://schemas.microsoft.com/office/drawing/2014/chart" uri="{C3380CC4-5D6E-409C-BE32-E72D297353CC}">
                <c16:uniqueId val="{0000000C-9A07-4422-A9E5-BC17D7633F84}"/>
              </c:ext>
            </c:extLst>
          </c:dPt>
          <c:dPt>
            <c:idx val="8"/>
            <c:invertIfNegative val="0"/>
            <c:bubble3D val="0"/>
            <c:spPr>
              <a:solidFill>
                <a:srgbClr val="D9D9D9"/>
              </a:solidFill>
              <a:ln>
                <a:solidFill>
                  <a:schemeClr val="bg2"/>
                </a:solidFill>
              </a:ln>
              <a:effectLst/>
            </c:spPr>
            <c:extLst xmlns:c16r2="http://schemas.microsoft.com/office/drawing/2015/06/chart">
              <c:ext xmlns:c16="http://schemas.microsoft.com/office/drawing/2014/chart" uri="{C3380CC4-5D6E-409C-BE32-E72D297353CC}">
                <c16:uniqueId val="{0000000E-9A07-4422-A9E5-BC17D7633F84}"/>
              </c:ext>
            </c:extLst>
          </c:dPt>
          <c:dPt>
            <c:idx val="9"/>
            <c:invertIfNegative val="0"/>
            <c:bubble3D val="0"/>
            <c:spPr>
              <a:solidFill>
                <a:srgbClr val="D9D9D9"/>
              </a:solidFill>
              <a:ln>
                <a:solidFill>
                  <a:schemeClr val="bg2"/>
                </a:solidFill>
              </a:ln>
              <a:effectLst/>
            </c:spPr>
            <c:extLst xmlns:c16r2="http://schemas.microsoft.com/office/drawing/2015/06/chart">
              <c:ext xmlns:c16="http://schemas.microsoft.com/office/drawing/2014/chart" uri="{C3380CC4-5D6E-409C-BE32-E72D297353CC}">
                <c16:uniqueId val="{00000010-9A07-4422-A9E5-BC17D7633F84}"/>
              </c:ext>
            </c:extLst>
          </c:dPt>
          <c:dPt>
            <c:idx val="10"/>
            <c:invertIfNegative val="0"/>
            <c:bubble3D val="0"/>
            <c:spPr>
              <a:solidFill>
                <a:srgbClr val="D9D9D9"/>
              </a:solidFill>
              <a:ln>
                <a:solidFill>
                  <a:schemeClr val="bg2"/>
                </a:solidFill>
              </a:ln>
              <a:effectLst/>
            </c:spPr>
            <c:extLst xmlns:c16r2="http://schemas.microsoft.com/office/drawing/2015/06/chart">
              <c:ext xmlns:c16="http://schemas.microsoft.com/office/drawing/2014/chart" uri="{C3380CC4-5D6E-409C-BE32-E72D297353CC}">
                <c16:uniqueId val="{00000012-9A07-4422-A9E5-BC17D7633F84}"/>
              </c:ext>
            </c:extLst>
          </c:dPt>
          <c:dPt>
            <c:idx val="11"/>
            <c:invertIfNegative val="0"/>
            <c:bubble3D val="0"/>
            <c:spPr>
              <a:solidFill>
                <a:srgbClr val="D9D9D9"/>
              </a:solidFill>
              <a:ln>
                <a:solidFill>
                  <a:schemeClr val="bg2"/>
                </a:solidFill>
              </a:ln>
              <a:effectLst/>
            </c:spPr>
            <c:extLst xmlns:c16r2="http://schemas.microsoft.com/office/drawing/2015/06/chart">
              <c:ext xmlns:c16="http://schemas.microsoft.com/office/drawing/2014/chart" uri="{C3380CC4-5D6E-409C-BE32-E72D297353CC}">
                <c16:uniqueId val="{00000014-9A07-4422-A9E5-BC17D7633F84}"/>
              </c:ext>
            </c:extLst>
          </c:dPt>
          <c:dPt>
            <c:idx val="12"/>
            <c:invertIfNegative val="0"/>
            <c:bubble3D val="0"/>
            <c:spPr>
              <a:solidFill>
                <a:srgbClr val="D9D9D9"/>
              </a:solidFill>
              <a:ln>
                <a:solidFill>
                  <a:schemeClr val="bg2"/>
                </a:solidFill>
              </a:ln>
              <a:effectLst/>
            </c:spPr>
            <c:extLst xmlns:c16r2="http://schemas.microsoft.com/office/drawing/2015/06/chart">
              <c:ext xmlns:c16="http://schemas.microsoft.com/office/drawing/2014/chart" uri="{C3380CC4-5D6E-409C-BE32-E72D297353CC}">
                <c16:uniqueId val="{00000016-9A07-4422-A9E5-BC17D7633F84}"/>
              </c:ext>
            </c:extLst>
          </c:dPt>
          <c:dPt>
            <c:idx val="13"/>
            <c:invertIfNegative val="0"/>
            <c:bubble3D val="0"/>
            <c:spPr>
              <a:solidFill>
                <a:srgbClr val="D9D9D9"/>
              </a:solidFill>
              <a:ln>
                <a:solidFill>
                  <a:schemeClr val="bg2"/>
                </a:solidFill>
              </a:ln>
              <a:effectLst/>
            </c:spPr>
            <c:extLst xmlns:c16r2="http://schemas.microsoft.com/office/drawing/2015/06/chart">
              <c:ext xmlns:c16="http://schemas.microsoft.com/office/drawing/2014/chart" uri="{C3380CC4-5D6E-409C-BE32-E72D297353CC}">
                <c16:uniqueId val="{00000018-9A07-4422-A9E5-BC17D7633F84}"/>
              </c:ext>
            </c:extLst>
          </c:dPt>
          <c:dPt>
            <c:idx val="14"/>
            <c:invertIfNegative val="0"/>
            <c:bubble3D val="0"/>
            <c:spPr>
              <a:solidFill>
                <a:srgbClr val="D9D9D9"/>
              </a:solidFill>
              <a:ln>
                <a:solidFill>
                  <a:schemeClr val="bg2"/>
                </a:solidFill>
              </a:ln>
              <a:effectLst/>
            </c:spPr>
            <c:extLst xmlns:c16r2="http://schemas.microsoft.com/office/drawing/2015/06/chart">
              <c:ext xmlns:c16="http://schemas.microsoft.com/office/drawing/2014/chart" uri="{C3380CC4-5D6E-409C-BE32-E72D297353CC}">
                <c16:uniqueId val="{0000001A-9A07-4422-A9E5-BC17D7633F84}"/>
              </c:ext>
            </c:extLst>
          </c:dPt>
          <c:cat>
            <c:strRef>
              <c:f>Лист4!$H$61:$H$75</c:f>
              <c:strCache>
                <c:ptCount val="15"/>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c:v>
                </c:pt>
              </c:strCache>
            </c:strRef>
          </c:cat>
          <c:val>
            <c:numRef>
              <c:f>Лист4!$J$61:$J$75</c:f>
              <c:numCache>
                <c:formatCode>0.0%</c:formatCode>
                <c:ptCount val="15"/>
                <c:pt idx="0">
                  <c:v>-1.3846694547732871E-4</c:v>
                </c:pt>
                <c:pt idx="1">
                  <c:v>-2.0873529729472312E-3</c:v>
                </c:pt>
                <c:pt idx="2">
                  <c:v>-3.0210174456822285E-3</c:v>
                </c:pt>
                <c:pt idx="3">
                  <c:v>-7.0315034141867807E-5</c:v>
                </c:pt>
                <c:pt idx="4">
                  <c:v>-2.1619500565931782E-3</c:v>
                </c:pt>
                <c:pt idx="5">
                  <c:v>-9.2205807493547492E-3</c:v>
                </c:pt>
                <c:pt idx="6">
                  <c:v>-1.5644871603015705E-2</c:v>
                </c:pt>
                <c:pt idx="7">
                  <c:v>-2.0491870472197295E-3</c:v>
                </c:pt>
                <c:pt idx="8">
                  <c:v>-3.1198649842036981E-3</c:v>
                </c:pt>
                <c:pt idx="9">
                  <c:v>-4.2210877975421505E-3</c:v>
                </c:pt>
                <c:pt idx="10">
                  <c:v>-3.5886533417492971E-3</c:v>
                </c:pt>
                <c:pt idx="11">
                  <c:v>-5.3624037719665965E-3</c:v>
                </c:pt>
                <c:pt idx="12">
                  <c:v>-1.1794587191722099E-2</c:v>
                </c:pt>
                <c:pt idx="13">
                  <c:v>-1.2085169791859062E-2</c:v>
                </c:pt>
                <c:pt idx="14">
                  <c:v>-6.362540595928585E-3</c:v>
                </c:pt>
              </c:numCache>
            </c:numRef>
          </c:val>
          <c:extLst xmlns:c16r2="http://schemas.microsoft.com/office/drawing/2015/06/chart">
            <c:ext xmlns:c16="http://schemas.microsoft.com/office/drawing/2014/chart" uri="{C3380CC4-5D6E-409C-BE32-E72D297353CC}">
              <c16:uniqueId val="{0000001B-9A07-4422-A9E5-BC17D7633F84}"/>
            </c:ext>
          </c:extLst>
        </c:ser>
        <c:ser>
          <c:idx val="2"/>
          <c:order val="2"/>
          <c:spPr>
            <a:solidFill>
              <a:srgbClr val="E36729"/>
            </a:solidFill>
            <a:ln>
              <a:solidFill>
                <a:schemeClr val="bg2"/>
              </a:solidFill>
            </a:ln>
            <a:effectLst/>
          </c:spPr>
          <c:invertIfNegative val="0"/>
          <c:cat>
            <c:strRef>
              <c:f>Лист4!$H$61:$H$75</c:f>
              <c:strCache>
                <c:ptCount val="15"/>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c:v>
                </c:pt>
              </c:strCache>
            </c:strRef>
          </c:cat>
          <c:val>
            <c:numRef>
              <c:f>Лист4!$K$61:$K$75</c:f>
              <c:numCache>
                <c:formatCode>0.0%</c:formatCode>
                <c:ptCount val="15"/>
                <c:pt idx="0">
                  <c:v>2.1556243683052617E-2</c:v>
                </c:pt>
                <c:pt idx="1">
                  <c:v>3.0639339864552046E-2</c:v>
                </c:pt>
                <c:pt idx="2">
                  <c:v>3.2879533334012022E-2</c:v>
                </c:pt>
                <c:pt idx="3">
                  <c:v>2.8144430194710812E-2</c:v>
                </c:pt>
                <c:pt idx="4">
                  <c:v>2.2525630258869642E-2</c:v>
                </c:pt>
                <c:pt idx="5">
                  <c:v>2.0275168504462055E-2</c:v>
                </c:pt>
                <c:pt idx="6">
                  <c:v>2.811431197017316E-2</c:v>
                </c:pt>
                <c:pt idx="7">
                  <c:v>3.7482480649040736E-2</c:v>
                </c:pt>
                <c:pt idx="8">
                  <c:v>3.9538918646133445E-2</c:v>
                </c:pt>
                <c:pt idx="9">
                  <c:v>3.6003438040375167E-2</c:v>
                </c:pt>
                <c:pt idx="10">
                  <c:v>3.396301052499924E-2</c:v>
                </c:pt>
                <c:pt idx="11">
                  <c:v>2.8554350560863067E-2</c:v>
                </c:pt>
                <c:pt idx="12">
                  <c:v>3.6892034770164679E-2</c:v>
                </c:pt>
                <c:pt idx="13">
                  <c:v>3.6467369884569695E-2</c:v>
                </c:pt>
                <c:pt idx="14">
                  <c:v>6.9528694693579571E-2</c:v>
                </c:pt>
              </c:numCache>
            </c:numRef>
          </c:val>
          <c:extLst xmlns:c16r2="http://schemas.microsoft.com/office/drawing/2015/06/chart">
            <c:ext xmlns:c16="http://schemas.microsoft.com/office/drawing/2014/chart" uri="{C3380CC4-5D6E-409C-BE32-E72D297353CC}">
              <c16:uniqueId val="{0000001C-9A07-4422-A9E5-BC17D7633F84}"/>
            </c:ext>
          </c:extLst>
        </c:ser>
        <c:ser>
          <c:idx val="3"/>
          <c:order val="3"/>
          <c:spPr>
            <a:solidFill>
              <a:schemeClr val="accent4"/>
            </a:solidFill>
            <a:ln>
              <a:solidFill>
                <a:schemeClr val="bg2"/>
              </a:solidFill>
            </a:ln>
            <a:effectLst/>
          </c:spPr>
          <c:invertIfNegative val="0"/>
          <c:dPt>
            <c:idx val="1"/>
            <c:invertIfNegative val="0"/>
            <c:bubble3D val="0"/>
            <c:spPr>
              <a:solidFill>
                <a:srgbClr val="990000"/>
              </a:solidFill>
              <a:ln>
                <a:solidFill>
                  <a:schemeClr val="bg2"/>
                </a:solidFill>
              </a:ln>
              <a:effectLst/>
            </c:spPr>
            <c:extLst xmlns:c16r2="http://schemas.microsoft.com/office/drawing/2015/06/chart">
              <c:ext xmlns:c16="http://schemas.microsoft.com/office/drawing/2014/chart" uri="{C3380CC4-5D6E-409C-BE32-E72D297353CC}">
                <c16:uniqueId val="{0000001E-9A07-4422-A9E5-BC17D7633F84}"/>
              </c:ext>
            </c:extLst>
          </c:dPt>
          <c:dPt>
            <c:idx val="2"/>
            <c:invertIfNegative val="0"/>
            <c:bubble3D val="0"/>
            <c:spPr>
              <a:solidFill>
                <a:srgbClr val="D9D9D9"/>
              </a:solidFill>
              <a:ln>
                <a:solidFill>
                  <a:schemeClr val="bg2"/>
                </a:solidFill>
              </a:ln>
              <a:effectLst/>
            </c:spPr>
            <c:extLst xmlns:c16r2="http://schemas.microsoft.com/office/drawing/2015/06/chart">
              <c:ext xmlns:c16="http://schemas.microsoft.com/office/drawing/2014/chart" uri="{C3380CC4-5D6E-409C-BE32-E72D297353CC}">
                <c16:uniqueId val="{00000020-9A07-4422-A9E5-BC17D7633F84}"/>
              </c:ext>
            </c:extLst>
          </c:dPt>
          <c:dPt>
            <c:idx val="3"/>
            <c:invertIfNegative val="0"/>
            <c:bubble3D val="0"/>
            <c:spPr>
              <a:solidFill>
                <a:srgbClr val="990000"/>
              </a:solidFill>
              <a:ln>
                <a:solidFill>
                  <a:schemeClr val="bg2"/>
                </a:solidFill>
              </a:ln>
              <a:effectLst/>
            </c:spPr>
            <c:extLst xmlns:c16r2="http://schemas.microsoft.com/office/drawing/2015/06/chart">
              <c:ext xmlns:c16="http://schemas.microsoft.com/office/drawing/2014/chart" uri="{C3380CC4-5D6E-409C-BE32-E72D297353CC}">
                <c16:uniqueId val="{00000022-9A07-4422-A9E5-BC17D7633F84}"/>
              </c:ext>
            </c:extLst>
          </c:dPt>
          <c:dPt>
            <c:idx val="4"/>
            <c:invertIfNegative val="0"/>
            <c:bubble3D val="0"/>
            <c:spPr>
              <a:solidFill>
                <a:srgbClr val="990000"/>
              </a:solidFill>
              <a:ln>
                <a:solidFill>
                  <a:schemeClr val="bg2"/>
                </a:solidFill>
              </a:ln>
              <a:effectLst/>
            </c:spPr>
            <c:extLst xmlns:c16r2="http://schemas.microsoft.com/office/drawing/2015/06/chart">
              <c:ext xmlns:c16="http://schemas.microsoft.com/office/drawing/2014/chart" uri="{C3380CC4-5D6E-409C-BE32-E72D297353CC}">
                <c16:uniqueId val="{00000024-9A07-4422-A9E5-BC17D7633F84}"/>
              </c:ext>
            </c:extLst>
          </c:dPt>
          <c:dPt>
            <c:idx val="5"/>
            <c:invertIfNegative val="0"/>
            <c:bubble3D val="0"/>
            <c:spPr>
              <a:solidFill>
                <a:srgbClr val="990000"/>
              </a:solidFill>
              <a:ln>
                <a:solidFill>
                  <a:schemeClr val="bg2"/>
                </a:solidFill>
              </a:ln>
              <a:effectLst/>
            </c:spPr>
            <c:extLst xmlns:c16r2="http://schemas.microsoft.com/office/drawing/2015/06/chart">
              <c:ext xmlns:c16="http://schemas.microsoft.com/office/drawing/2014/chart" uri="{C3380CC4-5D6E-409C-BE32-E72D297353CC}">
                <c16:uniqueId val="{00000026-9A07-4422-A9E5-BC17D7633F84}"/>
              </c:ext>
            </c:extLst>
          </c:dPt>
          <c:dPt>
            <c:idx val="6"/>
            <c:invertIfNegative val="0"/>
            <c:bubble3D val="0"/>
            <c:spPr>
              <a:solidFill>
                <a:srgbClr val="990000"/>
              </a:solidFill>
              <a:ln>
                <a:solidFill>
                  <a:schemeClr val="bg2"/>
                </a:solidFill>
              </a:ln>
              <a:effectLst/>
            </c:spPr>
            <c:extLst xmlns:c16r2="http://schemas.microsoft.com/office/drawing/2015/06/chart">
              <c:ext xmlns:c16="http://schemas.microsoft.com/office/drawing/2014/chart" uri="{C3380CC4-5D6E-409C-BE32-E72D297353CC}">
                <c16:uniqueId val="{00000028-9A07-4422-A9E5-BC17D7633F84}"/>
              </c:ext>
            </c:extLst>
          </c:dPt>
          <c:dPt>
            <c:idx val="7"/>
            <c:invertIfNegative val="0"/>
            <c:bubble3D val="0"/>
            <c:spPr>
              <a:solidFill>
                <a:srgbClr val="990000"/>
              </a:solidFill>
              <a:ln>
                <a:solidFill>
                  <a:schemeClr val="bg2"/>
                </a:solidFill>
              </a:ln>
              <a:effectLst/>
            </c:spPr>
            <c:extLst xmlns:c16r2="http://schemas.microsoft.com/office/drawing/2015/06/chart">
              <c:ext xmlns:c16="http://schemas.microsoft.com/office/drawing/2014/chart" uri="{C3380CC4-5D6E-409C-BE32-E72D297353CC}">
                <c16:uniqueId val="{0000002A-9A07-4422-A9E5-BC17D7633F84}"/>
              </c:ext>
            </c:extLst>
          </c:dPt>
          <c:dPt>
            <c:idx val="9"/>
            <c:invertIfNegative val="0"/>
            <c:bubble3D val="0"/>
            <c:spPr>
              <a:solidFill>
                <a:srgbClr val="D9D9D9"/>
              </a:solidFill>
              <a:ln>
                <a:solidFill>
                  <a:schemeClr val="bg2"/>
                </a:solidFill>
              </a:ln>
              <a:effectLst/>
            </c:spPr>
            <c:extLst xmlns:c16r2="http://schemas.microsoft.com/office/drawing/2015/06/chart">
              <c:ext xmlns:c16="http://schemas.microsoft.com/office/drawing/2014/chart" uri="{C3380CC4-5D6E-409C-BE32-E72D297353CC}">
                <c16:uniqueId val="{0000002C-9A07-4422-A9E5-BC17D7633F84}"/>
              </c:ext>
            </c:extLst>
          </c:dPt>
          <c:dPt>
            <c:idx val="11"/>
            <c:invertIfNegative val="0"/>
            <c:bubble3D val="0"/>
            <c:spPr>
              <a:solidFill>
                <a:srgbClr val="D9D9D9"/>
              </a:solidFill>
              <a:ln>
                <a:solidFill>
                  <a:schemeClr val="bg2"/>
                </a:solidFill>
              </a:ln>
              <a:effectLst/>
            </c:spPr>
            <c:extLst xmlns:c16r2="http://schemas.microsoft.com/office/drawing/2015/06/chart">
              <c:ext xmlns:c16="http://schemas.microsoft.com/office/drawing/2014/chart" uri="{C3380CC4-5D6E-409C-BE32-E72D297353CC}">
                <c16:uniqueId val="{0000002E-9A07-4422-A9E5-BC17D7633F84}"/>
              </c:ext>
            </c:extLst>
          </c:dPt>
          <c:dPt>
            <c:idx val="12"/>
            <c:invertIfNegative val="0"/>
            <c:bubble3D val="0"/>
            <c:spPr>
              <a:solidFill>
                <a:srgbClr val="D9D9D9"/>
              </a:solidFill>
              <a:ln>
                <a:solidFill>
                  <a:schemeClr val="bg2"/>
                </a:solidFill>
              </a:ln>
              <a:effectLst/>
            </c:spPr>
            <c:extLst xmlns:c16r2="http://schemas.microsoft.com/office/drawing/2015/06/chart">
              <c:ext xmlns:c16="http://schemas.microsoft.com/office/drawing/2014/chart" uri="{C3380CC4-5D6E-409C-BE32-E72D297353CC}">
                <c16:uniqueId val="{00000030-9A07-4422-A9E5-BC17D7633F84}"/>
              </c:ext>
            </c:extLst>
          </c:dPt>
          <c:dPt>
            <c:idx val="13"/>
            <c:invertIfNegative val="0"/>
            <c:bubble3D val="0"/>
            <c:spPr>
              <a:solidFill>
                <a:srgbClr val="D9D9D9"/>
              </a:solidFill>
              <a:ln>
                <a:solidFill>
                  <a:schemeClr val="bg2"/>
                </a:solidFill>
              </a:ln>
              <a:effectLst/>
            </c:spPr>
            <c:extLst xmlns:c16r2="http://schemas.microsoft.com/office/drawing/2015/06/chart">
              <c:ext xmlns:c16="http://schemas.microsoft.com/office/drawing/2014/chart" uri="{C3380CC4-5D6E-409C-BE32-E72D297353CC}">
                <c16:uniqueId val="{00000032-9A07-4422-A9E5-BC17D7633F84}"/>
              </c:ext>
            </c:extLst>
          </c:dPt>
          <c:dPt>
            <c:idx val="14"/>
            <c:invertIfNegative val="0"/>
            <c:bubble3D val="0"/>
            <c:spPr>
              <a:solidFill>
                <a:srgbClr val="D9D9D9"/>
              </a:solidFill>
              <a:ln>
                <a:solidFill>
                  <a:schemeClr val="bg2"/>
                </a:solidFill>
              </a:ln>
              <a:effectLst/>
            </c:spPr>
            <c:extLst xmlns:c16r2="http://schemas.microsoft.com/office/drawing/2015/06/chart">
              <c:ext xmlns:c16="http://schemas.microsoft.com/office/drawing/2014/chart" uri="{C3380CC4-5D6E-409C-BE32-E72D297353CC}">
                <c16:uniqueId val="{00000034-9A07-4422-A9E5-BC17D7633F84}"/>
              </c:ext>
            </c:extLst>
          </c:dPt>
          <c:cat>
            <c:strRef>
              <c:f>Лист4!$H$61:$H$75</c:f>
              <c:strCache>
                <c:ptCount val="15"/>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c:v>
                </c:pt>
              </c:strCache>
            </c:strRef>
          </c:cat>
          <c:val>
            <c:numRef>
              <c:f>Лист4!$L$61:$L$75</c:f>
              <c:numCache>
                <c:formatCode>0.0%</c:formatCode>
                <c:ptCount val="15"/>
                <c:pt idx="0">
                  <c:v>2.2528368529036591E-4</c:v>
                </c:pt>
                <c:pt idx="1">
                  <c:v>2.8539214890527416E-3</c:v>
                </c:pt>
                <c:pt idx="2">
                  <c:v>1.6856820778336852E-3</c:v>
                </c:pt>
                <c:pt idx="3">
                  <c:v>2.2147461299309446E-3</c:v>
                </c:pt>
                <c:pt idx="4">
                  <c:v>9.0915430727572764E-3</c:v>
                </c:pt>
                <c:pt idx="5">
                  <c:v>1.4151773864731709E-2</c:v>
                </c:pt>
                <c:pt idx="6">
                  <c:v>1.9976077659859381E-2</c:v>
                </c:pt>
                <c:pt idx="7">
                  <c:v>5.0101858828578497E-3</c:v>
                </c:pt>
                <c:pt idx="8">
                  <c:v>6.4089415859470305E-4</c:v>
                </c:pt>
                <c:pt idx="9">
                  <c:v>1.9665375918799179E-3</c:v>
                </c:pt>
                <c:pt idx="10">
                  <c:v>3.6055866671867736E-4</c:v>
                </c:pt>
                <c:pt idx="11">
                  <c:v>3.1426292816396401E-3</c:v>
                </c:pt>
                <c:pt idx="12">
                  <c:v>9.3051191276589014E-3</c:v>
                </c:pt>
                <c:pt idx="13">
                  <c:v>1.1371577462470011E-2</c:v>
                </c:pt>
                <c:pt idx="14">
                  <c:v>6.8679329057808195E-3</c:v>
                </c:pt>
              </c:numCache>
            </c:numRef>
          </c:val>
          <c:extLst xmlns:c16r2="http://schemas.microsoft.com/office/drawing/2015/06/chart">
            <c:ext xmlns:c16="http://schemas.microsoft.com/office/drawing/2014/chart" uri="{C3380CC4-5D6E-409C-BE32-E72D297353CC}">
              <c16:uniqueId val="{00000035-9A07-4422-A9E5-BC17D7633F84}"/>
            </c:ext>
          </c:extLst>
        </c:ser>
        <c:dLbls>
          <c:showLegendKey val="0"/>
          <c:showVal val="0"/>
          <c:showCatName val="0"/>
          <c:showSerName val="0"/>
          <c:showPercent val="0"/>
          <c:showBubbleSize val="0"/>
        </c:dLbls>
        <c:gapWidth val="0"/>
        <c:overlap val="100"/>
        <c:axId val="504655472"/>
        <c:axId val="504490368"/>
      </c:barChart>
      <c:catAx>
        <c:axId val="504655472"/>
        <c:scaling>
          <c:orientation val="minMax"/>
        </c:scaling>
        <c:delete val="0"/>
        <c:axPos val="l"/>
        <c:title>
          <c:tx>
            <c:rich>
              <a:bodyPr rot="-5400000" spcFirstLastPara="1" vertOverflow="ellipsis" vert="horz" wrap="square" anchor="ctr" anchorCtr="1"/>
              <a:lstStyle/>
              <a:p>
                <a:pPr>
                  <a:defRPr sz="1000" b="0" i="0" u="none" strike="noStrike" baseline="0">
                    <a:solidFill>
                      <a:schemeClr val="tx1">
                        <a:lumMod val="65000"/>
                        <a:lumOff val="35000"/>
                      </a:schemeClr>
                    </a:solidFill>
                    <a:latin typeface="Times New Roman"/>
                    <a:ea typeface="+mn-ea"/>
                    <a:cs typeface="Times New Roman"/>
                  </a:defRPr>
                </a:pPr>
                <a:r>
                  <a:rPr lang="ru-RU">
                    <a:latin typeface="Times New Roman"/>
                    <a:cs typeface="Times New Roman"/>
                  </a:rPr>
                  <a:t>Возраст</a:t>
                </a:r>
                <a:endParaRPr lang="ru-RU"/>
              </a:p>
            </c:rich>
          </c:tx>
          <c:layout/>
          <c:overlay val="0"/>
          <c:spPr>
            <a:noFill/>
            <a:ln>
              <a:noFill/>
            </a:ln>
            <a:effectLst/>
          </c:spPr>
        </c:title>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baseline="0">
                <a:solidFill>
                  <a:schemeClr val="tx1">
                    <a:lumMod val="65000"/>
                    <a:lumOff val="35000"/>
                  </a:schemeClr>
                </a:solidFill>
                <a:latin typeface="Times New Roman"/>
                <a:ea typeface="+mn-ea"/>
                <a:cs typeface="Times New Roman"/>
              </a:defRPr>
            </a:pPr>
            <a:endParaRPr lang="ru-RU"/>
          </a:p>
        </c:txPr>
        <c:crossAx val="504490368"/>
        <c:crosses val="autoZero"/>
        <c:auto val="1"/>
        <c:lblAlgn val="ctr"/>
        <c:lblOffset val="100"/>
        <c:noMultiLvlLbl val="0"/>
      </c:catAx>
      <c:valAx>
        <c:axId val="504490368"/>
        <c:scaling>
          <c:orientation val="minMax"/>
          <c:max val="8.0000000000000016E-2"/>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baseline="0">
                <a:solidFill>
                  <a:schemeClr val="tx1">
                    <a:lumMod val="65000"/>
                    <a:lumOff val="35000"/>
                  </a:schemeClr>
                </a:solidFill>
                <a:latin typeface="Times New Roman"/>
                <a:ea typeface="+mn-ea"/>
                <a:cs typeface="Times New Roman"/>
              </a:defRPr>
            </a:pPr>
            <a:endParaRPr lang="ru-RU"/>
          </a:p>
        </c:txPr>
        <c:crossAx val="50465547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Arial"/>
          <a:cs typeface="Arial"/>
        </a:defRPr>
      </a:pPr>
      <a:endParaRPr lang="ru-RU"/>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1"/>
          <c:order val="0"/>
          <c:tx>
            <c:strRef>
              <c:f>'инвестиции источник'!$A$3</c:f>
              <c:strCache>
                <c:ptCount val="1"/>
                <c:pt idx="0">
                  <c:v>Собственные</c:v>
                </c:pt>
              </c:strCache>
            </c:strRef>
          </c:tx>
          <c:spPr>
            <a:solidFill>
              <a:schemeClr val="accent2">
                <a:lumMod val="75000"/>
              </a:schemeClr>
            </a:solidFill>
            <a:ln>
              <a:noFill/>
            </a:ln>
            <a:effectLst/>
          </c:spPr>
          <c:invertIfNegative val="0"/>
          <c:dLbls>
            <c:dLbl>
              <c:idx val="0"/>
              <c:layout/>
              <c:tx>
                <c:rich>
                  <a:bodyPr rot="0" spcFirstLastPara="1" vertOverflow="ellipsis" vert="horz" wrap="square" anchor="ctr" anchorCtr="1"/>
                  <a:lstStyle/>
                  <a:p>
                    <a:pPr>
                      <a:defRPr sz="818" b="0" i="0" u="none" strike="noStrike" kern="1200" baseline="0">
                        <a:solidFill>
                          <a:sysClr val="windowText" lastClr="000000"/>
                        </a:solidFill>
                        <a:latin typeface="PT Astra Serif" pitchFamily="18" charset="-52"/>
                        <a:ea typeface="PT Astra Serif" pitchFamily="18" charset="-52"/>
                        <a:cs typeface="Times New Roman" panose="02020603050405020304" pitchFamily="18" charset="0"/>
                      </a:defRPr>
                    </a:pPr>
                    <a:r>
                      <a:rPr lang="en-US">
                        <a:latin typeface="PT Astra Serif" pitchFamily="18" charset="-52"/>
                        <a:ea typeface="PT Astra Serif" pitchFamily="18" charset="-52"/>
                      </a:rPr>
                      <a:t>3</a:t>
                    </a:r>
                    <a:r>
                      <a:rPr lang="en-US"/>
                      <a:t>9%</a:t>
                    </a:r>
                  </a:p>
                </c:rich>
              </c:tx>
              <c:spPr>
                <a:noFill/>
                <a:ln w="23086">
                  <a:noFill/>
                </a:ln>
              </c:spPr>
              <c:showLegendKey val="0"/>
              <c:showVal val="0"/>
              <c:showCatName val="0"/>
              <c:showSerName val="0"/>
              <c:showPercent val="0"/>
              <c:showBubbleSize val="0"/>
              <c:extLst>
                <c:ext xmlns:c15="http://schemas.microsoft.com/office/drawing/2012/chart" uri="{CE6537A1-D6FC-4f65-9D91-7224C49458BB}">
                  <c15:layout/>
                </c:ext>
              </c:extLst>
            </c:dLbl>
            <c:dLbl>
              <c:idx val="1"/>
              <c:layout/>
              <c:tx>
                <c:rich>
                  <a:bodyPr rot="0" spcFirstLastPara="1" vertOverflow="ellipsis" vert="horz" wrap="square" anchor="ctr" anchorCtr="1"/>
                  <a:lstStyle/>
                  <a:p>
                    <a:pPr>
                      <a:defRPr sz="818" b="0" i="0" u="none" strike="noStrike" kern="1200" baseline="0">
                        <a:solidFill>
                          <a:sysClr val="windowText" lastClr="000000"/>
                        </a:solidFill>
                        <a:latin typeface="PT Astra Serif" pitchFamily="18" charset="-52"/>
                        <a:ea typeface="PT Astra Serif" pitchFamily="18" charset="-52"/>
                        <a:cs typeface="Times New Roman" panose="02020603050405020304" pitchFamily="18" charset="0"/>
                      </a:defRPr>
                    </a:pPr>
                    <a:r>
                      <a:rPr lang="en-US">
                        <a:latin typeface="PT Astra Serif" pitchFamily="18" charset="-52"/>
                        <a:ea typeface="PT Astra Serif" pitchFamily="18" charset="-52"/>
                      </a:rPr>
                      <a:t>5</a:t>
                    </a:r>
                    <a:r>
                      <a:rPr lang="en-US"/>
                      <a:t>0%</a:t>
                    </a:r>
                  </a:p>
                </c:rich>
              </c:tx>
              <c:spPr>
                <a:noFill/>
                <a:ln w="23086">
                  <a:noFill/>
                </a:ln>
              </c:spPr>
              <c:showLegendKey val="0"/>
              <c:showVal val="0"/>
              <c:showCatName val="0"/>
              <c:showSerName val="0"/>
              <c:showPercent val="0"/>
              <c:showBubbleSize val="0"/>
              <c:extLst>
                <c:ext xmlns:c15="http://schemas.microsoft.com/office/drawing/2012/chart" uri="{CE6537A1-D6FC-4f65-9D91-7224C49458BB}">
                  <c15:layout/>
                </c:ext>
              </c:extLst>
            </c:dLbl>
            <c:dLbl>
              <c:idx val="2"/>
              <c:layout/>
              <c:tx>
                <c:rich>
                  <a:bodyPr rot="0" spcFirstLastPara="1" vertOverflow="ellipsis" vert="horz" wrap="square" anchor="ctr" anchorCtr="1"/>
                  <a:lstStyle/>
                  <a:p>
                    <a:pPr>
                      <a:defRPr sz="818" b="0" i="0" u="none" strike="noStrike" kern="1200" baseline="0">
                        <a:solidFill>
                          <a:sysClr val="windowText" lastClr="000000"/>
                        </a:solidFill>
                        <a:latin typeface="PT Astra Serif" pitchFamily="18" charset="-52"/>
                        <a:ea typeface="PT Astra Serif" pitchFamily="18" charset="-52"/>
                        <a:cs typeface="Times New Roman" panose="02020603050405020304" pitchFamily="18" charset="0"/>
                      </a:defRPr>
                    </a:pPr>
                    <a:r>
                      <a:rPr lang="en-US">
                        <a:latin typeface="PT Astra Serif" pitchFamily="18" charset="-52"/>
                        <a:ea typeface="PT Astra Serif" pitchFamily="18" charset="-52"/>
                      </a:rPr>
                      <a:t>4</a:t>
                    </a:r>
                    <a:r>
                      <a:rPr lang="en-US"/>
                      <a:t>6%</a:t>
                    </a:r>
                  </a:p>
                </c:rich>
              </c:tx>
              <c:spPr>
                <a:noFill/>
                <a:ln w="23086">
                  <a:noFill/>
                </a:ln>
              </c:spPr>
              <c:showLegendKey val="0"/>
              <c:showVal val="0"/>
              <c:showCatName val="0"/>
              <c:showSerName val="0"/>
              <c:showPercent val="0"/>
              <c:showBubbleSize val="0"/>
              <c:extLst>
                <c:ext xmlns:c15="http://schemas.microsoft.com/office/drawing/2012/chart" uri="{CE6537A1-D6FC-4f65-9D91-7224C49458BB}">
                  <c15:layout/>
                </c:ext>
              </c:extLst>
            </c:dLbl>
            <c:dLbl>
              <c:idx val="3"/>
              <c:layout/>
              <c:tx>
                <c:rich>
                  <a:bodyPr rot="0" spcFirstLastPara="1" vertOverflow="ellipsis" vert="horz" wrap="square" anchor="ctr" anchorCtr="1"/>
                  <a:lstStyle/>
                  <a:p>
                    <a:pPr>
                      <a:defRPr sz="818" b="0" i="0" u="none" strike="noStrike" kern="1200" baseline="0">
                        <a:solidFill>
                          <a:sysClr val="windowText" lastClr="000000"/>
                        </a:solidFill>
                        <a:latin typeface="PT Astra Serif" pitchFamily="18" charset="-52"/>
                        <a:ea typeface="PT Astra Serif" pitchFamily="18" charset="-52"/>
                        <a:cs typeface="Times New Roman" panose="02020603050405020304" pitchFamily="18" charset="0"/>
                      </a:defRPr>
                    </a:pPr>
                    <a:r>
                      <a:rPr lang="en-US">
                        <a:latin typeface="PT Astra Serif" pitchFamily="18" charset="-52"/>
                        <a:ea typeface="PT Astra Serif" pitchFamily="18" charset="-52"/>
                      </a:rPr>
                      <a:t>4</a:t>
                    </a:r>
                    <a:r>
                      <a:rPr lang="en-US"/>
                      <a:t>8%</a:t>
                    </a:r>
                  </a:p>
                </c:rich>
              </c:tx>
              <c:spPr>
                <a:noFill/>
                <a:ln w="23086">
                  <a:noFill/>
                </a:ln>
              </c:spPr>
              <c:showLegendKey val="0"/>
              <c:showVal val="0"/>
              <c:showCatName val="0"/>
              <c:showSerName val="0"/>
              <c:showPercent val="0"/>
              <c:showBubbleSize val="0"/>
              <c:extLst>
                <c:ext xmlns:c15="http://schemas.microsoft.com/office/drawing/2012/chart" uri="{CE6537A1-D6FC-4f65-9D91-7224C49458BB}">
                  <c15:layout/>
                </c:ext>
              </c:extLst>
            </c:dLbl>
            <c:dLbl>
              <c:idx val="4"/>
              <c:layout/>
              <c:tx>
                <c:rich>
                  <a:bodyPr rot="0" spcFirstLastPara="1" vertOverflow="ellipsis" vert="horz" wrap="square" anchor="ctr" anchorCtr="1"/>
                  <a:lstStyle/>
                  <a:p>
                    <a:pPr>
                      <a:defRPr sz="818" b="0" i="0" u="none" strike="noStrike" kern="1200" baseline="0">
                        <a:solidFill>
                          <a:sysClr val="windowText" lastClr="000000"/>
                        </a:solidFill>
                        <a:latin typeface="PT Astra Serif" pitchFamily="18" charset="-52"/>
                        <a:ea typeface="PT Astra Serif" pitchFamily="18" charset="-52"/>
                        <a:cs typeface="Times New Roman" panose="02020603050405020304" pitchFamily="18" charset="0"/>
                      </a:defRPr>
                    </a:pPr>
                    <a:r>
                      <a:rPr lang="en-US">
                        <a:latin typeface="PT Astra Serif" pitchFamily="18" charset="-52"/>
                        <a:ea typeface="PT Astra Serif" pitchFamily="18" charset="-52"/>
                      </a:rPr>
                      <a:t>5</a:t>
                    </a:r>
                    <a:r>
                      <a:rPr lang="en-US"/>
                      <a:t>3%</a:t>
                    </a:r>
                  </a:p>
                </c:rich>
              </c:tx>
              <c:spPr>
                <a:noFill/>
                <a:ln w="23086">
                  <a:noFill/>
                </a:ln>
              </c:spPr>
              <c:showLegendKey val="0"/>
              <c:showVal val="0"/>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'инвестиции источник'!$B$1:$F$1</c:f>
              <c:strCache>
                <c:ptCount val="5"/>
                <c:pt idx="0">
                  <c:v>2020 г.</c:v>
                </c:pt>
                <c:pt idx="1">
                  <c:v>2021 г.</c:v>
                </c:pt>
                <c:pt idx="2">
                  <c:v>2022 г.</c:v>
                </c:pt>
                <c:pt idx="3">
                  <c:v>2023 г.</c:v>
                </c:pt>
                <c:pt idx="4">
                  <c:v>2024 г.</c:v>
                </c:pt>
              </c:strCache>
            </c:strRef>
          </c:cat>
          <c:val>
            <c:numRef>
              <c:f>'инвестиции источник'!$B$3:$F$3</c:f>
              <c:numCache>
                <c:formatCode>_-* #\ ##0_-;\-* #\ ##0_-;_-* "-"??_-;_-@_-</c:formatCode>
                <c:ptCount val="5"/>
                <c:pt idx="0">
                  <c:v>14.339503000000002</c:v>
                </c:pt>
                <c:pt idx="1">
                  <c:v>16.251882999999999</c:v>
                </c:pt>
                <c:pt idx="2">
                  <c:v>15.997705</c:v>
                </c:pt>
                <c:pt idx="3">
                  <c:v>21.363228999999997</c:v>
                </c:pt>
                <c:pt idx="4">
                  <c:v>32.742562000000007</c:v>
                </c:pt>
              </c:numCache>
            </c:numRef>
          </c:val>
        </c:ser>
        <c:ser>
          <c:idx val="2"/>
          <c:order val="1"/>
          <c:tx>
            <c:strRef>
              <c:f>'инвестиции источник'!$A$4</c:f>
              <c:strCache>
                <c:ptCount val="1"/>
                <c:pt idx="0">
                  <c:v>Банковские кредиты</c:v>
                </c:pt>
              </c:strCache>
            </c:strRef>
          </c:tx>
          <c:spPr>
            <a:solidFill>
              <a:schemeClr val="accent4">
                <a:lumMod val="50000"/>
              </a:schemeClr>
            </a:solidFill>
            <a:ln>
              <a:noFill/>
            </a:ln>
            <a:effectLst/>
          </c:spPr>
          <c:invertIfNegative val="0"/>
          <c:cat>
            <c:strRef>
              <c:f>'инвестиции источник'!$B$1:$F$1</c:f>
              <c:strCache>
                <c:ptCount val="5"/>
                <c:pt idx="0">
                  <c:v>2020 г.</c:v>
                </c:pt>
                <c:pt idx="1">
                  <c:v>2021 г.</c:v>
                </c:pt>
                <c:pt idx="2">
                  <c:v>2022 г.</c:v>
                </c:pt>
                <c:pt idx="3">
                  <c:v>2023 г.</c:v>
                </c:pt>
                <c:pt idx="4">
                  <c:v>2024 г.</c:v>
                </c:pt>
              </c:strCache>
            </c:strRef>
          </c:cat>
          <c:val>
            <c:numRef>
              <c:f>'инвестиции источник'!$B$4:$F$4</c:f>
              <c:numCache>
                <c:formatCode>_-* #\ ##0_-;\-* #\ ##0_-;_-* "-"??_-;_-@_-</c:formatCode>
                <c:ptCount val="5"/>
                <c:pt idx="0">
                  <c:v>0.73224800000000012</c:v>
                </c:pt>
                <c:pt idx="1">
                  <c:v>0.87087400000000015</c:v>
                </c:pt>
                <c:pt idx="2">
                  <c:v>0.94077800000000011</c:v>
                </c:pt>
                <c:pt idx="3">
                  <c:v>0.89602800000000005</c:v>
                </c:pt>
                <c:pt idx="4">
                  <c:v>2.8138659999999995</c:v>
                </c:pt>
              </c:numCache>
            </c:numRef>
          </c:val>
        </c:ser>
        <c:ser>
          <c:idx val="3"/>
          <c:order val="2"/>
          <c:tx>
            <c:strRef>
              <c:f>'инвестиции источник'!$A$5</c:f>
              <c:strCache>
                <c:ptCount val="1"/>
                <c:pt idx="0">
                  <c:v>Займы от не-банковских организаций</c:v>
                </c:pt>
              </c:strCache>
            </c:strRef>
          </c:tx>
          <c:spPr>
            <a:solidFill>
              <a:schemeClr val="accent4">
                <a:lumMod val="75000"/>
              </a:schemeClr>
            </a:solidFill>
            <a:ln>
              <a:noFill/>
            </a:ln>
            <a:effectLst/>
          </c:spPr>
          <c:invertIfNegative val="0"/>
          <c:cat>
            <c:strRef>
              <c:f>'инвестиции источник'!$B$1:$F$1</c:f>
              <c:strCache>
                <c:ptCount val="5"/>
                <c:pt idx="0">
                  <c:v>2020 г.</c:v>
                </c:pt>
                <c:pt idx="1">
                  <c:v>2021 г.</c:v>
                </c:pt>
                <c:pt idx="2">
                  <c:v>2022 г.</c:v>
                </c:pt>
                <c:pt idx="3">
                  <c:v>2023 г.</c:v>
                </c:pt>
                <c:pt idx="4">
                  <c:v>2024 г.</c:v>
                </c:pt>
              </c:strCache>
            </c:strRef>
          </c:cat>
          <c:val>
            <c:numRef>
              <c:f>'инвестиции источник'!$B$5:$F$5</c:f>
              <c:numCache>
                <c:formatCode>_-* #\ ##0_-;\-* #\ ##0_-;_-* "-"??_-;_-@_-</c:formatCode>
                <c:ptCount val="5"/>
                <c:pt idx="0">
                  <c:v>0.13464699999999999</c:v>
                </c:pt>
                <c:pt idx="1">
                  <c:v>0</c:v>
                </c:pt>
                <c:pt idx="2">
                  <c:v>1.2026259999999998</c:v>
                </c:pt>
                <c:pt idx="3">
                  <c:v>3.872012999999999</c:v>
                </c:pt>
                <c:pt idx="4">
                  <c:v>6.6317480000000009</c:v>
                </c:pt>
              </c:numCache>
            </c:numRef>
          </c:val>
        </c:ser>
        <c:ser>
          <c:idx val="4"/>
          <c:order val="3"/>
          <c:tx>
            <c:strRef>
              <c:f>'инвестиции источник'!$A$6</c:f>
              <c:strCache>
                <c:ptCount val="1"/>
                <c:pt idx="0">
                  <c:v>Бюджетные средства</c:v>
                </c:pt>
              </c:strCache>
            </c:strRef>
          </c:tx>
          <c:spPr>
            <a:solidFill>
              <a:srgbClr val="0F9ED5"/>
            </a:solidFill>
            <a:ln w="23086">
              <a:noFill/>
            </a:ln>
          </c:spPr>
          <c:invertIfNegative val="0"/>
          <c:dLbls>
            <c:dLbl>
              <c:idx val="0"/>
              <c:layout/>
              <c:tx>
                <c:rich>
                  <a:bodyPr rot="0" spcFirstLastPara="1" vertOverflow="ellipsis" vert="horz" wrap="square" anchor="ctr" anchorCtr="1"/>
                  <a:lstStyle/>
                  <a:p>
                    <a:pPr>
                      <a:defRPr sz="818" b="0" i="0" u="none" strike="noStrike" kern="1200" baseline="0">
                        <a:solidFill>
                          <a:sysClr val="windowText" lastClr="000000"/>
                        </a:solidFill>
                        <a:latin typeface="PT Astra Serif" pitchFamily="18" charset="-52"/>
                        <a:ea typeface="PT Astra Serif" pitchFamily="18" charset="-52"/>
                        <a:cs typeface="Times New Roman" panose="02020603050405020304" pitchFamily="18" charset="0"/>
                      </a:defRPr>
                    </a:pPr>
                    <a:r>
                      <a:rPr lang="en-US">
                        <a:latin typeface="PT Astra Serif" pitchFamily="18" charset="-52"/>
                        <a:ea typeface="PT Astra Serif" pitchFamily="18" charset="-52"/>
                      </a:rPr>
                      <a:t>3</a:t>
                    </a:r>
                    <a:r>
                      <a:rPr lang="en-US"/>
                      <a:t>6%</a:t>
                    </a:r>
                  </a:p>
                </c:rich>
              </c:tx>
              <c:spPr>
                <a:noFill/>
                <a:ln w="23086">
                  <a:noFill/>
                </a:ln>
              </c:spPr>
              <c:showLegendKey val="0"/>
              <c:showVal val="0"/>
              <c:showCatName val="0"/>
              <c:showSerName val="0"/>
              <c:showPercent val="0"/>
              <c:showBubbleSize val="0"/>
              <c:extLst>
                <c:ext xmlns:c15="http://schemas.microsoft.com/office/drawing/2012/chart" uri="{CE6537A1-D6FC-4f65-9D91-7224C49458BB}">
                  <c15:layout/>
                </c:ext>
              </c:extLst>
            </c:dLbl>
            <c:dLbl>
              <c:idx val="1"/>
              <c:layout/>
              <c:tx>
                <c:rich>
                  <a:bodyPr rot="0" spcFirstLastPara="1" vertOverflow="ellipsis" vert="horz" wrap="square" anchor="ctr" anchorCtr="1"/>
                  <a:lstStyle/>
                  <a:p>
                    <a:pPr>
                      <a:defRPr sz="818" b="0" i="0" u="none" strike="noStrike" kern="1200" baseline="0">
                        <a:solidFill>
                          <a:sysClr val="windowText" lastClr="000000"/>
                        </a:solidFill>
                        <a:latin typeface="PT Astra Serif" pitchFamily="18" charset="-52"/>
                        <a:ea typeface="PT Astra Serif" pitchFamily="18" charset="-52"/>
                        <a:cs typeface="Times New Roman" panose="02020603050405020304" pitchFamily="18" charset="0"/>
                      </a:defRPr>
                    </a:pPr>
                    <a:r>
                      <a:rPr lang="en-US">
                        <a:latin typeface="PT Astra Serif" pitchFamily="18" charset="-52"/>
                        <a:ea typeface="PT Astra Serif" pitchFamily="18" charset="-52"/>
                      </a:rPr>
                      <a:t>3</a:t>
                    </a:r>
                    <a:r>
                      <a:rPr lang="en-US"/>
                      <a:t>6%</a:t>
                    </a:r>
                  </a:p>
                </c:rich>
              </c:tx>
              <c:spPr>
                <a:noFill/>
                <a:ln w="23086">
                  <a:noFill/>
                </a:ln>
              </c:spPr>
              <c:showLegendKey val="0"/>
              <c:showVal val="0"/>
              <c:showCatName val="0"/>
              <c:showSerName val="0"/>
              <c:showPercent val="0"/>
              <c:showBubbleSize val="0"/>
              <c:extLst>
                <c:ext xmlns:c15="http://schemas.microsoft.com/office/drawing/2012/chart" uri="{CE6537A1-D6FC-4f65-9D91-7224C49458BB}">
                  <c15:layout/>
                </c:ext>
              </c:extLst>
            </c:dLbl>
            <c:dLbl>
              <c:idx val="2"/>
              <c:layout/>
              <c:tx>
                <c:rich>
                  <a:bodyPr rot="0" spcFirstLastPara="1" vertOverflow="ellipsis" vert="horz" wrap="square" anchor="ctr" anchorCtr="1"/>
                  <a:lstStyle/>
                  <a:p>
                    <a:pPr>
                      <a:defRPr sz="818" b="0" i="0" u="none" strike="noStrike" kern="1200" baseline="0">
                        <a:solidFill>
                          <a:sysClr val="windowText" lastClr="000000"/>
                        </a:solidFill>
                        <a:latin typeface="PT Astra Serif" pitchFamily="18" charset="-52"/>
                        <a:ea typeface="PT Astra Serif" pitchFamily="18" charset="-52"/>
                        <a:cs typeface="Times New Roman" panose="02020603050405020304" pitchFamily="18" charset="0"/>
                      </a:defRPr>
                    </a:pPr>
                    <a:r>
                      <a:rPr lang="en-US">
                        <a:latin typeface="PT Astra Serif" pitchFamily="18" charset="-52"/>
                        <a:ea typeface="PT Astra Serif" pitchFamily="18" charset="-52"/>
                      </a:rPr>
                      <a:t>4</a:t>
                    </a:r>
                    <a:r>
                      <a:rPr lang="en-US"/>
                      <a:t>0%</a:t>
                    </a:r>
                  </a:p>
                </c:rich>
              </c:tx>
              <c:spPr>
                <a:noFill/>
                <a:ln w="23086">
                  <a:noFill/>
                </a:ln>
              </c:spPr>
              <c:showLegendKey val="0"/>
              <c:showVal val="0"/>
              <c:showCatName val="0"/>
              <c:showSerName val="0"/>
              <c:showPercent val="0"/>
              <c:showBubbleSize val="0"/>
              <c:extLst>
                <c:ext xmlns:c15="http://schemas.microsoft.com/office/drawing/2012/chart" uri="{CE6537A1-D6FC-4f65-9D91-7224C49458BB}">
                  <c15:layout/>
                </c:ext>
              </c:extLst>
            </c:dLbl>
            <c:dLbl>
              <c:idx val="3"/>
              <c:layout/>
              <c:tx>
                <c:rich>
                  <a:bodyPr rot="0" spcFirstLastPara="1" vertOverflow="ellipsis" vert="horz" wrap="square" anchor="ctr" anchorCtr="1"/>
                  <a:lstStyle/>
                  <a:p>
                    <a:pPr>
                      <a:defRPr sz="818" b="0" i="0" u="none" strike="noStrike" kern="1200" baseline="0">
                        <a:solidFill>
                          <a:sysClr val="windowText" lastClr="000000"/>
                        </a:solidFill>
                        <a:latin typeface="PT Astra Serif" pitchFamily="18" charset="-52"/>
                        <a:ea typeface="PT Astra Serif" pitchFamily="18" charset="-52"/>
                        <a:cs typeface="Times New Roman" panose="02020603050405020304" pitchFamily="18" charset="0"/>
                      </a:defRPr>
                    </a:pPr>
                    <a:r>
                      <a:rPr lang="en-US">
                        <a:latin typeface="PT Astra Serif" pitchFamily="18" charset="-52"/>
                        <a:ea typeface="PT Astra Serif" pitchFamily="18" charset="-52"/>
                      </a:rPr>
                      <a:t>3</a:t>
                    </a:r>
                    <a:r>
                      <a:rPr lang="en-US"/>
                      <a:t>6%</a:t>
                    </a:r>
                  </a:p>
                </c:rich>
              </c:tx>
              <c:spPr>
                <a:noFill/>
                <a:ln w="23086">
                  <a:noFill/>
                </a:ln>
              </c:spPr>
              <c:showLegendKey val="0"/>
              <c:showVal val="0"/>
              <c:showCatName val="0"/>
              <c:showSerName val="0"/>
              <c:showPercent val="0"/>
              <c:showBubbleSize val="0"/>
              <c:extLst>
                <c:ext xmlns:c15="http://schemas.microsoft.com/office/drawing/2012/chart" uri="{CE6537A1-D6FC-4f65-9D91-7224C49458BB}">
                  <c15:layout/>
                </c:ext>
              </c:extLst>
            </c:dLbl>
            <c:dLbl>
              <c:idx val="4"/>
              <c:layout/>
              <c:tx>
                <c:rich>
                  <a:bodyPr rot="0" spcFirstLastPara="1" vertOverflow="ellipsis" vert="horz" wrap="square" anchor="ctr" anchorCtr="1"/>
                  <a:lstStyle/>
                  <a:p>
                    <a:pPr>
                      <a:defRPr sz="818" b="0" i="0" u="none" strike="noStrike" kern="1200" baseline="0">
                        <a:solidFill>
                          <a:sysClr val="windowText" lastClr="000000"/>
                        </a:solidFill>
                        <a:latin typeface="PT Astra Serif" pitchFamily="18" charset="-52"/>
                        <a:ea typeface="PT Astra Serif" pitchFamily="18" charset="-52"/>
                        <a:cs typeface="Times New Roman" panose="02020603050405020304" pitchFamily="18" charset="0"/>
                      </a:defRPr>
                    </a:pPr>
                    <a:r>
                      <a:rPr lang="en-US">
                        <a:latin typeface="PT Astra Serif" pitchFamily="18" charset="-52"/>
                        <a:ea typeface="PT Astra Serif" pitchFamily="18" charset="-52"/>
                      </a:rPr>
                      <a:t>2</a:t>
                    </a:r>
                    <a:r>
                      <a:rPr lang="en-US"/>
                      <a:t>7%</a:t>
                    </a:r>
                  </a:p>
                </c:rich>
              </c:tx>
              <c:spPr>
                <a:noFill/>
                <a:ln w="23086">
                  <a:noFill/>
                </a:ln>
              </c:spPr>
              <c:showLegendKey val="0"/>
              <c:showVal val="0"/>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'инвестиции источник'!$B$1:$F$1</c:f>
              <c:strCache>
                <c:ptCount val="5"/>
                <c:pt idx="0">
                  <c:v>2020 г.</c:v>
                </c:pt>
                <c:pt idx="1">
                  <c:v>2021 г.</c:v>
                </c:pt>
                <c:pt idx="2">
                  <c:v>2022 г.</c:v>
                </c:pt>
                <c:pt idx="3">
                  <c:v>2023 г.</c:v>
                </c:pt>
                <c:pt idx="4">
                  <c:v>2024 г.</c:v>
                </c:pt>
              </c:strCache>
            </c:strRef>
          </c:cat>
          <c:val>
            <c:numRef>
              <c:f>'инвестиции источник'!$B$6:$F$6</c:f>
              <c:numCache>
                <c:formatCode>_-* #\ ##0_-;\-* #\ ##0_-;_-* "-"??_-;_-@_-</c:formatCode>
                <c:ptCount val="5"/>
                <c:pt idx="0">
                  <c:v>13.156213000000001</c:v>
                </c:pt>
                <c:pt idx="1">
                  <c:v>11.643750999999998</c:v>
                </c:pt>
                <c:pt idx="2">
                  <c:v>13.81729</c:v>
                </c:pt>
                <c:pt idx="3">
                  <c:v>15.836111000000001</c:v>
                </c:pt>
                <c:pt idx="4">
                  <c:v>16.452126999999997</c:v>
                </c:pt>
              </c:numCache>
            </c:numRef>
          </c:val>
        </c:ser>
        <c:ser>
          <c:idx val="5"/>
          <c:order val="4"/>
          <c:tx>
            <c:strRef>
              <c:f>'инвестиции источник'!$A$7</c:f>
              <c:strCache>
                <c:ptCount val="1"/>
                <c:pt idx="0">
                  <c:v>Прочие привлеченные</c:v>
                </c:pt>
              </c:strCache>
            </c:strRef>
          </c:tx>
          <c:spPr>
            <a:solidFill>
              <a:schemeClr val="accent4">
                <a:lumMod val="40000"/>
                <a:lumOff val="60000"/>
              </a:schemeClr>
            </a:solidFill>
            <a:ln>
              <a:noFill/>
            </a:ln>
            <a:effectLst/>
          </c:spPr>
          <c:invertIfNegative val="0"/>
          <c:cat>
            <c:strRef>
              <c:f>'инвестиции источник'!$B$1:$F$1</c:f>
              <c:strCache>
                <c:ptCount val="5"/>
                <c:pt idx="0">
                  <c:v>2020 г.</c:v>
                </c:pt>
                <c:pt idx="1">
                  <c:v>2021 г.</c:v>
                </c:pt>
                <c:pt idx="2">
                  <c:v>2022 г.</c:v>
                </c:pt>
                <c:pt idx="3">
                  <c:v>2023 г.</c:v>
                </c:pt>
                <c:pt idx="4">
                  <c:v>2024 г.</c:v>
                </c:pt>
              </c:strCache>
            </c:strRef>
          </c:cat>
          <c:val>
            <c:numRef>
              <c:f>'инвестиции источник'!$B$7:$F$7</c:f>
              <c:numCache>
                <c:formatCode>_-* #\ ##0_-;\-* #\ ##0_-;_-* "-"??_-;_-@_-</c:formatCode>
                <c:ptCount val="5"/>
                <c:pt idx="0">
                  <c:v>7.9996760000000018</c:v>
                </c:pt>
                <c:pt idx="1">
                  <c:v>3.5772970000000015</c:v>
                </c:pt>
                <c:pt idx="2">
                  <c:v>2.4866230000000011</c:v>
                </c:pt>
                <c:pt idx="3">
                  <c:v>2.2198419999999994</c:v>
                </c:pt>
                <c:pt idx="4">
                  <c:v>2.969820999999996</c:v>
                </c:pt>
              </c:numCache>
            </c:numRef>
          </c:val>
        </c:ser>
        <c:dLbls>
          <c:showLegendKey val="0"/>
          <c:showVal val="0"/>
          <c:showCatName val="0"/>
          <c:showSerName val="0"/>
          <c:showPercent val="0"/>
          <c:showBubbleSize val="0"/>
        </c:dLbls>
        <c:gapWidth val="150"/>
        <c:overlap val="100"/>
        <c:axId val="510341704"/>
        <c:axId val="510342096"/>
      </c:barChart>
      <c:catAx>
        <c:axId val="510341704"/>
        <c:scaling>
          <c:orientation val="minMax"/>
        </c:scaling>
        <c:delete val="0"/>
        <c:axPos val="b"/>
        <c:numFmt formatCode="General" sourceLinked="1"/>
        <c:majorTickMark val="none"/>
        <c:minorTickMark val="none"/>
        <c:tickLblPos val="nextTo"/>
        <c:spPr>
          <a:noFill/>
          <a:ln w="8657" cap="flat" cmpd="sng" algn="ctr">
            <a:solidFill>
              <a:schemeClr val="tx1">
                <a:lumMod val="15000"/>
                <a:lumOff val="85000"/>
              </a:schemeClr>
            </a:solidFill>
            <a:round/>
          </a:ln>
          <a:effectLst/>
        </c:spPr>
        <c:txPr>
          <a:bodyPr rot="-60000000" spcFirstLastPara="1" vertOverflow="ellipsis" vert="horz" wrap="square" anchor="ctr" anchorCtr="1"/>
          <a:lstStyle/>
          <a:p>
            <a:pPr>
              <a:defRPr sz="818" b="0" i="0" u="none" strike="noStrike" kern="1200" baseline="0">
                <a:solidFill>
                  <a:sysClr val="windowText" lastClr="000000"/>
                </a:solidFill>
                <a:latin typeface="PT Astra Serif" pitchFamily="18" charset="-52"/>
                <a:ea typeface="PT Astra Serif" pitchFamily="18" charset="-52"/>
                <a:cs typeface="Times New Roman" panose="02020603050405020304" pitchFamily="18" charset="0"/>
              </a:defRPr>
            </a:pPr>
            <a:endParaRPr lang="ru-RU"/>
          </a:p>
        </c:txPr>
        <c:crossAx val="510342096"/>
        <c:crosses val="autoZero"/>
        <c:auto val="1"/>
        <c:lblAlgn val="ctr"/>
        <c:lblOffset val="100"/>
        <c:noMultiLvlLbl val="0"/>
      </c:catAx>
      <c:valAx>
        <c:axId val="510342096"/>
        <c:scaling>
          <c:orientation val="minMax"/>
        </c:scaling>
        <c:delete val="0"/>
        <c:axPos val="l"/>
        <c:majorGridlines>
          <c:spPr>
            <a:ln w="8657" cap="flat" cmpd="sng" algn="ctr">
              <a:solidFill>
                <a:schemeClr val="tx1">
                  <a:lumMod val="15000"/>
                  <a:lumOff val="85000"/>
                </a:schemeClr>
              </a:solidFill>
              <a:round/>
            </a:ln>
            <a:effectLst/>
          </c:spPr>
        </c:majorGridlines>
        <c:numFmt formatCode="_-* #\ ##0_-;\-* #\ ##0_-;_-* &quot;-&quot;??_-;_-@_-" sourceLinked="1"/>
        <c:majorTickMark val="none"/>
        <c:minorTickMark val="none"/>
        <c:tickLblPos val="nextTo"/>
        <c:spPr>
          <a:ln w="5771">
            <a:noFill/>
          </a:ln>
        </c:spPr>
        <c:txPr>
          <a:bodyPr rot="-60000000" spcFirstLastPara="1" vertOverflow="ellipsis" vert="horz" wrap="square" anchor="ctr" anchorCtr="1"/>
          <a:lstStyle/>
          <a:p>
            <a:pPr>
              <a:defRPr sz="818" b="0" i="0" u="none" strike="noStrike" kern="1200" baseline="0">
                <a:solidFill>
                  <a:sysClr val="windowText" lastClr="000000"/>
                </a:solidFill>
                <a:latin typeface="PT Astra Serif" pitchFamily="18" charset="-52"/>
                <a:ea typeface="PT Astra Serif" pitchFamily="18" charset="-52"/>
                <a:cs typeface="Times New Roman" panose="02020603050405020304" pitchFamily="18" charset="0"/>
              </a:defRPr>
            </a:pPr>
            <a:endParaRPr lang="ru-RU"/>
          </a:p>
        </c:txPr>
        <c:crossAx val="510341704"/>
        <c:crosses val="autoZero"/>
        <c:crossBetween val="between"/>
      </c:valAx>
      <c:spPr>
        <a:noFill/>
        <a:ln w="23086">
          <a:noFill/>
        </a:ln>
      </c:spPr>
    </c:plotArea>
    <c:legend>
      <c:legendPos val="r"/>
      <c:layout>
        <c:manualLayout>
          <c:xMode val="edge"/>
          <c:yMode val="edge"/>
          <c:x val="0.74090401566253761"/>
          <c:y val="6.6802147656854091E-2"/>
          <c:w val="0.24626877666350333"/>
          <c:h val="0.84712865248690405"/>
        </c:manualLayout>
      </c:layout>
      <c:overlay val="0"/>
      <c:spPr>
        <a:noFill/>
        <a:ln w="23086">
          <a:noFill/>
        </a:ln>
      </c:spPr>
      <c:txPr>
        <a:bodyPr rot="0" spcFirstLastPara="1" vertOverflow="ellipsis" vert="horz" wrap="square" anchor="ctr" anchorCtr="1"/>
        <a:lstStyle/>
        <a:p>
          <a:pPr>
            <a:defRPr sz="818" b="0" i="0" u="none" strike="noStrike" kern="1200" baseline="0">
              <a:solidFill>
                <a:sysClr val="windowText" lastClr="000000"/>
              </a:solidFill>
              <a:latin typeface="PT Astra Serif" pitchFamily="18" charset="-52"/>
              <a:ea typeface="PT Astra Serif" pitchFamily="18" charset="-52"/>
              <a:cs typeface="Times New Roman" panose="02020603050405020304" pitchFamily="18" charset="0"/>
            </a:defRPr>
          </a:pPr>
          <a:endParaRPr lang="ru-RU"/>
        </a:p>
      </c:txPr>
    </c:legend>
    <c:plotVisOnly val="1"/>
    <c:dispBlanksAs val="gap"/>
    <c:showDLblsOverMax val="0"/>
  </c:chart>
  <c:spPr>
    <a:solidFill>
      <a:schemeClr val="bg1"/>
    </a:solidFill>
    <a:ln>
      <a:noFill/>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1"/>
          <c:order val="0"/>
          <c:tx>
            <c:strRef>
              <c:f>'инвестиции вэд'!$A$3</c:f>
              <c:strCache>
                <c:ptCount val="1"/>
                <c:pt idx="0">
                  <c:v>Обрабатывающие производства</c:v>
                </c:pt>
              </c:strCache>
            </c:strRef>
          </c:tx>
          <c:spPr>
            <a:solidFill>
              <a:schemeClr val="accent4">
                <a:lumMod val="50000"/>
              </a:schemeClr>
            </a:solidFill>
            <a:ln>
              <a:noFill/>
            </a:ln>
            <a:effectLst/>
          </c:spPr>
          <c:invertIfNegative val="0"/>
          <c:dLbls>
            <c:numFmt formatCode="#,##0.0" sourceLinked="0"/>
            <c:spPr>
              <a:noFill/>
              <a:ln w="23406">
                <a:noFill/>
              </a:ln>
            </c:spPr>
            <c:txPr>
              <a:bodyPr rot="0" spcFirstLastPara="1" vertOverflow="ellipsis" vert="horz" wrap="square" anchor="ctr" anchorCtr="1"/>
              <a:lstStyle/>
              <a:p>
                <a:pPr>
                  <a:defRPr sz="829" b="0" i="0" u="none" strike="noStrike" kern="1200" baseline="0">
                    <a:solidFill>
                      <a:schemeClr val="bg1"/>
                    </a:solidFill>
                    <a:latin typeface="PT Astra Serif" pitchFamily="18" charset="-52"/>
                    <a:ea typeface="PT Astra Serif" pitchFamily="18" charset="-52"/>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'инвестиции вэд'!$B$1:$F$1</c:f>
              <c:strCache>
                <c:ptCount val="5"/>
                <c:pt idx="0">
                  <c:v>2020 г.</c:v>
                </c:pt>
                <c:pt idx="1">
                  <c:v>2021 г.</c:v>
                </c:pt>
                <c:pt idx="2">
                  <c:v>2022 г.</c:v>
                </c:pt>
                <c:pt idx="3">
                  <c:v>2023 г.</c:v>
                </c:pt>
                <c:pt idx="4">
                  <c:v>2024 г.</c:v>
                </c:pt>
              </c:strCache>
            </c:strRef>
          </c:cat>
          <c:val>
            <c:numRef>
              <c:f>'инвестиции вэд'!$B$3:$F$3</c:f>
              <c:numCache>
                <c:formatCode>_-* #\ ##0_-;\-* #\ ##0_-;_-* "-"??_-;_-@_-</c:formatCode>
                <c:ptCount val="5"/>
                <c:pt idx="0">
                  <c:v>3.0581140000000002</c:v>
                </c:pt>
                <c:pt idx="1">
                  <c:v>3.4627249999999998</c:v>
                </c:pt>
                <c:pt idx="2">
                  <c:v>3.2775360000000004</c:v>
                </c:pt>
                <c:pt idx="3">
                  <c:v>7.316592</c:v>
                </c:pt>
                <c:pt idx="4">
                  <c:v>15.069525000000002</c:v>
                </c:pt>
              </c:numCache>
            </c:numRef>
          </c:val>
        </c:ser>
        <c:ser>
          <c:idx val="2"/>
          <c:order val="1"/>
          <c:tx>
            <c:strRef>
              <c:f>'инвестиции вэд'!$A$4</c:f>
              <c:strCache>
                <c:ptCount val="1"/>
                <c:pt idx="0">
                  <c:v>Транспортировка и хранение</c:v>
                </c:pt>
              </c:strCache>
            </c:strRef>
          </c:tx>
          <c:spPr>
            <a:solidFill>
              <a:schemeClr val="accent4">
                <a:lumMod val="75000"/>
              </a:schemeClr>
            </a:solidFill>
            <a:ln>
              <a:noFill/>
            </a:ln>
            <a:effectLst/>
          </c:spPr>
          <c:invertIfNegative val="0"/>
          <c:dLbls>
            <c:numFmt formatCode="#,##0.0" sourceLinked="0"/>
            <c:spPr>
              <a:noFill/>
              <a:ln w="23406">
                <a:noFill/>
              </a:ln>
            </c:spPr>
            <c:txPr>
              <a:bodyPr rot="0" spcFirstLastPara="1" vertOverflow="ellipsis" vert="horz" wrap="square" anchor="ctr" anchorCtr="1"/>
              <a:lstStyle/>
              <a:p>
                <a:pPr>
                  <a:defRPr sz="829" b="0" i="0" u="none" strike="noStrike" kern="1200" baseline="0">
                    <a:solidFill>
                      <a:schemeClr val="bg1"/>
                    </a:solidFill>
                    <a:latin typeface="PT Astra Serif" pitchFamily="18" charset="-52"/>
                    <a:ea typeface="PT Astra Serif" pitchFamily="18" charset="-52"/>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'инвестиции вэд'!$B$1:$F$1</c:f>
              <c:strCache>
                <c:ptCount val="5"/>
                <c:pt idx="0">
                  <c:v>2020 г.</c:v>
                </c:pt>
                <c:pt idx="1">
                  <c:v>2021 г.</c:v>
                </c:pt>
                <c:pt idx="2">
                  <c:v>2022 г.</c:v>
                </c:pt>
                <c:pt idx="3">
                  <c:v>2023 г.</c:v>
                </c:pt>
                <c:pt idx="4">
                  <c:v>2024 г.</c:v>
                </c:pt>
              </c:strCache>
            </c:strRef>
          </c:cat>
          <c:val>
            <c:numRef>
              <c:f>'инвестиции вэд'!$B$4:$F$4</c:f>
              <c:numCache>
                <c:formatCode>_-* #\ ##0_-;\-* #\ ##0_-;_-* "-"??_-;_-@_-</c:formatCode>
                <c:ptCount val="5"/>
                <c:pt idx="0">
                  <c:v>7.8774799999999994</c:v>
                </c:pt>
                <c:pt idx="1">
                  <c:v>9.3379400000000015</c:v>
                </c:pt>
                <c:pt idx="2">
                  <c:v>11.179412000000001</c:v>
                </c:pt>
                <c:pt idx="3">
                  <c:v>11.036586000000002</c:v>
                </c:pt>
                <c:pt idx="4">
                  <c:v>13.382663000000003</c:v>
                </c:pt>
              </c:numCache>
            </c:numRef>
          </c:val>
        </c:ser>
        <c:ser>
          <c:idx val="3"/>
          <c:order val="2"/>
          <c:tx>
            <c:strRef>
              <c:f>'инвестиции вэд'!$A$5</c:f>
              <c:strCache>
                <c:ptCount val="1"/>
                <c:pt idx="0">
                  <c:v>Обеспечение электрической энергией, газом и паром: кондиционирование воздуха</c:v>
                </c:pt>
              </c:strCache>
            </c:strRef>
          </c:tx>
          <c:spPr>
            <a:solidFill>
              <a:srgbClr val="0F9ED5"/>
            </a:solidFill>
            <a:ln w="23406">
              <a:noFill/>
            </a:ln>
          </c:spPr>
          <c:invertIfNegative val="0"/>
          <c:dLbls>
            <c:numFmt formatCode="#,##0.0" sourceLinked="0"/>
            <c:spPr>
              <a:noFill/>
              <a:ln w="23406">
                <a:noFill/>
              </a:ln>
            </c:spPr>
            <c:txPr>
              <a:bodyPr rot="0" spcFirstLastPara="1" vertOverflow="ellipsis" vert="horz" wrap="square" anchor="ctr" anchorCtr="1"/>
              <a:lstStyle/>
              <a:p>
                <a:pPr>
                  <a:defRPr sz="829" b="0" i="0" u="none" strike="noStrike" kern="1200" baseline="0">
                    <a:solidFill>
                      <a:schemeClr val="tx1">
                        <a:lumMod val="75000"/>
                        <a:lumOff val="25000"/>
                      </a:schemeClr>
                    </a:solidFill>
                    <a:latin typeface="PT Astra Serif" pitchFamily="18" charset="-52"/>
                    <a:ea typeface="PT Astra Serif" pitchFamily="18" charset="-52"/>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'инвестиции вэд'!$B$1:$F$1</c:f>
              <c:strCache>
                <c:ptCount val="5"/>
                <c:pt idx="0">
                  <c:v>2020 г.</c:v>
                </c:pt>
                <c:pt idx="1">
                  <c:v>2021 г.</c:v>
                </c:pt>
                <c:pt idx="2">
                  <c:v>2022 г.</c:v>
                </c:pt>
                <c:pt idx="3">
                  <c:v>2023 г.</c:v>
                </c:pt>
                <c:pt idx="4">
                  <c:v>2024 г.</c:v>
                </c:pt>
              </c:strCache>
            </c:strRef>
          </c:cat>
          <c:val>
            <c:numRef>
              <c:f>'инвестиции вэд'!$B$5:$F$5</c:f>
              <c:numCache>
                <c:formatCode>_-* #\ ##0_-;\-* #\ ##0_-;_-* "-"??_-;_-@_-</c:formatCode>
                <c:ptCount val="5"/>
                <c:pt idx="0">
                  <c:v>3.3289469999999994</c:v>
                </c:pt>
                <c:pt idx="1">
                  <c:v>2.5389409999999994</c:v>
                </c:pt>
                <c:pt idx="2">
                  <c:v>3.4444210000000002</c:v>
                </c:pt>
                <c:pt idx="3">
                  <c:v>7.0593599999999999</c:v>
                </c:pt>
                <c:pt idx="4">
                  <c:v>11.674754</c:v>
                </c:pt>
              </c:numCache>
            </c:numRef>
          </c:val>
        </c:ser>
        <c:ser>
          <c:idx val="4"/>
          <c:order val="3"/>
          <c:tx>
            <c:strRef>
              <c:f>'инвестиции вэд'!$A$6</c:f>
              <c:strCache>
                <c:ptCount val="1"/>
                <c:pt idx="0">
                  <c:v>Деятельность в области информации и связи</c:v>
                </c:pt>
              </c:strCache>
            </c:strRef>
          </c:tx>
          <c:spPr>
            <a:solidFill>
              <a:schemeClr val="accent2">
                <a:lumMod val="50000"/>
              </a:schemeClr>
            </a:solidFill>
            <a:ln>
              <a:noFill/>
            </a:ln>
            <a:effectLst/>
          </c:spPr>
          <c:invertIfNegative val="0"/>
          <c:dLbls>
            <c:numFmt formatCode="#,##0.0" sourceLinked="0"/>
            <c:spPr>
              <a:noFill/>
              <a:ln w="23406">
                <a:noFill/>
              </a:ln>
            </c:spPr>
            <c:txPr>
              <a:bodyPr rot="0" spcFirstLastPara="1" vertOverflow="ellipsis" vert="horz" wrap="square" anchor="ctr" anchorCtr="1"/>
              <a:lstStyle/>
              <a:p>
                <a:pPr>
                  <a:defRPr sz="829" b="0" i="0" u="none" strike="noStrike" kern="1200" baseline="0">
                    <a:solidFill>
                      <a:schemeClr val="bg1"/>
                    </a:solidFill>
                    <a:latin typeface="PT Astra Serif" pitchFamily="18" charset="-52"/>
                    <a:ea typeface="PT Astra Serif" pitchFamily="18" charset="-52"/>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'инвестиции вэд'!$B$1:$F$1</c:f>
              <c:strCache>
                <c:ptCount val="5"/>
                <c:pt idx="0">
                  <c:v>2020 г.</c:v>
                </c:pt>
                <c:pt idx="1">
                  <c:v>2021 г.</c:v>
                </c:pt>
                <c:pt idx="2">
                  <c:v>2022 г.</c:v>
                </c:pt>
                <c:pt idx="3">
                  <c:v>2023 г.</c:v>
                </c:pt>
                <c:pt idx="4">
                  <c:v>2024 г.</c:v>
                </c:pt>
              </c:strCache>
            </c:strRef>
          </c:cat>
          <c:val>
            <c:numRef>
              <c:f>'инвестиции вэд'!$B$6:$F$6</c:f>
              <c:numCache>
                <c:formatCode>_-* #\ ##0_-;\-* #\ ##0_-;_-* "-"??_-;_-@_-</c:formatCode>
                <c:ptCount val="5"/>
                <c:pt idx="0">
                  <c:v>3.8454709999999994</c:v>
                </c:pt>
                <c:pt idx="1">
                  <c:v>4.780647000000001</c:v>
                </c:pt>
                <c:pt idx="2">
                  <c:v>3.3133549999999996</c:v>
                </c:pt>
                <c:pt idx="3">
                  <c:v>3.189759</c:v>
                </c:pt>
                <c:pt idx="4">
                  <c:v>3.683656</c:v>
                </c:pt>
              </c:numCache>
            </c:numRef>
          </c:val>
        </c:ser>
        <c:ser>
          <c:idx val="5"/>
          <c:order val="4"/>
          <c:tx>
            <c:strRef>
              <c:f>'инвестиции вэд'!$A$7</c:f>
              <c:strCache>
                <c:ptCount val="1"/>
                <c:pt idx="0">
                  <c:v>Деятельность в области здравоохранения и социальных услуг</c:v>
                </c:pt>
              </c:strCache>
            </c:strRef>
          </c:tx>
          <c:spPr>
            <a:solidFill>
              <a:schemeClr val="accent2">
                <a:lumMod val="75000"/>
              </a:schemeClr>
            </a:solidFill>
            <a:ln>
              <a:noFill/>
            </a:ln>
            <a:effectLst/>
          </c:spPr>
          <c:invertIfNegative val="0"/>
          <c:dLbls>
            <c:numFmt formatCode="#,##0.0" sourceLinked="0"/>
            <c:spPr>
              <a:noFill/>
              <a:ln w="23406">
                <a:noFill/>
              </a:ln>
            </c:spPr>
            <c:txPr>
              <a:bodyPr rot="0" spcFirstLastPara="1" vertOverflow="ellipsis" vert="horz" wrap="square" anchor="ctr" anchorCtr="1"/>
              <a:lstStyle/>
              <a:p>
                <a:pPr>
                  <a:defRPr sz="829" b="0" i="0" u="none" strike="noStrike" kern="1200" baseline="0">
                    <a:solidFill>
                      <a:schemeClr val="tx1">
                        <a:lumMod val="75000"/>
                        <a:lumOff val="25000"/>
                      </a:schemeClr>
                    </a:solidFill>
                    <a:latin typeface="PT Astra Serif" pitchFamily="18" charset="-52"/>
                    <a:ea typeface="PT Astra Serif" pitchFamily="18" charset="-52"/>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'инвестиции вэд'!$B$1:$F$1</c:f>
              <c:strCache>
                <c:ptCount val="5"/>
                <c:pt idx="0">
                  <c:v>2020 г.</c:v>
                </c:pt>
                <c:pt idx="1">
                  <c:v>2021 г.</c:v>
                </c:pt>
                <c:pt idx="2">
                  <c:v>2022 г.</c:v>
                </c:pt>
                <c:pt idx="3">
                  <c:v>2023 г.</c:v>
                </c:pt>
                <c:pt idx="4">
                  <c:v>2024 г.</c:v>
                </c:pt>
              </c:strCache>
            </c:strRef>
          </c:cat>
          <c:val>
            <c:numRef>
              <c:f>'инвестиции вэд'!$B$7:$F$7</c:f>
              <c:numCache>
                <c:formatCode>_-* #\ ##0_-;\-* #\ ##0_-;_-* "-"??_-;_-@_-</c:formatCode>
                <c:ptCount val="5"/>
                <c:pt idx="0">
                  <c:v>4.0763630000000006</c:v>
                </c:pt>
                <c:pt idx="1">
                  <c:v>2.5613030000000001</c:v>
                </c:pt>
                <c:pt idx="2">
                  <c:v>3.3720709999999996</c:v>
                </c:pt>
                <c:pt idx="3">
                  <c:v>3.7683140000000006</c:v>
                </c:pt>
                <c:pt idx="4">
                  <c:v>2.8702999999999994</c:v>
                </c:pt>
              </c:numCache>
            </c:numRef>
          </c:val>
        </c:ser>
        <c:ser>
          <c:idx val="7"/>
          <c:order val="5"/>
          <c:tx>
            <c:strRef>
              <c:f>'инвестиции вэд'!$A$9</c:f>
              <c:strCache>
                <c:ptCount val="1"/>
                <c:pt idx="0">
                  <c:v>Деятельность по операциям с недвижимым имуществом</c:v>
                </c:pt>
              </c:strCache>
            </c:strRef>
          </c:tx>
          <c:spPr>
            <a:solidFill>
              <a:srgbClr val="E97132"/>
            </a:solidFill>
            <a:ln w="23406">
              <a:noFill/>
            </a:ln>
          </c:spPr>
          <c:invertIfNegative val="0"/>
          <c:dLbls>
            <c:dLbl>
              <c:idx val="1"/>
              <c:delete val="1"/>
              <c:extLst>
                <c:ext xmlns:c15="http://schemas.microsoft.com/office/drawing/2012/chart" uri="{CE6537A1-D6FC-4f65-9D91-7224C49458BB}"/>
              </c:extLst>
            </c:dLbl>
            <c:dLbl>
              <c:idx val="2"/>
              <c:delete val="1"/>
              <c:extLst>
                <c:ext xmlns:c15="http://schemas.microsoft.com/office/drawing/2012/chart" uri="{CE6537A1-D6FC-4f65-9D91-7224C49458BB}"/>
              </c:extLst>
            </c:dLbl>
            <c:dLbl>
              <c:idx val="3"/>
              <c:delete val="1"/>
              <c:extLst>
                <c:ext xmlns:c15="http://schemas.microsoft.com/office/drawing/2012/chart" uri="{CE6537A1-D6FC-4f65-9D91-7224C49458BB}"/>
              </c:extLst>
            </c:dLbl>
            <c:numFmt formatCode="#,##0.0" sourceLinked="0"/>
            <c:spPr>
              <a:noFill/>
              <a:ln w="23406">
                <a:noFill/>
              </a:ln>
            </c:spPr>
            <c:txPr>
              <a:bodyPr rot="0" spcFirstLastPara="1" vertOverflow="ellipsis" vert="horz" wrap="square" anchor="ctr" anchorCtr="1"/>
              <a:lstStyle/>
              <a:p>
                <a:pPr>
                  <a:defRPr sz="829" b="0" i="0" u="none" strike="noStrike" kern="1200" baseline="0">
                    <a:solidFill>
                      <a:schemeClr val="tx1">
                        <a:lumMod val="75000"/>
                        <a:lumOff val="25000"/>
                      </a:schemeClr>
                    </a:solidFill>
                    <a:latin typeface="PT Astra Serif" pitchFamily="18" charset="-52"/>
                    <a:ea typeface="PT Astra Serif" pitchFamily="18" charset="-52"/>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'инвестиции вэд'!$B$1:$F$1</c:f>
              <c:strCache>
                <c:ptCount val="5"/>
                <c:pt idx="0">
                  <c:v>2020 г.</c:v>
                </c:pt>
                <c:pt idx="1">
                  <c:v>2021 г.</c:v>
                </c:pt>
                <c:pt idx="2">
                  <c:v>2022 г.</c:v>
                </c:pt>
                <c:pt idx="3">
                  <c:v>2023 г.</c:v>
                </c:pt>
                <c:pt idx="4">
                  <c:v>2024 г.</c:v>
                </c:pt>
              </c:strCache>
            </c:strRef>
          </c:cat>
          <c:val>
            <c:numRef>
              <c:f>'инвестиции вэд'!$B$9:$F$9</c:f>
              <c:numCache>
                <c:formatCode>_-* #\ ##0_-;\-* #\ ##0_-;_-* "-"??_-;_-@_-</c:formatCode>
                <c:ptCount val="5"/>
                <c:pt idx="0">
                  <c:v>5.8312819999999999</c:v>
                </c:pt>
                <c:pt idx="1">
                  <c:v>0.93398999999999999</c:v>
                </c:pt>
                <c:pt idx="2">
                  <c:v>0.82664100000000007</c:v>
                </c:pt>
                <c:pt idx="3">
                  <c:v>0.37516100000000002</c:v>
                </c:pt>
                <c:pt idx="4">
                  <c:v>2.5487000000000002</c:v>
                </c:pt>
              </c:numCache>
            </c:numRef>
          </c:val>
        </c:ser>
        <c:ser>
          <c:idx val="19"/>
          <c:order val="6"/>
          <c:tx>
            <c:strRef>
              <c:f>'инвестиции вэд'!$A$21</c:f>
              <c:strCache>
                <c:ptCount val="1"/>
                <c:pt idx="0">
                  <c:v>Прочее</c:v>
                </c:pt>
              </c:strCache>
            </c:strRef>
          </c:tx>
          <c:spPr>
            <a:solidFill>
              <a:schemeClr val="bg2">
                <a:lumMod val="75000"/>
              </a:schemeClr>
            </a:solidFill>
            <a:ln>
              <a:noFill/>
            </a:ln>
            <a:effectLst/>
          </c:spPr>
          <c:invertIfNegative val="0"/>
          <c:dLbls>
            <c:numFmt formatCode="#,##0.0" sourceLinked="0"/>
            <c:spPr>
              <a:noFill/>
              <a:ln w="23406">
                <a:noFill/>
              </a:ln>
            </c:spPr>
            <c:txPr>
              <a:bodyPr rot="0" spcFirstLastPara="1" vertOverflow="ellipsis" vert="horz" wrap="square" anchor="ctr" anchorCtr="1"/>
              <a:lstStyle/>
              <a:p>
                <a:pPr>
                  <a:defRPr sz="829" b="0" i="0" u="none" strike="noStrike" kern="1200" baseline="0">
                    <a:solidFill>
                      <a:schemeClr val="tx1">
                        <a:lumMod val="75000"/>
                        <a:lumOff val="25000"/>
                      </a:schemeClr>
                    </a:solidFill>
                    <a:latin typeface="PT Astra Serif" pitchFamily="18" charset="-52"/>
                    <a:ea typeface="PT Astra Serif" pitchFamily="18" charset="-52"/>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'инвестиции вэд'!$B$1:$F$1</c:f>
              <c:strCache>
                <c:ptCount val="5"/>
                <c:pt idx="0">
                  <c:v>2020 г.</c:v>
                </c:pt>
                <c:pt idx="1">
                  <c:v>2021 г.</c:v>
                </c:pt>
                <c:pt idx="2">
                  <c:v>2022 г.</c:v>
                </c:pt>
                <c:pt idx="3">
                  <c:v>2023 г.</c:v>
                </c:pt>
                <c:pt idx="4">
                  <c:v>2024 г.</c:v>
                </c:pt>
              </c:strCache>
            </c:strRef>
          </c:cat>
          <c:val>
            <c:numRef>
              <c:f>'инвестиции вэд'!$B$21:$F$21</c:f>
              <c:numCache>
                <c:formatCode>_-* #\ ##0_-;\-* #\ ##0_-;_-* "-"??_-;_-@_-</c:formatCode>
                <c:ptCount val="5"/>
                <c:pt idx="0">
                  <c:v>8.3446300000000004</c:v>
                </c:pt>
                <c:pt idx="1">
                  <c:v>8.728258999999996</c:v>
                </c:pt>
                <c:pt idx="2">
                  <c:v>9.0315860000000008</c:v>
                </c:pt>
                <c:pt idx="3">
                  <c:v>11.430487022446002</c:v>
                </c:pt>
                <c:pt idx="4">
                  <c:v>12.380526000000003</c:v>
                </c:pt>
              </c:numCache>
            </c:numRef>
          </c:val>
        </c:ser>
        <c:dLbls>
          <c:showLegendKey val="0"/>
          <c:showVal val="0"/>
          <c:showCatName val="0"/>
          <c:showSerName val="0"/>
          <c:showPercent val="0"/>
          <c:showBubbleSize val="0"/>
        </c:dLbls>
        <c:gapWidth val="150"/>
        <c:overlap val="100"/>
        <c:axId val="510343664"/>
        <c:axId val="510344056"/>
      </c:barChart>
      <c:catAx>
        <c:axId val="510343664"/>
        <c:scaling>
          <c:orientation val="minMax"/>
        </c:scaling>
        <c:delete val="0"/>
        <c:axPos val="b"/>
        <c:numFmt formatCode="General" sourceLinked="1"/>
        <c:majorTickMark val="none"/>
        <c:minorTickMark val="none"/>
        <c:tickLblPos val="nextTo"/>
        <c:spPr>
          <a:noFill/>
          <a:ln w="8777" cap="flat" cmpd="sng" algn="ctr">
            <a:solidFill>
              <a:schemeClr val="tx1">
                <a:lumMod val="15000"/>
                <a:lumOff val="85000"/>
              </a:schemeClr>
            </a:solidFill>
            <a:round/>
          </a:ln>
          <a:effectLst/>
        </c:spPr>
        <c:txPr>
          <a:bodyPr rot="-60000000" spcFirstLastPara="1" vertOverflow="ellipsis" vert="horz" wrap="square" anchor="ctr" anchorCtr="1"/>
          <a:lstStyle/>
          <a:p>
            <a:pPr>
              <a:defRPr sz="829"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510344056"/>
        <c:crosses val="autoZero"/>
        <c:auto val="1"/>
        <c:lblAlgn val="ctr"/>
        <c:lblOffset val="100"/>
        <c:noMultiLvlLbl val="0"/>
      </c:catAx>
      <c:valAx>
        <c:axId val="510344056"/>
        <c:scaling>
          <c:orientation val="minMax"/>
        </c:scaling>
        <c:delete val="0"/>
        <c:axPos val="l"/>
        <c:majorGridlines>
          <c:spPr>
            <a:ln w="8777" cap="flat" cmpd="sng" algn="ctr">
              <a:solidFill>
                <a:schemeClr val="tx1">
                  <a:lumMod val="15000"/>
                  <a:lumOff val="85000"/>
                </a:schemeClr>
              </a:solidFill>
              <a:round/>
            </a:ln>
            <a:effectLst/>
          </c:spPr>
        </c:majorGridlines>
        <c:numFmt formatCode="_-* #\ ##0_-;\-* #\ ##0_-;_-* &quot;-&quot;??_-;_-@_-" sourceLinked="1"/>
        <c:majorTickMark val="none"/>
        <c:minorTickMark val="none"/>
        <c:tickLblPos val="nextTo"/>
        <c:spPr>
          <a:ln w="11703">
            <a:noFill/>
          </a:ln>
        </c:spPr>
        <c:txPr>
          <a:bodyPr rot="-60000000" spcFirstLastPara="1" vertOverflow="ellipsis" vert="horz" wrap="square" anchor="ctr" anchorCtr="1"/>
          <a:lstStyle/>
          <a:p>
            <a:pPr>
              <a:defRPr sz="829" b="0" i="0" u="none" strike="noStrike" kern="1200" baseline="0">
                <a:solidFill>
                  <a:schemeClr val="tx1">
                    <a:lumMod val="65000"/>
                    <a:lumOff val="35000"/>
                  </a:schemeClr>
                </a:solidFill>
                <a:latin typeface="PT Astra Serif" pitchFamily="18" charset="-52"/>
                <a:ea typeface="PT Astra Serif" pitchFamily="18" charset="-52"/>
                <a:cs typeface="Times New Roman" panose="02020603050405020304" pitchFamily="18" charset="0"/>
              </a:defRPr>
            </a:pPr>
            <a:endParaRPr lang="ru-RU"/>
          </a:p>
        </c:txPr>
        <c:crossAx val="510343664"/>
        <c:crosses val="autoZero"/>
        <c:crossBetween val="between"/>
      </c:valAx>
      <c:spPr>
        <a:noFill/>
        <a:ln w="23406">
          <a:noFill/>
        </a:ln>
      </c:spPr>
    </c:plotArea>
    <c:legend>
      <c:legendPos val="r"/>
      <c:layout>
        <c:manualLayout>
          <c:xMode val="edge"/>
          <c:yMode val="edge"/>
          <c:x val="0.64742568416732937"/>
          <c:y val="5.8035405148824486E-2"/>
          <c:w val="0.33974693717031307"/>
          <c:h val="0.94196459485117545"/>
        </c:manualLayout>
      </c:layout>
      <c:overlay val="0"/>
      <c:spPr>
        <a:noFill/>
        <a:ln w="23406">
          <a:noFill/>
        </a:ln>
      </c:spPr>
      <c:txPr>
        <a:bodyPr rot="0" spcFirstLastPara="1" vertOverflow="ellipsis" vert="horz" wrap="square" anchor="ctr" anchorCtr="1"/>
        <a:lstStyle/>
        <a:p>
          <a:pPr>
            <a:defRPr sz="829" b="0" i="0" u="none" strike="noStrike" kern="1200" baseline="0">
              <a:solidFill>
                <a:schemeClr val="tx1">
                  <a:lumMod val="65000"/>
                  <a:lumOff val="35000"/>
                </a:schemeClr>
              </a:solidFill>
              <a:latin typeface="PT Astra Serif" pitchFamily="18" charset="-52"/>
              <a:ea typeface="PT Astra Serif" pitchFamily="18" charset="-52"/>
              <a:cs typeface="Times New Roman" panose="02020603050405020304" pitchFamily="18" charset="0"/>
            </a:defRPr>
          </a:pPr>
          <a:endParaRPr lang="ru-RU"/>
        </a:p>
      </c:txPr>
    </c:legend>
    <c:plotVisOnly val="1"/>
    <c:dispBlanksAs val="gap"/>
    <c:showDLblsOverMax val="0"/>
  </c:chart>
  <c:spPr>
    <a:solidFill>
      <a:schemeClr val="bg1"/>
    </a:solid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3179999999999991E-2"/>
          <c:y val="0.17515"/>
          <c:w val="0.40571000000000002"/>
          <c:h val="0.65222000000000013"/>
        </c:manualLayout>
      </c:layout>
      <c:pieChart>
        <c:varyColors val="1"/>
        <c:ser>
          <c:idx val="0"/>
          <c:order val="0"/>
          <c:dPt>
            <c:idx val="0"/>
            <c:bubble3D val="0"/>
            <c:spPr bwMode="auto">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D042-4D8F-9A9D-496041C1E801}"/>
              </c:ext>
            </c:extLst>
          </c:dPt>
          <c:dPt>
            <c:idx val="1"/>
            <c:bubble3D val="0"/>
            <c:spPr bwMode="auto">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D042-4D8F-9A9D-496041C1E801}"/>
              </c:ext>
            </c:extLst>
          </c:dPt>
          <c:dPt>
            <c:idx val="2"/>
            <c:bubble3D val="0"/>
            <c:spPr bwMode="auto">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D042-4D8F-9A9D-496041C1E801}"/>
              </c:ext>
            </c:extLst>
          </c:dPt>
          <c:dPt>
            <c:idx val="3"/>
            <c:bubble3D val="0"/>
            <c:spPr bwMode="auto">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D042-4D8F-9A9D-496041C1E801}"/>
              </c:ext>
            </c:extLst>
          </c:dPt>
          <c:dPt>
            <c:idx val="4"/>
            <c:bubble3D val="0"/>
            <c:spPr bwMode="auto">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D042-4D8F-9A9D-496041C1E801}"/>
              </c:ext>
            </c:extLst>
          </c:dPt>
          <c:dPt>
            <c:idx val="5"/>
            <c:bubble3D val="0"/>
            <c:spPr bwMode="auto">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D042-4D8F-9A9D-496041C1E801}"/>
              </c:ext>
            </c:extLst>
          </c:dPt>
          <c:dPt>
            <c:idx val="6"/>
            <c:bubble3D val="0"/>
            <c:spPr bwMode="auto">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D042-4D8F-9A9D-496041C1E801}"/>
              </c:ext>
            </c:extLst>
          </c:dPt>
          <c:dPt>
            <c:idx val="7"/>
            <c:bubble3D val="0"/>
            <c:spPr bwMode="auto">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D042-4D8F-9A9D-496041C1E801}"/>
              </c:ext>
            </c:extLst>
          </c:dPt>
          <c:dPt>
            <c:idx val="8"/>
            <c:bubble3D val="0"/>
            <c:spPr bwMode="auto">
              <a:solidFill>
                <a:schemeClr val="accent3">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1-D042-4D8F-9A9D-496041C1E801}"/>
              </c:ext>
            </c:extLst>
          </c:dPt>
          <c:dPt>
            <c:idx val="9"/>
            <c:bubble3D val="0"/>
            <c:spPr bwMode="auto">
              <a:solidFill>
                <a:schemeClr val="accent4">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3-D042-4D8F-9A9D-496041C1E801}"/>
              </c:ext>
            </c:extLst>
          </c:dPt>
          <c:dPt>
            <c:idx val="10"/>
            <c:bubble3D val="0"/>
            <c:spPr bwMode="auto">
              <a:solidFill>
                <a:schemeClr val="accent5">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5-D042-4D8F-9A9D-496041C1E801}"/>
              </c:ext>
            </c:extLst>
          </c:dPt>
          <c:dPt>
            <c:idx val="11"/>
            <c:bubble3D val="0"/>
            <c:spPr bwMode="auto">
              <a:solidFill>
                <a:schemeClr val="accent6">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7-D042-4D8F-9A9D-496041C1E801}"/>
              </c:ext>
            </c:extLst>
          </c:dPt>
          <c:dPt>
            <c:idx val="12"/>
            <c:bubble3D val="0"/>
            <c:spPr bwMode="auto">
              <a:solidFill>
                <a:schemeClr val="accent1">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9-D042-4D8F-9A9D-496041C1E801}"/>
              </c:ext>
            </c:extLst>
          </c:dPt>
          <c:dPt>
            <c:idx val="13"/>
            <c:bubble3D val="0"/>
            <c:spPr bwMode="auto">
              <a:solidFill>
                <a:schemeClr val="accent2">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B-D042-4D8F-9A9D-496041C1E801}"/>
              </c:ext>
            </c:extLst>
          </c:dPt>
          <c:dPt>
            <c:idx val="14"/>
            <c:bubble3D val="0"/>
            <c:spPr bwMode="auto">
              <a:solidFill>
                <a:schemeClr val="accent3">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D-D042-4D8F-9A9D-496041C1E801}"/>
              </c:ext>
            </c:extLst>
          </c:dPt>
          <c:dLbls>
            <c:spPr>
              <a:noFill/>
              <a:ln w="6350">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75000"/>
                        <a:lumOff val="25000"/>
                      </a:schemeClr>
                    </a:solidFill>
                    <a:latin typeface="Times New Roman"/>
                    <a:ea typeface="+mn-ea"/>
                    <a:cs typeface="Times New Roman"/>
                  </a:defRPr>
                </a:pPr>
                <a:endParaRPr lang="ru-RU"/>
              </a:p>
            </c:txPr>
            <c:dLblPos val="outEnd"/>
            <c:showLegendKey val="0"/>
            <c:showVal val="0"/>
            <c:showCatName val="0"/>
            <c:showSerName val="0"/>
            <c:showPercent val="1"/>
            <c:showBubbleSize val="0"/>
            <c:showLeaderLines val="1"/>
            <c:leaderLines>
              <c:spPr bwMode="auto">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spPr xmlns:c15="http://schemas.microsoft.com/office/drawing/2012/chart">
                  <a:prstGeom prst="rect">
                    <a:avLst/>
                  </a:prstGeom>
                  <a:noFill/>
                  <a:ln>
                    <a:noFill/>
                  </a:ln>
                </c15:spPr>
                <c15:layout/>
              </c:ext>
            </c:extLst>
          </c:dLbls>
          <c:cat>
            <c:strRef>
              <c:f>МСП!$Y$3:$Y$17</c:f>
              <c:strCache>
                <c:ptCount val="15"/>
                <c:pt idx="0">
                  <c:v>Раздел G. Торговля оптовая и розничная; ремонт автотранспортных средств и мотоциклов</c:v>
                </c:pt>
                <c:pt idx="1">
                  <c:v>Раздел H. Транспортировка и хранение</c:v>
                </c:pt>
                <c:pt idx="2">
                  <c:v>Раздел F. Строительство</c:v>
                </c:pt>
                <c:pt idx="3">
                  <c:v>Раздел C. Обрабатывающие производства</c:v>
                </c:pt>
                <c:pt idx="4">
                  <c:v>Раздел M. Деятельность профессиональная, научная и техническая</c:v>
                </c:pt>
                <c:pt idx="5">
                  <c:v>Раздел L. Деятельность по операциям с недвижимым имуществом</c:v>
                </c:pt>
                <c:pt idx="6">
                  <c:v>Раздел N. Деятельность административная и сопутствующие дополнительные услуги</c:v>
                </c:pt>
                <c:pt idx="7">
                  <c:v>Раздел J. Деятельность в области информации и связи</c:v>
                </c:pt>
                <c:pt idx="8">
                  <c:v>Раздел S. Предоставление прочих видов услуг</c:v>
                </c:pt>
                <c:pt idx="9">
                  <c:v>Раздел I. Деятельность гостиниц и предприятий общественного питания</c:v>
                </c:pt>
                <c:pt idx="10">
                  <c:v>Раздел A. Сельское, лесное хозяйство, охота, рыболовство и рыбоводство</c:v>
                </c:pt>
                <c:pt idx="11">
                  <c:v>Раздел P. Образование</c:v>
                </c:pt>
                <c:pt idx="12">
                  <c:v>Раздел Q. Деятельность в области здравоохранения и социальных услуг</c:v>
                </c:pt>
                <c:pt idx="13">
                  <c:v>Раздел R. Деятельность в области культуры, спорта, организации досуга и развлечений</c:v>
                </c:pt>
                <c:pt idx="14">
                  <c:v>Прочее</c:v>
                </c:pt>
              </c:strCache>
            </c:strRef>
          </c:cat>
          <c:val>
            <c:numRef>
              <c:f>МСП!$Z$3:$Z$17</c:f>
              <c:numCache>
                <c:formatCode>General</c:formatCode>
                <c:ptCount val="15"/>
                <c:pt idx="0">
                  <c:v>14788</c:v>
                </c:pt>
                <c:pt idx="1">
                  <c:v>4110</c:v>
                </c:pt>
                <c:pt idx="2">
                  <c:v>3921</c:v>
                </c:pt>
                <c:pt idx="3">
                  <c:v>3697</c:v>
                </c:pt>
                <c:pt idx="4">
                  <c:v>3368</c:v>
                </c:pt>
                <c:pt idx="5">
                  <c:v>3149</c:v>
                </c:pt>
                <c:pt idx="6">
                  <c:v>1596</c:v>
                </c:pt>
                <c:pt idx="7">
                  <c:v>1375</c:v>
                </c:pt>
                <c:pt idx="8">
                  <c:v>1374</c:v>
                </c:pt>
                <c:pt idx="9">
                  <c:v>1314</c:v>
                </c:pt>
                <c:pt idx="10">
                  <c:v>549</c:v>
                </c:pt>
                <c:pt idx="11">
                  <c:v>529</c:v>
                </c:pt>
                <c:pt idx="12">
                  <c:v>525</c:v>
                </c:pt>
                <c:pt idx="13">
                  <c:v>480</c:v>
                </c:pt>
                <c:pt idx="14">
                  <c:v>318</c:v>
                </c:pt>
              </c:numCache>
            </c:numRef>
          </c:val>
          <c:extLst xmlns:c16r2="http://schemas.microsoft.com/office/drawing/2015/06/chart">
            <c:ext xmlns:c16="http://schemas.microsoft.com/office/drawing/2014/chart" uri="{C3380CC4-5D6E-409C-BE32-E72D297353CC}">
              <c16:uniqueId val="{0000001E-D042-4D8F-9A9D-496041C1E801}"/>
            </c:ext>
          </c:extLst>
        </c:ser>
        <c:dLbls>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52078000000000002"/>
          <c:y val="0"/>
          <c:w val="0.47921000000000002"/>
          <c:h val="0.99999000000000005"/>
        </c:manualLayout>
      </c:layout>
      <c:overlay val="0"/>
      <c:spPr>
        <a:noFill/>
        <a:ln>
          <a:noFill/>
        </a:ln>
        <a:effectLst/>
      </c:spPr>
      <c:txPr>
        <a:bodyPr rot="0" spcFirstLastPara="1" vertOverflow="ellipsis" vert="horz" wrap="square" anchor="ctr" anchorCtr="1"/>
        <a:lstStyle/>
        <a:p>
          <a:pPr>
            <a:defRPr sz="900" b="0" i="0" u="none" strike="noStrike" baseline="0">
              <a:solidFill>
                <a:schemeClr val="tx1">
                  <a:lumMod val="65000"/>
                  <a:lumOff val="35000"/>
                </a:schemeClr>
              </a:solidFill>
              <a:latin typeface="Times New Roman"/>
              <a:ea typeface="+mn-ea"/>
              <a:cs typeface="Times New Roman"/>
            </a:defRPr>
          </a:pPr>
          <a:endParaRPr lang="ru-RU"/>
        </a:p>
      </c:txPr>
    </c:legend>
    <c:plotVisOnly val="1"/>
    <c:dispBlanksAs val="zero"/>
    <c:showDLblsOverMax val="0"/>
  </c:chart>
  <c:spPr bwMode="auto">
    <a:solidFill>
      <a:schemeClr val="bg1"/>
    </a:solidFill>
    <a:ln w="9525" cap="flat" cmpd="sng" algn="ctr">
      <a:noFill/>
      <a:round/>
    </a:ln>
    <a:effectLst/>
  </c:spPr>
  <c:txPr>
    <a:bodyPr/>
    <a:lstStyle/>
    <a:p>
      <a:pPr>
        <a:defRPr>
          <a:latin typeface="Times New Roman"/>
          <a:cs typeface="Times New Roman"/>
        </a:defRPr>
      </a:pPr>
      <a:endParaRPr lang="ru-RU"/>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Лист2!$H$6</c:f>
              <c:strCache>
                <c:ptCount val="1"/>
                <c:pt idx="0">
                  <c:v>Юридическое лицо</c:v>
                </c:pt>
              </c:strCache>
            </c:strRef>
          </c:tx>
          <c:spPr>
            <a:solidFill>
              <a:srgbClr val="4F81BD"/>
            </a:solidFill>
            <a:ln w="25391">
              <a:noFill/>
            </a:ln>
          </c:spPr>
          <c:invertIfNegative val="0"/>
          <c:dLbls>
            <c:dLbl>
              <c:idx val="0"/>
              <c:spPr>
                <a:noFill/>
                <a:ln>
                  <a:noFill/>
                </a:ln>
              </c:spPr>
              <c:txPr>
                <a:bodyPr rot="0" spcFirstLastPara="1" vertOverflow="ellipsis" vert="horz" wrap="square" lIns="38099" tIns="19049" rIns="38099" bIns="19049" anchor="ctr" anchorCtr="1">
                  <a:spAutoFit/>
                </a:bodyPr>
                <a:lstStyle/>
                <a:p>
                  <a:pPr>
                    <a:defRPr sz="900" b="0" i="0" u="none" strike="noStrike">
                      <a:solidFill>
                        <a:schemeClr val="bg1"/>
                      </a:solidFill>
                      <a:latin typeface="Times New Roman"/>
                      <a:ea typeface="Times New Roman"/>
                      <a:cs typeface="Times New Roman"/>
                    </a:defRPr>
                  </a:pPr>
                  <a:endParaRPr lang="ru-RU"/>
                </a:p>
              </c:txPr>
              <c:dLblPos val="ct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Lst>
            </c:dLbl>
            <c:dLbl>
              <c:idx val="1"/>
              <c:spPr>
                <a:noFill/>
                <a:ln>
                  <a:noFill/>
                </a:ln>
              </c:spPr>
              <c:txPr>
                <a:bodyPr rot="0" spcFirstLastPara="1" vertOverflow="ellipsis" vert="horz" wrap="square" lIns="38099" tIns="19049" rIns="38099" bIns="19049" anchor="ctr" anchorCtr="1">
                  <a:spAutoFit/>
                </a:bodyPr>
                <a:lstStyle/>
                <a:p>
                  <a:pPr>
                    <a:defRPr sz="900" b="0" i="0" u="none" strike="noStrike">
                      <a:solidFill>
                        <a:schemeClr val="bg1"/>
                      </a:solidFill>
                      <a:latin typeface="Times New Roman"/>
                      <a:ea typeface="Times New Roman"/>
                      <a:cs typeface="Times New Roman"/>
                    </a:defRPr>
                  </a:pPr>
                  <a:endParaRPr lang="ru-RU"/>
                </a:p>
              </c:txPr>
              <c:dLblPos val="ct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Lst>
            </c:dLbl>
            <c:dLbl>
              <c:idx val="2"/>
              <c:layout>
                <c:manualLayout>
                  <c:x val="0"/>
                  <c:y val="1.72E-2"/>
                </c:manualLayout>
              </c:layout>
              <c:spPr>
                <a:ln>
                  <a:noFill/>
                </a:ln>
              </c:spPr>
              <c:txPr>
                <a:bodyPr/>
                <a:lstStyle/>
                <a:p>
                  <a:pPr>
                    <a:defRPr>
                      <a:latin typeface="Times New Roman"/>
                      <a:ea typeface="Times New Roman"/>
                      <a:cs typeface="Times New Roman"/>
                    </a:defRPr>
                  </a:pPr>
                  <a:endParaRPr lang="ru-RU"/>
                </a:p>
              </c:txPr>
              <c:dLblPos val="ctr"/>
              <c:showLegendKey val="0"/>
              <c:showVal val="1"/>
              <c:showCatName val="0"/>
              <c:showSerName val="0"/>
              <c:showPercent val="0"/>
              <c:showBubbleSize val="0"/>
              <c:extLst>
                <c:ext xmlns:c15="http://schemas.microsoft.com/office/drawing/2012/chart" uri="{CE6537A1-D6FC-4f65-9D91-7224C49458BB}">
                  <c15:layout/>
                </c:ext>
              </c:extLst>
            </c:dLbl>
            <c:spPr>
              <a:noFill/>
              <a:ln w="25391">
                <a:noFill/>
              </a:ln>
            </c:spPr>
            <c:txPr>
              <a:bodyPr rot="0" spcFirstLastPara="1" vertOverflow="ellipsis" vert="horz" wrap="square" lIns="38099" tIns="19049" rIns="38099" bIns="19049" anchor="ctr" anchorCtr="1">
                <a:spAutoFit/>
              </a:bodyPr>
              <a:lstStyle/>
              <a:p>
                <a:pPr>
                  <a:defRPr sz="900" b="0" i="0" u="none" strike="noStrike">
                    <a:solidFill>
                      <a:schemeClr val="tx1">
                        <a:lumMod val="75000"/>
                        <a:lumOff val="25000"/>
                      </a:schemeClr>
                    </a:solidFill>
                    <a:latin typeface="Times New Roman"/>
                    <a:ea typeface="Times New Roman"/>
                    <a:cs typeface="Times New Roman"/>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Лист2!$H$7:$H$9</c:f>
              <c:numCache>
                <c:formatCode>General</c:formatCode>
                <c:ptCount val="3"/>
                <c:pt idx="0">
                  <c:v>17088</c:v>
                </c:pt>
                <c:pt idx="1">
                  <c:v>1410</c:v>
                </c:pt>
                <c:pt idx="2">
                  <c:v>122</c:v>
                </c:pt>
              </c:numCache>
            </c:numRef>
          </c:val>
        </c:ser>
        <c:ser>
          <c:idx val="1"/>
          <c:order val="1"/>
          <c:tx>
            <c:strRef>
              <c:f>Лист2!$I$6</c:f>
              <c:strCache>
                <c:ptCount val="1"/>
                <c:pt idx="0">
                  <c:v>Индивидуальный предприниматель</c:v>
                </c:pt>
              </c:strCache>
            </c:strRef>
          </c:tx>
          <c:spPr>
            <a:solidFill>
              <a:srgbClr val="C0504D"/>
            </a:solidFill>
            <a:ln w="25391">
              <a:noFill/>
            </a:ln>
          </c:spPr>
          <c:invertIfNegative val="0"/>
          <c:dLbls>
            <c:dLbl>
              <c:idx val="0"/>
              <c:spPr>
                <a:noFill/>
                <a:ln>
                  <a:noFill/>
                </a:ln>
              </c:spPr>
              <c:txPr>
                <a:bodyPr rot="0" spcFirstLastPara="1" vertOverflow="ellipsis" vert="horz" wrap="square" lIns="38099" tIns="19049" rIns="38099" bIns="19049" anchor="ctr" anchorCtr="1">
                  <a:spAutoFit/>
                </a:bodyPr>
                <a:lstStyle/>
                <a:p>
                  <a:pPr>
                    <a:defRPr sz="900" b="0" i="0" u="none" strike="noStrike">
                      <a:solidFill>
                        <a:schemeClr val="bg1"/>
                      </a:solidFill>
                      <a:latin typeface="Times New Roman"/>
                      <a:ea typeface="Times New Roman"/>
                      <a:cs typeface="Times New Roman"/>
                    </a:defRPr>
                  </a:pPr>
                  <a:endParaRPr lang="ru-RU"/>
                </a:p>
              </c:txPr>
              <c:dLblPos val="ct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Lst>
            </c:dLbl>
            <c:dLbl>
              <c:idx val="1"/>
              <c:layout>
                <c:manualLayout>
                  <c:x val="0"/>
                  <c:y val="-3.0970000000000004E-2"/>
                </c:manualLayout>
              </c:layout>
              <c:spPr>
                <a:noFill/>
                <a:ln>
                  <a:noFill/>
                </a:ln>
              </c:spPr>
              <c:txPr>
                <a:bodyPr/>
                <a:lstStyle/>
                <a:p>
                  <a:pPr>
                    <a:defRPr>
                      <a:latin typeface="Times New Roman"/>
                      <a:ea typeface="Times New Roman"/>
                      <a:cs typeface="Times New Roman"/>
                    </a:defRPr>
                  </a:pPr>
                  <a:endParaRPr lang="ru-RU"/>
                </a:p>
              </c:txPr>
              <c:dLblPos val="ct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
                  <c:y val="-4.4740000000000009E-2"/>
                </c:manualLayout>
              </c:layout>
              <c:spPr>
                <a:noFill/>
                <a:ln>
                  <a:noFill/>
                </a:ln>
              </c:spPr>
              <c:txPr>
                <a:bodyPr/>
                <a:lstStyle/>
                <a:p>
                  <a:pPr>
                    <a:defRPr>
                      <a:latin typeface="Times New Roman"/>
                      <a:ea typeface="Times New Roman"/>
                      <a:cs typeface="Times New Roman"/>
                    </a:defRPr>
                  </a:pPr>
                  <a:endParaRPr lang="ru-RU"/>
                </a:p>
              </c:txPr>
              <c:dLblPos val="ctr"/>
              <c:showLegendKey val="0"/>
              <c:showVal val="1"/>
              <c:showCatName val="0"/>
              <c:showSerName val="0"/>
              <c:showPercent val="0"/>
              <c:showBubbleSize val="0"/>
              <c:extLst>
                <c:ext xmlns:c15="http://schemas.microsoft.com/office/drawing/2012/chart" uri="{CE6537A1-D6FC-4f65-9D91-7224C49458BB}">
                  <c15:layout/>
                </c:ext>
              </c:extLst>
            </c:dLbl>
            <c:spPr>
              <a:noFill/>
              <a:ln w="25391">
                <a:noFill/>
              </a:ln>
            </c:spPr>
            <c:txPr>
              <a:bodyPr rot="0" spcFirstLastPara="1" vertOverflow="ellipsis" vert="horz" wrap="square" lIns="38099" tIns="19049" rIns="38099" bIns="19049" anchor="ctr" anchorCtr="1">
                <a:spAutoFit/>
              </a:bodyPr>
              <a:lstStyle/>
              <a:p>
                <a:pPr>
                  <a:defRPr sz="900" b="0" i="0" u="none" strike="noStrike">
                    <a:solidFill>
                      <a:schemeClr val="tx1">
                        <a:lumMod val="75000"/>
                        <a:lumOff val="25000"/>
                      </a:schemeClr>
                    </a:solidFill>
                    <a:latin typeface="Times New Roman"/>
                    <a:ea typeface="Times New Roman"/>
                    <a:cs typeface="Times New Roman"/>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Лист2!$I$7:$I$9</c:f>
              <c:numCache>
                <c:formatCode>General</c:formatCode>
                <c:ptCount val="3"/>
                <c:pt idx="0">
                  <c:v>22519</c:v>
                </c:pt>
                <c:pt idx="1">
                  <c:v>195</c:v>
                </c:pt>
                <c:pt idx="2">
                  <c:v>5</c:v>
                </c:pt>
              </c:numCache>
            </c:numRef>
          </c:val>
        </c:ser>
        <c:dLbls>
          <c:showLegendKey val="0"/>
          <c:showVal val="0"/>
          <c:showCatName val="0"/>
          <c:showSerName val="0"/>
          <c:showPercent val="0"/>
          <c:showBubbleSize val="0"/>
        </c:dLbls>
        <c:gapWidth val="150"/>
        <c:overlap val="100"/>
        <c:axId val="510345232"/>
        <c:axId val="511271536"/>
      </c:barChart>
      <c:catAx>
        <c:axId val="510345232"/>
        <c:scaling>
          <c:orientation val="minMax"/>
        </c:scaling>
        <c:delete val="0"/>
        <c:axPos val="b"/>
        <c:numFmt formatCode="General" sourceLinked="1"/>
        <c:majorTickMark val="none"/>
        <c:minorTickMark val="none"/>
        <c:tickLblPos val="nextTo"/>
        <c:spPr>
          <a:noFill/>
          <a:ln w="9522"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a:solidFill>
                  <a:schemeClr val="tx1">
                    <a:lumMod val="65000"/>
                    <a:lumOff val="35000"/>
                  </a:schemeClr>
                </a:solidFill>
                <a:latin typeface="Times New Roman"/>
                <a:ea typeface="Times New Roman"/>
                <a:cs typeface="Times New Roman"/>
              </a:defRPr>
            </a:pPr>
            <a:endParaRPr lang="ru-RU"/>
          </a:p>
        </c:txPr>
        <c:crossAx val="511271536"/>
        <c:crosses val="autoZero"/>
        <c:auto val="1"/>
        <c:lblAlgn val="ctr"/>
        <c:lblOffset val="100"/>
        <c:noMultiLvlLbl val="0"/>
      </c:catAx>
      <c:valAx>
        <c:axId val="511271536"/>
        <c:scaling>
          <c:orientation val="minMax"/>
          <c:max val="40000"/>
        </c:scaling>
        <c:delete val="0"/>
        <c:axPos val="l"/>
        <c:majorGridlines>
          <c:spPr>
            <a:ln w="9522" cap="flat" cmpd="sng" algn="ctr">
              <a:solidFill>
                <a:schemeClr val="tx1">
                  <a:lumMod val="15000"/>
                  <a:lumOff val="85000"/>
                </a:schemeClr>
              </a:solidFill>
              <a:round/>
            </a:ln>
            <a:effectLst/>
          </c:spPr>
        </c:majorGridlines>
        <c:numFmt formatCode="General" sourceLinked="1"/>
        <c:majorTickMark val="none"/>
        <c:minorTickMark val="none"/>
        <c:tickLblPos val="nextTo"/>
        <c:spPr>
          <a:ln w="6348">
            <a:noFill/>
          </a:ln>
        </c:spPr>
        <c:txPr>
          <a:bodyPr rot="-60000000" spcFirstLastPara="1" vertOverflow="ellipsis" vert="horz" wrap="square" anchor="ctr" anchorCtr="1"/>
          <a:lstStyle/>
          <a:p>
            <a:pPr>
              <a:defRPr sz="900" b="0" i="0" u="none" strike="noStrike">
                <a:solidFill>
                  <a:schemeClr val="tx1">
                    <a:lumMod val="65000"/>
                    <a:lumOff val="35000"/>
                  </a:schemeClr>
                </a:solidFill>
                <a:latin typeface="Times New Roman"/>
                <a:ea typeface="Times New Roman"/>
                <a:cs typeface="Times New Roman"/>
              </a:defRPr>
            </a:pPr>
            <a:endParaRPr lang="ru-RU"/>
          </a:p>
        </c:txPr>
        <c:crossAx val="510345232"/>
        <c:crosses val="autoZero"/>
        <c:crossBetween val="between"/>
      </c:valAx>
      <c:spPr>
        <a:noFill/>
        <a:ln w="25391">
          <a:noFill/>
        </a:ln>
      </c:spPr>
    </c:plotArea>
    <c:legend>
      <c:legendPos val="b"/>
      <c:layout/>
      <c:overlay val="0"/>
      <c:spPr>
        <a:noFill/>
        <a:ln w="25391">
          <a:noFill/>
        </a:ln>
      </c:spPr>
      <c:txPr>
        <a:bodyPr rot="0" spcFirstLastPara="1" vertOverflow="ellipsis" vert="horz" wrap="square" anchor="ctr" anchorCtr="1"/>
        <a:lstStyle/>
        <a:p>
          <a:pPr>
            <a:defRPr sz="900" b="0" i="0" u="none" strike="noStrike">
              <a:solidFill>
                <a:schemeClr val="tx1">
                  <a:lumMod val="65000"/>
                  <a:lumOff val="35000"/>
                </a:schemeClr>
              </a:solidFill>
              <a:latin typeface="Times New Roman"/>
              <a:ea typeface="Times New Roman"/>
              <a:cs typeface="Times New Roman"/>
            </a:defRPr>
          </a:pPr>
          <a:endParaRPr lang="ru-RU"/>
        </a:p>
      </c:txPr>
    </c:legend>
    <c:plotVisOnly val="1"/>
    <c:dispBlanksAs val="gap"/>
    <c:showDLblsOverMax val="0"/>
  </c:chart>
  <c:spPr>
    <a:solidFill>
      <a:schemeClr val="bg1"/>
    </a:solidFill>
    <a:ln>
      <a:noFill/>
    </a:ln>
    <a:effectLst/>
  </c:spPr>
  <c:txPr>
    <a:bodyPr/>
    <a:lstStyle/>
    <a:p>
      <a:pPr>
        <a:defRPr>
          <a:latin typeface="Times New Roman"/>
          <a:ea typeface="Times New Roman"/>
          <a:cs typeface="Times New Roman"/>
        </a:defRPr>
      </a:pPr>
      <a:endParaRPr lang="ru-RU"/>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6F94C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a:solidFill>
                      <a:schemeClr val="tx1">
                        <a:lumMod val="75000"/>
                        <a:lumOff val="25000"/>
                      </a:schemeClr>
                    </a:solidFill>
                    <a:latin typeface="Times New Roman"/>
                    <a:ea typeface="+mn-ea"/>
                    <a:cs typeface="Times New Roman"/>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layout/>
                <c15:showLeaderLines val="0"/>
              </c:ext>
            </c:extLst>
          </c:dLbls>
          <c:cat>
            <c:strRef>
              <c:f>МСП!$B$105:$B$106</c:f>
              <c:strCache>
                <c:ptCount val="2"/>
                <c:pt idx="0">
                  <c:v>Юридическое лицо</c:v>
                </c:pt>
                <c:pt idx="1">
                  <c:v>Индивидуальный предприниматель</c:v>
                </c:pt>
              </c:strCache>
            </c:strRef>
          </c:cat>
          <c:val>
            <c:numRef>
              <c:f>МСП!$C$105:$C$106</c:f>
              <c:numCache>
                <c:formatCode>General</c:formatCode>
                <c:ptCount val="2"/>
                <c:pt idx="0">
                  <c:v>18620</c:v>
                </c:pt>
                <c:pt idx="1">
                  <c:v>22719</c:v>
                </c:pt>
              </c:numCache>
            </c:numRef>
          </c:val>
          <c:extLst xmlns:c16r2="http://schemas.microsoft.com/office/drawing/2015/06/chart">
            <c:ext xmlns:c16="http://schemas.microsoft.com/office/drawing/2014/chart" uri="{C3380CC4-5D6E-409C-BE32-E72D297353CC}">
              <c16:uniqueId val="{00000000-283D-47BA-858A-9D97625D9944}"/>
            </c:ext>
          </c:extLst>
        </c:ser>
        <c:dLbls>
          <c:showLegendKey val="0"/>
          <c:showVal val="1"/>
          <c:showCatName val="0"/>
          <c:showSerName val="0"/>
          <c:showPercent val="0"/>
          <c:showBubbleSize val="0"/>
        </c:dLbls>
        <c:gapWidth val="219"/>
        <c:overlap val="-27"/>
        <c:axId val="511272320"/>
        <c:axId val="511272712"/>
      </c:barChart>
      <c:catAx>
        <c:axId val="511272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a:solidFill>
                  <a:schemeClr val="tx1">
                    <a:lumMod val="65000"/>
                    <a:lumOff val="35000"/>
                  </a:schemeClr>
                </a:solidFill>
                <a:latin typeface="Times New Roman"/>
                <a:ea typeface="+mn-ea"/>
                <a:cs typeface="Times New Roman"/>
              </a:defRPr>
            </a:pPr>
            <a:endParaRPr lang="ru-RU"/>
          </a:p>
        </c:txPr>
        <c:crossAx val="511272712"/>
        <c:crosses val="autoZero"/>
        <c:auto val="1"/>
        <c:lblAlgn val="ctr"/>
        <c:lblOffset val="100"/>
        <c:noMultiLvlLbl val="0"/>
      </c:catAx>
      <c:valAx>
        <c:axId val="5112727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a:solidFill>
                  <a:schemeClr val="tx1">
                    <a:lumMod val="65000"/>
                    <a:lumOff val="35000"/>
                  </a:schemeClr>
                </a:solidFill>
                <a:latin typeface="Times New Roman"/>
                <a:ea typeface="+mn-ea"/>
                <a:cs typeface="Times New Roman"/>
              </a:defRPr>
            </a:pPr>
            <a:endParaRPr lang="ru-RU"/>
          </a:p>
        </c:txPr>
        <c:crossAx val="51127232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Times New Roman"/>
          <a:cs typeface="Times New Roman"/>
        </a:defRPr>
      </a:pPr>
      <a:endParaRPr lang="ru-RU"/>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'Потребительский рынок'!$S$5</c:f>
              <c:strCache>
                <c:ptCount val="1"/>
                <c:pt idx="0">
                  <c:v>Объем платных услуг по крупным и средним организациям, тыс. руб. на душу в ценах 2024 г. </c:v>
                </c:pt>
              </c:strCache>
            </c:strRef>
          </c:tx>
          <c:spPr>
            <a:ln w="26670" cap="rnd">
              <a:solidFill>
                <a:srgbClr val="002060"/>
              </a:solidFill>
              <a:round/>
            </a:ln>
            <a:effectLst/>
          </c:spPr>
          <c:marker>
            <c:symbol val="none"/>
          </c:marker>
          <c:dLbls>
            <c:spPr>
              <a:noFill/>
              <a:ln w="23707">
                <a:noFill/>
              </a:ln>
            </c:spPr>
            <c:txPr>
              <a:bodyPr rot="0" spcFirstLastPara="1" vertOverflow="ellipsis" vert="horz" wrap="square" anchor="ctr" anchorCtr="1"/>
              <a:lstStyle/>
              <a:p>
                <a:pPr>
                  <a:defRPr sz="840" b="0" i="0" u="none" strike="noStrike" baseline="0">
                    <a:solidFill>
                      <a:schemeClr val="tx1">
                        <a:lumMod val="75000"/>
                        <a:lumOff val="25000"/>
                      </a:schemeClr>
                    </a:solidFill>
                    <a:latin typeface="PT Astra Serif" pitchFamily="18" charset="-52"/>
                    <a:ea typeface="PT Astra Serif" pitchFamily="18" charset="-52"/>
                    <a:cs typeface="Times New Roman"/>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'Потребительский рынок'!$T$4:$AF$4</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'Потребительский рынок'!$T$5:$AF$5</c:f>
              <c:numCache>
                <c:formatCode>General</c:formatCode>
                <c:ptCount val="13"/>
                <c:pt idx="0">
                  <c:v>81</c:v>
                </c:pt>
                <c:pt idx="1">
                  <c:v>82</c:v>
                </c:pt>
                <c:pt idx="2">
                  <c:v>77</c:v>
                </c:pt>
                <c:pt idx="3">
                  <c:v>67</c:v>
                </c:pt>
                <c:pt idx="4">
                  <c:v>65</c:v>
                </c:pt>
                <c:pt idx="5">
                  <c:v>70</c:v>
                </c:pt>
                <c:pt idx="6">
                  <c:v>73</c:v>
                </c:pt>
                <c:pt idx="7">
                  <c:v>76</c:v>
                </c:pt>
                <c:pt idx="8">
                  <c:v>70</c:v>
                </c:pt>
                <c:pt idx="9">
                  <c:v>84</c:v>
                </c:pt>
                <c:pt idx="10">
                  <c:v>81</c:v>
                </c:pt>
                <c:pt idx="11">
                  <c:v>85</c:v>
                </c:pt>
                <c:pt idx="12">
                  <c:v>83</c:v>
                </c:pt>
              </c:numCache>
            </c:numRef>
          </c:val>
          <c:smooth val="0"/>
        </c:ser>
        <c:dLbls>
          <c:showLegendKey val="0"/>
          <c:showVal val="1"/>
          <c:showCatName val="0"/>
          <c:showSerName val="0"/>
          <c:showPercent val="0"/>
          <c:showBubbleSize val="0"/>
        </c:dLbls>
        <c:smooth val="0"/>
        <c:axId val="511273496"/>
        <c:axId val="511273888"/>
      </c:lineChart>
      <c:catAx>
        <c:axId val="511273496"/>
        <c:scaling>
          <c:orientation val="minMax"/>
        </c:scaling>
        <c:delete val="0"/>
        <c:axPos val="b"/>
        <c:numFmt formatCode="General" sourceLinked="1"/>
        <c:majorTickMark val="none"/>
        <c:minorTickMark val="none"/>
        <c:tickLblPos val="nextTo"/>
        <c:spPr>
          <a:noFill/>
          <a:ln w="8890" cap="flat" cmpd="sng" algn="ctr">
            <a:solidFill>
              <a:schemeClr val="tx1">
                <a:lumMod val="15000"/>
                <a:lumOff val="85000"/>
              </a:schemeClr>
            </a:solidFill>
            <a:round/>
          </a:ln>
          <a:effectLst/>
        </c:spPr>
        <c:txPr>
          <a:bodyPr rot="-60000000" spcFirstLastPara="1" vertOverflow="ellipsis" vert="horz" wrap="square" anchor="ctr" anchorCtr="1"/>
          <a:lstStyle/>
          <a:p>
            <a:pPr>
              <a:defRPr sz="840" b="0" i="0" u="none" strike="noStrike" baseline="0">
                <a:solidFill>
                  <a:schemeClr val="tx1">
                    <a:lumMod val="65000"/>
                    <a:lumOff val="35000"/>
                  </a:schemeClr>
                </a:solidFill>
                <a:latin typeface="PT Astra Serif" pitchFamily="18" charset="-52"/>
                <a:ea typeface="PT Astra Serif" pitchFamily="18" charset="-52"/>
                <a:cs typeface="Times New Roman"/>
              </a:defRPr>
            </a:pPr>
            <a:endParaRPr lang="ru-RU"/>
          </a:p>
        </c:txPr>
        <c:crossAx val="511273888"/>
        <c:crosses val="autoZero"/>
        <c:auto val="1"/>
        <c:lblAlgn val="ctr"/>
        <c:lblOffset val="100"/>
        <c:noMultiLvlLbl val="0"/>
      </c:catAx>
      <c:valAx>
        <c:axId val="511273888"/>
        <c:scaling>
          <c:orientation val="minMax"/>
        </c:scaling>
        <c:delete val="0"/>
        <c:axPos val="l"/>
        <c:majorGridlines>
          <c:spPr>
            <a:ln w="8890" cap="flat" cmpd="sng" algn="ctr">
              <a:solidFill>
                <a:schemeClr val="tx1">
                  <a:lumMod val="15000"/>
                  <a:lumOff val="85000"/>
                </a:schemeClr>
              </a:solidFill>
              <a:round/>
            </a:ln>
            <a:effectLst/>
          </c:spPr>
        </c:majorGridlines>
        <c:numFmt formatCode="General" sourceLinked="1"/>
        <c:majorTickMark val="none"/>
        <c:minorTickMark val="none"/>
        <c:tickLblPos val="nextTo"/>
        <c:spPr>
          <a:ln w="11854">
            <a:noFill/>
          </a:ln>
        </c:spPr>
        <c:txPr>
          <a:bodyPr rot="-60000000" spcFirstLastPara="1" vertOverflow="ellipsis" vert="horz" wrap="square" anchor="ctr" anchorCtr="1"/>
          <a:lstStyle/>
          <a:p>
            <a:pPr>
              <a:defRPr sz="840" b="0" i="0" u="none" strike="noStrike" baseline="0">
                <a:solidFill>
                  <a:schemeClr val="tx1">
                    <a:lumMod val="65000"/>
                    <a:lumOff val="35000"/>
                  </a:schemeClr>
                </a:solidFill>
                <a:latin typeface="PT Astra Serif" pitchFamily="18" charset="-52"/>
                <a:ea typeface="PT Astra Serif" pitchFamily="18" charset="-52"/>
                <a:cs typeface="Times New Roman"/>
              </a:defRPr>
            </a:pPr>
            <a:endParaRPr lang="ru-RU"/>
          </a:p>
        </c:txPr>
        <c:crossAx val="511273496"/>
        <c:crosses val="autoZero"/>
        <c:crossBetween val="between"/>
      </c:valAx>
      <c:spPr>
        <a:noFill/>
        <a:ln w="23707">
          <a:noFill/>
        </a:ln>
      </c:spPr>
    </c:plotArea>
    <c:plotVisOnly val="1"/>
    <c:dispBlanksAs val="gap"/>
    <c:showDLblsOverMax val="0"/>
  </c:chart>
  <c:spPr>
    <a:solidFill>
      <a:schemeClr val="bg1"/>
    </a:solidFill>
    <a:ln>
      <a:noFill/>
    </a:ln>
    <a:effectLst/>
  </c:spPr>
  <c:txPr>
    <a:bodyPr/>
    <a:lstStyle/>
    <a:p>
      <a:pPr>
        <a:defRPr>
          <a:latin typeface="Times New Roman"/>
          <a:cs typeface="Times New Roman"/>
        </a:defRPr>
      </a:pPr>
      <a:endParaRPr lang="ru-RU"/>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'Потребительский рынок'!$S$26</c:f>
              <c:strCache>
                <c:ptCount val="1"/>
                <c:pt idx="0">
                  <c:v>Оборот розничной торговли по крупным и средним организациям, тыс. руб. на душу в ценах 2024 г. </c:v>
                </c:pt>
              </c:strCache>
            </c:strRef>
          </c:tx>
          <c:spPr>
            <a:ln w="26089" cap="rnd">
              <a:solidFill>
                <a:srgbClr val="002060"/>
              </a:solidFill>
              <a:round/>
            </a:ln>
            <a:effectLst/>
          </c:spPr>
          <c:marker>
            <c:symbol val="none"/>
          </c:marker>
          <c:dLbls>
            <c:spPr>
              <a:noFill/>
              <a:ln w="23191">
                <a:noFill/>
              </a:ln>
            </c:spPr>
            <c:txPr>
              <a:bodyPr rot="0" vert="horz"/>
              <a:lstStyle/>
              <a:p>
                <a:pPr>
                  <a:defRPr>
                    <a:latin typeface="PT Astra Serif" pitchFamily="18" charset="-52"/>
                    <a:ea typeface="PT Astra Serif" pitchFamily="18" charset="-52"/>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'Потребительский рынок'!$T$25:$AF$25</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'Потребительский рынок'!$T$26:$AF$26</c:f>
              <c:numCache>
                <c:formatCode>General</c:formatCode>
                <c:ptCount val="13"/>
                <c:pt idx="0">
                  <c:v>171</c:v>
                </c:pt>
                <c:pt idx="1">
                  <c:v>194</c:v>
                </c:pt>
                <c:pt idx="2">
                  <c:v>182</c:v>
                </c:pt>
                <c:pt idx="3">
                  <c:v>154</c:v>
                </c:pt>
                <c:pt idx="4">
                  <c:v>154</c:v>
                </c:pt>
                <c:pt idx="5">
                  <c:v>177</c:v>
                </c:pt>
                <c:pt idx="6">
                  <c:v>192</c:v>
                </c:pt>
                <c:pt idx="7">
                  <c:v>193</c:v>
                </c:pt>
                <c:pt idx="8">
                  <c:v>201</c:v>
                </c:pt>
                <c:pt idx="9">
                  <c:v>218</c:v>
                </c:pt>
                <c:pt idx="10">
                  <c:v>223</c:v>
                </c:pt>
                <c:pt idx="11">
                  <c:v>229</c:v>
                </c:pt>
                <c:pt idx="12">
                  <c:v>254</c:v>
                </c:pt>
              </c:numCache>
            </c:numRef>
          </c:val>
          <c:smooth val="0"/>
        </c:ser>
        <c:dLbls>
          <c:showLegendKey val="0"/>
          <c:showVal val="1"/>
          <c:showCatName val="0"/>
          <c:showSerName val="0"/>
          <c:showPercent val="0"/>
          <c:showBubbleSize val="0"/>
        </c:dLbls>
        <c:smooth val="0"/>
        <c:axId val="511274672"/>
        <c:axId val="511275064"/>
      </c:lineChart>
      <c:catAx>
        <c:axId val="511274672"/>
        <c:scaling>
          <c:orientation val="minMax"/>
        </c:scaling>
        <c:delete val="0"/>
        <c:axPos val="b"/>
        <c:numFmt formatCode="General" sourceLinked="1"/>
        <c:majorTickMark val="none"/>
        <c:minorTickMark val="none"/>
        <c:tickLblPos val="nextTo"/>
        <c:spPr>
          <a:noFill/>
          <a:ln w="8696" cap="flat" cmpd="sng" algn="ctr">
            <a:solidFill>
              <a:schemeClr val="tx1">
                <a:lumMod val="15000"/>
                <a:lumOff val="85000"/>
              </a:schemeClr>
            </a:solidFill>
            <a:round/>
          </a:ln>
          <a:effectLst/>
        </c:spPr>
        <c:txPr>
          <a:bodyPr rot="-60000000" vert="horz"/>
          <a:lstStyle/>
          <a:p>
            <a:pPr>
              <a:defRPr>
                <a:latin typeface="PT Astra Serif" pitchFamily="18" charset="-52"/>
                <a:ea typeface="PT Astra Serif" pitchFamily="18" charset="-52"/>
              </a:defRPr>
            </a:pPr>
            <a:endParaRPr lang="ru-RU"/>
          </a:p>
        </c:txPr>
        <c:crossAx val="511275064"/>
        <c:crosses val="autoZero"/>
        <c:auto val="1"/>
        <c:lblAlgn val="ctr"/>
        <c:lblOffset val="100"/>
        <c:noMultiLvlLbl val="0"/>
      </c:catAx>
      <c:valAx>
        <c:axId val="511275064"/>
        <c:scaling>
          <c:orientation val="minMax"/>
        </c:scaling>
        <c:delete val="0"/>
        <c:axPos val="l"/>
        <c:majorGridlines>
          <c:spPr>
            <a:ln w="8696" cap="flat" cmpd="sng" algn="ctr">
              <a:solidFill>
                <a:schemeClr val="tx1">
                  <a:lumMod val="15000"/>
                  <a:lumOff val="85000"/>
                </a:schemeClr>
              </a:solidFill>
              <a:round/>
            </a:ln>
            <a:effectLst/>
          </c:spPr>
        </c:majorGridlines>
        <c:numFmt formatCode="General" sourceLinked="1"/>
        <c:majorTickMark val="none"/>
        <c:minorTickMark val="none"/>
        <c:tickLblPos val="nextTo"/>
        <c:spPr>
          <a:ln w="11595">
            <a:noFill/>
          </a:ln>
        </c:spPr>
        <c:txPr>
          <a:bodyPr rot="-60000000" vert="horz"/>
          <a:lstStyle/>
          <a:p>
            <a:pPr>
              <a:defRPr>
                <a:latin typeface="PT Astra Serif" pitchFamily="18" charset="-52"/>
                <a:ea typeface="PT Astra Serif" pitchFamily="18" charset="-52"/>
              </a:defRPr>
            </a:pPr>
            <a:endParaRPr lang="ru-RU"/>
          </a:p>
        </c:txPr>
        <c:crossAx val="511274672"/>
        <c:crosses val="autoZero"/>
        <c:crossBetween val="between"/>
      </c:valAx>
      <c:spPr>
        <a:noFill/>
        <a:ln w="23191">
          <a:noFill/>
        </a:ln>
      </c:spPr>
    </c:plotArea>
    <c:plotVisOnly val="1"/>
    <c:dispBlanksAs val="gap"/>
    <c:showDLblsOverMax val="0"/>
  </c:chart>
  <c:spPr>
    <a:solidFill>
      <a:schemeClr val="bg1"/>
    </a:solidFill>
    <a:ln>
      <a:noFill/>
    </a:ln>
    <a:effectLst/>
  </c:spPr>
  <c:txPr>
    <a:bodyPr/>
    <a:lstStyle/>
    <a:p>
      <a:pPr>
        <a:defRPr sz="822">
          <a:solidFill>
            <a:sysClr val="windowText" lastClr="000000"/>
          </a:solidFill>
          <a:latin typeface="Times New Roman"/>
          <a:cs typeface="Times New Roman"/>
        </a:defRPr>
      </a:pPr>
      <a:endParaRPr lang="ru-RU"/>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'Потребительский рынок'!$S$47</c:f>
              <c:strCache>
                <c:ptCount val="1"/>
                <c:pt idx="0">
                  <c:v>Оборот общественного питания по крупным и средним организациям, тыс. руб. на душу в ценах 2024 г. </c:v>
                </c:pt>
              </c:strCache>
            </c:strRef>
          </c:tx>
          <c:spPr>
            <a:ln w="26465" cap="rnd">
              <a:solidFill>
                <a:srgbClr val="002060"/>
              </a:solidFill>
              <a:round/>
            </a:ln>
            <a:effectLst/>
          </c:spPr>
          <c:marker>
            <c:symbol val="none"/>
          </c:marker>
          <c:dLbls>
            <c:spPr>
              <a:noFill/>
              <a:ln w="23525">
                <a:noFill/>
              </a:ln>
            </c:spPr>
            <c:txPr>
              <a:bodyPr rot="0" vert="horz"/>
              <a:lstStyle/>
              <a:p>
                <a:pPr>
                  <a:defRPr>
                    <a:latin typeface="PT Astra Serif" pitchFamily="18" charset="-52"/>
                    <a:ea typeface="PT Astra Serif" pitchFamily="18" charset="-52"/>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'Потребительский рынок'!$T$46:$AF$46</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'Потребительский рынок'!$T$47:$AF$47</c:f>
              <c:numCache>
                <c:formatCode>General</c:formatCode>
                <c:ptCount val="13"/>
                <c:pt idx="0">
                  <c:v>1.6</c:v>
                </c:pt>
                <c:pt idx="1">
                  <c:v>1.7</c:v>
                </c:pt>
                <c:pt idx="2">
                  <c:v>1.4</c:v>
                </c:pt>
                <c:pt idx="3">
                  <c:v>1.5</c:v>
                </c:pt>
                <c:pt idx="4">
                  <c:v>1.5</c:v>
                </c:pt>
                <c:pt idx="5">
                  <c:v>1.8</c:v>
                </c:pt>
                <c:pt idx="6">
                  <c:v>2</c:v>
                </c:pt>
                <c:pt idx="7">
                  <c:v>2.1</c:v>
                </c:pt>
                <c:pt idx="8">
                  <c:v>1.7</c:v>
                </c:pt>
                <c:pt idx="9">
                  <c:v>2.4</c:v>
                </c:pt>
                <c:pt idx="10">
                  <c:v>2.5</c:v>
                </c:pt>
                <c:pt idx="11">
                  <c:v>2.9</c:v>
                </c:pt>
                <c:pt idx="12">
                  <c:v>3.3</c:v>
                </c:pt>
              </c:numCache>
            </c:numRef>
          </c:val>
          <c:smooth val="0"/>
        </c:ser>
        <c:dLbls>
          <c:showLegendKey val="0"/>
          <c:showVal val="1"/>
          <c:showCatName val="0"/>
          <c:showSerName val="0"/>
          <c:showPercent val="0"/>
          <c:showBubbleSize val="0"/>
        </c:dLbls>
        <c:smooth val="0"/>
        <c:axId val="511681536"/>
        <c:axId val="511681928"/>
      </c:lineChart>
      <c:catAx>
        <c:axId val="511681536"/>
        <c:scaling>
          <c:orientation val="minMax"/>
        </c:scaling>
        <c:delete val="0"/>
        <c:axPos val="b"/>
        <c:numFmt formatCode="General" sourceLinked="1"/>
        <c:majorTickMark val="none"/>
        <c:minorTickMark val="none"/>
        <c:tickLblPos val="nextTo"/>
        <c:spPr>
          <a:noFill/>
          <a:ln w="8822" cap="flat" cmpd="sng" algn="ctr">
            <a:solidFill>
              <a:schemeClr val="tx1">
                <a:lumMod val="15000"/>
                <a:lumOff val="85000"/>
              </a:schemeClr>
            </a:solidFill>
            <a:round/>
          </a:ln>
          <a:effectLst/>
        </c:spPr>
        <c:txPr>
          <a:bodyPr rot="-60000000" vert="horz"/>
          <a:lstStyle/>
          <a:p>
            <a:pPr>
              <a:defRPr>
                <a:latin typeface="PT Astra Serif" pitchFamily="18" charset="-52"/>
                <a:ea typeface="PT Astra Serif" pitchFamily="18" charset="-52"/>
              </a:defRPr>
            </a:pPr>
            <a:endParaRPr lang="ru-RU"/>
          </a:p>
        </c:txPr>
        <c:crossAx val="511681928"/>
        <c:crosses val="autoZero"/>
        <c:auto val="1"/>
        <c:lblAlgn val="ctr"/>
        <c:lblOffset val="100"/>
        <c:noMultiLvlLbl val="0"/>
      </c:catAx>
      <c:valAx>
        <c:axId val="511681928"/>
        <c:scaling>
          <c:orientation val="minMax"/>
        </c:scaling>
        <c:delete val="0"/>
        <c:axPos val="l"/>
        <c:majorGridlines>
          <c:spPr>
            <a:ln w="8822" cap="flat" cmpd="sng" algn="ctr">
              <a:solidFill>
                <a:schemeClr val="tx1">
                  <a:lumMod val="15000"/>
                  <a:lumOff val="85000"/>
                </a:schemeClr>
              </a:solidFill>
              <a:round/>
            </a:ln>
            <a:effectLst/>
          </c:spPr>
        </c:majorGridlines>
        <c:numFmt formatCode="General" sourceLinked="1"/>
        <c:majorTickMark val="none"/>
        <c:minorTickMark val="none"/>
        <c:tickLblPos val="nextTo"/>
        <c:spPr>
          <a:ln w="11762">
            <a:noFill/>
          </a:ln>
        </c:spPr>
        <c:txPr>
          <a:bodyPr rot="-60000000" vert="horz"/>
          <a:lstStyle/>
          <a:p>
            <a:pPr>
              <a:defRPr>
                <a:latin typeface="PT Astra Serif" pitchFamily="18" charset="-52"/>
                <a:ea typeface="PT Astra Serif" pitchFamily="18" charset="-52"/>
              </a:defRPr>
            </a:pPr>
            <a:endParaRPr lang="ru-RU"/>
          </a:p>
        </c:txPr>
        <c:crossAx val="511681536"/>
        <c:crosses val="autoZero"/>
        <c:crossBetween val="between"/>
      </c:valAx>
      <c:spPr>
        <a:noFill/>
        <a:ln w="23525">
          <a:noFill/>
        </a:ln>
      </c:spPr>
    </c:plotArea>
    <c:plotVisOnly val="1"/>
    <c:dispBlanksAs val="gap"/>
    <c:showDLblsOverMax val="0"/>
  </c:chart>
  <c:spPr>
    <a:solidFill>
      <a:schemeClr val="bg1"/>
    </a:solidFill>
    <a:ln>
      <a:noFill/>
    </a:ln>
    <a:effectLst/>
  </c:spPr>
  <c:txPr>
    <a:bodyPr/>
    <a:lstStyle/>
    <a:p>
      <a:pPr>
        <a:defRPr sz="834">
          <a:solidFill>
            <a:sysClr val="windowText" lastClr="000000"/>
          </a:solidFill>
          <a:latin typeface="Times New Roman"/>
          <a:cs typeface="Times New Roman"/>
        </a:defRPr>
      </a:pPr>
      <a:endParaRPr lang="ru-RU"/>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Туризм!$B$3</c:f>
              <c:strCache>
                <c:ptCount val="1"/>
                <c:pt idx="0">
                  <c:v>Туристский поток, тыс. чел.</c:v>
                </c:pt>
              </c:strCache>
            </c:strRef>
          </c:tx>
          <c:spPr>
            <a:ln w="25927" cap="rnd">
              <a:solidFill>
                <a:srgbClr val="002060"/>
              </a:solidFill>
              <a:round/>
            </a:ln>
            <a:effectLst/>
          </c:spPr>
          <c:marker>
            <c:symbol val="none"/>
          </c:marker>
          <c:dLbls>
            <c:dLbl>
              <c:idx val="2"/>
              <c:layout>
                <c:manualLayout>
                  <c:x val="-5.2111254666122382E-2"/>
                  <c:y val="-7.0118200950687701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2.9128892293059837E-2"/>
                  <c:y val="-0.12196151892303803"/>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w="23046">
                <a:noFill/>
              </a:ln>
            </c:spPr>
            <c:txPr>
              <a:bodyPr rot="0" vert="horz"/>
              <a:lstStyle/>
              <a:p>
                <a:pPr>
                  <a:defRPr>
                    <a:latin typeface="PT Astra Serif" pitchFamily="18" charset="-52"/>
                    <a:ea typeface="PT Astra Serif" pitchFamily="18" charset="-52"/>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Туризм!$C$2:$M$2</c:f>
              <c:strCache>
                <c:ptCount val="11"/>
                <c:pt idx="0">
                  <c:v>2014 г.</c:v>
                </c:pt>
                <c:pt idx="1">
                  <c:v>2015 г.</c:v>
                </c:pt>
                <c:pt idx="2">
                  <c:v>2016 г.</c:v>
                </c:pt>
                <c:pt idx="3">
                  <c:v>2017 г.</c:v>
                </c:pt>
                <c:pt idx="4">
                  <c:v>2018 г.</c:v>
                </c:pt>
                <c:pt idx="5">
                  <c:v>2019 г.</c:v>
                </c:pt>
                <c:pt idx="6">
                  <c:v>2020 г.</c:v>
                </c:pt>
                <c:pt idx="7">
                  <c:v>2021 г.</c:v>
                </c:pt>
                <c:pt idx="8">
                  <c:v>2022 г.</c:v>
                </c:pt>
                <c:pt idx="9">
                  <c:v>2023 г.</c:v>
                </c:pt>
                <c:pt idx="10">
                  <c:v>2024 г.</c:v>
                </c:pt>
              </c:strCache>
            </c:strRef>
          </c:cat>
          <c:val>
            <c:numRef>
              <c:f>Туризм!$C$3:$M$3</c:f>
              <c:numCache>
                <c:formatCode>General</c:formatCode>
                <c:ptCount val="11"/>
                <c:pt idx="0">
                  <c:v>83.2</c:v>
                </c:pt>
                <c:pt idx="1">
                  <c:v>86.2</c:v>
                </c:pt>
                <c:pt idx="2">
                  <c:v>88.7</c:v>
                </c:pt>
                <c:pt idx="3">
                  <c:v>419.1</c:v>
                </c:pt>
                <c:pt idx="4">
                  <c:v>426.2</c:v>
                </c:pt>
                <c:pt idx="5">
                  <c:v>450.2</c:v>
                </c:pt>
                <c:pt idx="6">
                  <c:v>111.1</c:v>
                </c:pt>
                <c:pt idx="7">
                  <c:v>238.4</c:v>
                </c:pt>
                <c:pt idx="8">
                  <c:v>294.60000000000002</c:v>
                </c:pt>
                <c:pt idx="9">
                  <c:v>294.60000000000002</c:v>
                </c:pt>
                <c:pt idx="10">
                  <c:v>336.4</c:v>
                </c:pt>
              </c:numCache>
            </c:numRef>
          </c:val>
          <c:smooth val="0"/>
        </c:ser>
        <c:dLbls>
          <c:showLegendKey val="0"/>
          <c:showVal val="1"/>
          <c:showCatName val="0"/>
          <c:showSerName val="0"/>
          <c:showPercent val="0"/>
          <c:showBubbleSize val="0"/>
        </c:dLbls>
        <c:smooth val="0"/>
        <c:axId val="511682712"/>
        <c:axId val="511683104"/>
      </c:lineChart>
      <c:catAx>
        <c:axId val="511682712"/>
        <c:scaling>
          <c:orientation val="minMax"/>
        </c:scaling>
        <c:delete val="0"/>
        <c:axPos val="b"/>
        <c:numFmt formatCode="General" sourceLinked="1"/>
        <c:majorTickMark val="none"/>
        <c:minorTickMark val="none"/>
        <c:tickLblPos val="nextTo"/>
        <c:spPr>
          <a:noFill/>
          <a:ln w="8642" cap="flat" cmpd="sng" algn="ctr">
            <a:solidFill>
              <a:schemeClr val="tx1">
                <a:lumMod val="15000"/>
                <a:lumOff val="85000"/>
              </a:schemeClr>
            </a:solidFill>
            <a:round/>
          </a:ln>
          <a:effectLst/>
        </c:spPr>
        <c:txPr>
          <a:bodyPr rot="-60000000" vert="horz"/>
          <a:lstStyle/>
          <a:p>
            <a:pPr>
              <a:defRPr>
                <a:latin typeface="PT Astra Serif" pitchFamily="18" charset="-52"/>
                <a:ea typeface="PT Astra Serif" pitchFamily="18" charset="-52"/>
              </a:defRPr>
            </a:pPr>
            <a:endParaRPr lang="ru-RU"/>
          </a:p>
        </c:txPr>
        <c:crossAx val="511683104"/>
        <c:crosses val="autoZero"/>
        <c:auto val="1"/>
        <c:lblAlgn val="ctr"/>
        <c:lblOffset val="100"/>
        <c:noMultiLvlLbl val="0"/>
      </c:catAx>
      <c:valAx>
        <c:axId val="511683104"/>
        <c:scaling>
          <c:orientation val="minMax"/>
        </c:scaling>
        <c:delete val="0"/>
        <c:axPos val="l"/>
        <c:majorGridlines>
          <c:spPr>
            <a:ln w="8642" cap="flat" cmpd="sng" algn="ctr">
              <a:solidFill>
                <a:schemeClr val="tx1">
                  <a:lumMod val="15000"/>
                  <a:lumOff val="85000"/>
                </a:schemeClr>
              </a:solidFill>
              <a:round/>
            </a:ln>
            <a:effectLst/>
          </c:spPr>
        </c:majorGridlines>
        <c:numFmt formatCode="General" sourceLinked="1"/>
        <c:majorTickMark val="none"/>
        <c:minorTickMark val="none"/>
        <c:tickLblPos val="nextTo"/>
        <c:spPr>
          <a:ln w="11523">
            <a:noFill/>
          </a:ln>
        </c:spPr>
        <c:txPr>
          <a:bodyPr rot="-60000000" vert="horz"/>
          <a:lstStyle/>
          <a:p>
            <a:pPr>
              <a:defRPr>
                <a:latin typeface="PT Astra Serif" pitchFamily="18" charset="-52"/>
                <a:ea typeface="PT Astra Serif" pitchFamily="18" charset="-52"/>
              </a:defRPr>
            </a:pPr>
            <a:endParaRPr lang="ru-RU"/>
          </a:p>
        </c:txPr>
        <c:crossAx val="511682712"/>
        <c:crosses val="autoZero"/>
        <c:crossBetween val="between"/>
      </c:valAx>
      <c:spPr>
        <a:noFill/>
        <a:ln w="23046">
          <a:noFill/>
        </a:ln>
      </c:spPr>
    </c:plotArea>
    <c:plotVisOnly val="1"/>
    <c:dispBlanksAs val="gap"/>
    <c:showDLblsOverMax val="0"/>
  </c:chart>
  <c:spPr>
    <a:solidFill>
      <a:schemeClr val="bg1"/>
    </a:solidFill>
    <a:ln>
      <a:noFill/>
    </a:ln>
    <a:effectLst/>
  </c:spPr>
  <c:txPr>
    <a:bodyPr/>
    <a:lstStyle/>
    <a:p>
      <a:pPr>
        <a:defRPr sz="817">
          <a:solidFill>
            <a:sysClr val="windowText" lastClr="000000"/>
          </a:solidFill>
          <a:latin typeface="Times New Roman"/>
          <a:cs typeface="Times New Roman"/>
        </a:defRPr>
      </a:pPr>
      <a:endParaRPr lang="ru-RU"/>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w="25994" cap="rnd">
              <a:solidFill>
                <a:srgbClr val="002060"/>
              </a:solidFill>
              <a:round/>
            </a:ln>
            <a:effectLst/>
          </c:spPr>
          <c:marker>
            <c:symbol val="none"/>
          </c:marker>
          <c:dLbls>
            <c:dLbl>
              <c:idx val="1"/>
              <c:layout>
                <c:manualLayout>
                  <c:x val="-2.8151548321033878E-2"/>
                  <c:y val="2.8990075639663375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1.3094685986272029E-2"/>
                  <c:y val="-6.1601820268417908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1.9508368508987173E-2"/>
                  <c:y val="-5.1480362778539179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10"/>
              <c:layout>
                <c:manualLayout>
                  <c:x val="-3.61236459792302E-2"/>
                  <c:y val="-4.9827637969140727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numFmt formatCode="#,##0.0" sourceLinked="0"/>
            <c:spPr>
              <a:noFill/>
              <a:ln w="23106">
                <a:noFill/>
              </a:ln>
            </c:spPr>
            <c:txPr>
              <a:bodyPr rot="0" spcFirstLastPara="1" vertOverflow="ellipsis" vert="horz" wrap="square" anchor="ctr" anchorCtr="1"/>
              <a:lstStyle/>
              <a:p>
                <a:pPr>
                  <a:defRPr sz="819"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'Строительство 45-46'!$D$9:$O$9</c:f>
              <c:strCache>
                <c:ptCount val="12"/>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strCache>
            </c:strRef>
          </c:cat>
          <c:val>
            <c:numRef>
              <c:f>'Строительство 45-46'!$D$14:$O$14</c:f>
              <c:numCache>
                <c:formatCode>0.00</c:formatCode>
                <c:ptCount val="12"/>
                <c:pt idx="0">
                  <c:v>8.3751000000000033</c:v>
                </c:pt>
                <c:pt idx="1">
                  <c:v>7.1911000000000005</c:v>
                </c:pt>
                <c:pt idx="2">
                  <c:v>8.2993000000000006</c:v>
                </c:pt>
                <c:pt idx="3">
                  <c:v>8.6129000000000016</c:v>
                </c:pt>
                <c:pt idx="4">
                  <c:v>6.1256999999999993</c:v>
                </c:pt>
                <c:pt idx="5">
                  <c:v>4.2652999999999999</c:v>
                </c:pt>
                <c:pt idx="6">
                  <c:v>4.5011999999999999</c:v>
                </c:pt>
                <c:pt idx="7">
                  <c:v>5.2631000000000006</c:v>
                </c:pt>
                <c:pt idx="8">
                  <c:v>5.7307000000000006</c:v>
                </c:pt>
                <c:pt idx="9">
                  <c:v>4.8872</c:v>
                </c:pt>
                <c:pt idx="10">
                  <c:v>4.2008999999999999</c:v>
                </c:pt>
                <c:pt idx="11">
                  <c:v>5.4705000000000004</c:v>
                </c:pt>
              </c:numCache>
            </c:numRef>
          </c:val>
          <c:smooth val="0"/>
        </c:ser>
        <c:dLbls>
          <c:showLegendKey val="0"/>
          <c:showVal val="0"/>
          <c:showCatName val="0"/>
          <c:showSerName val="0"/>
          <c:showPercent val="0"/>
          <c:showBubbleSize val="0"/>
        </c:dLbls>
        <c:smooth val="0"/>
        <c:axId val="511684280"/>
        <c:axId val="511684672"/>
      </c:lineChart>
      <c:catAx>
        <c:axId val="511684280"/>
        <c:scaling>
          <c:orientation val="minMax"/>
        </c:scaling>
        <c:delete val="0"/>
        <c:axPos val="b"/>
        <c:numFmt formatCode="General" sourceLinked="1"/>
        <c:majorTickMark val="none"/>
        <c:minorTickMark val="none"/>
        <c:tickLblPos val="nextTo"/>
        <c:spPr>
          <a:noFill/>
          <a:ln w="8665" cap="flat" cmpd="sng" algn="ctr">
            <a:solidFill>
              <a:schemeClr val="tx1">
                <a:lumMod val="15000"/>
                <a:lumOff val="85000"/>
              </a:schemeClr>
            </a:solidFill>
            <a:round/>
          </a:ln>
          <a:effectLst/>
        </c:spPr>
        <c:txPr>
          <a:bodyPr rot="-60000000" spcFirstLastPara="1" vertOverflow="ellipsis" vert="horz" wrap="square" anchor="ctr" anchorCtr="1"/>
          <a:lstStyle/>
          <a:p>
            <a:pPr>
              <a:defRPr sz="819"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511684672"/>
        <c:crosses val="autoZero"/>
        <c:auto val="1"/>
        <c:lblAlgn val="ctr"/>
        <c:lblOffset val="100"/>
        <c:noMultiLvlLbl val="0"/>
      </c:catAx>
      <c:valAx>
        <c:axId val="511684672"/>
        <c:scaling>
          <c:orientation val="minMax"/>
          <c:min val="4"/>
        </c:scaling>
        <c:delete val="0"/>
        <c:axPos val="l"/>
        <c:majorGridlines>
          <c:spPr>
            <a:ln w="8665" cap="flat" cmpd="sng" algn="ctr">
              <a:solidFill>
                <a:schemeClr val="tx1">
                  <a:lumMod val="15000"/>
                  <a:lumOff val="85000"/>
                </a:schemeClr>
              </a:solidFill>
              <a:round/>
            </a:ln>
            <a:effectLst/>
          </c:spPr>
        </c:majorGridlines>
        <c:numFmt formatCode="0" sourceLinked="0"/>
        <c:majorTickMark val="none"/>
        <c:minorTickMark val="none"/>
        <c:tickLblPos val="nextTo"/>
        <c:spPr>
          <a:ln w="5777">
            <a:noFill/>
          </a:ln>
        </c:spPr>
        <c:txPr>
          <a:bodyPr rot="-60000000" spcFirstLastPara="1" vertOverflow="ellipsis" vert="horz" wrap="square" anchor="ctr" anchorCtr="1"/>
          <a:lstStyle/>
          <a:p>
            <a:pPr>
              <a:defRPr sz="819"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511684280"/>
        <c:crosses val="autoZero"/>
        <c:crossBetween val="between"/>
        <c:majorUnit val="1"/>
      </c:valAx>
      <c:spPr>
        <a:noFill/>
        <a:ln w="23106">
          <a:noFill/>
        </a:ln>
      </c:spPr>
    </c:plotArea>
    <c:plotVisOnly val="1"/>
    <c:dispBlanksAs val="gap"/>
    <c:showDLblsOverMax val="0"/>
  </c:chart>
  <c:spPr>
    <a:solidFill>
      <a:schemeClr val="bg1"/>
    </a:solid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1"/>
          <c:order val="0"/>
          <c:tx>
            <c:strRef>
              <c:f>Лист3!$A$28</c:f>
              <c:strCache>
                <c:ptCount val="1"/>
                <c:pt idx="0">
                  <c:v>г. Барнаул</c:v>
                </c:pt>
              </c:strCache>
            </c:strRef>
          </c:tx>
          <c:spPr>
            <a:ln w="28519" cap="rnd">
              <a:solidFill>
                <a:srgbClr val="C0504D"/>
              </a:solidFill>
              <a:round/>
            </a:ln>
            <a:effectLst/>
          </c:spPr>
          <c:marker>
            <c:symbol val="none"/>
          </c:marker>
          <c:dLbls>
            <c:dLbl>
              <c:idx val="0"/>
              <c:layout/>
              <c:dLblPos val="b"/>
              <c:showLegendKey val="0"/>
              <c:showVal val="1"/>
              <c:showCatName val="0"/>
              <c:showSerName val="0"/>
              <c:showPercent val="0"/>
              <c:showBubbleSize val="0"/>
              <c:extLst>
                <c:ext xmlns:c15="http://schemas.microsoft.com/office/drawing/2012/chart" uri="{CE6537A1-D6FC-4f65-9D91-7224C49458BB}">
                  <c15:layout/>
                </c:ext>
              </c:extLst>
            </c:dLbl>
            <c:dLbl>
              <c:idx val="1"/>
              <c:layout/>
              <c:dLblPos val="b"/>
              <c:showLegendKey val="0"/>
              <c:showVal val="1"/>
              <c:showCatName val="0"/>
              <c:showSerName val="0"/>
              <c:showPercent val="0"/>
              <c:showBubbleSize val="0"/>
              <c:extLst>
                <c:ext xmlns:c15="http://schemas.microsoft.com/office/drawing/2012/chart" uri="{CE6537A1-D6FC-4f65-9D91-7224C49458BB}">
                  <c15:layout/>
                </c:ext>
              </c:extLst>
            </c:dLbl>
            <c:dLbl>
              <c:idx val="2"/>
              <c:layout/>
              <c:dLblPos val="b"/>
              <c:showLegendKey val="0"/>
              <c:showVal val="1"/>
              <c:showCatName val="0"/>
              <c:showSerName val="0"/>
              <c:showPercent val="0"/>
              <c:showBubbleSize val="0"/>
              <c:extLst>
                <c:ext xmlns:c15="http://schemas.microsoft.com/office/drawing/2012/chart" uri="{CE6537A1-D6FC-4f65-9D91-7224C49458BB}">
                  <c15:layout/>
                </c:ext>
              </c:extLst>
            </c:dLbl>
            <c:spPr>
              <a:noFill/>
              <a:ln w="25351">
                <a:noFill/>
              </a:ln>
            </c:spPr>
            <c:txPr>
              <a:bodyPr rot="0" vert="horz"/>
              <a:lstStyle/>
              <a:p>
                <a:pPr>
                  <a:defRPr>
                    <a:latin typeface="PT Astra Serif" pitchFamily="18" charset="-52"/>
                    <a:ea typeface="PT Astra Serif" pitchFamily="18" charset="-52"/>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Лист3!$C$27:$O$27</c:f>
              <c:strCache>
                <c:ptCount val="13"/>
                <c:pt idx="0">
                  <c:v>2012 г. </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Лист3!$C$28:$O$28</c:f>
              <c:numCache>
                <c:formatCode>0.0</c:formatCode>
                <c:ptCount val="13"/>
                <c:pt idx="0">
                  <c:v>12.670732880085559</c:v>
                </c:pt>
                <c:pt idx="1">
                  <c:v>13.017708814028611</c:v>
                </c:pt>
                <c:pt idx="2">
                  <c:v>12.865976544246861</c:v>
                </c:pt>
                <c:pt idx="3">
                  <c:v>13.713905277046175</c:v>
                </c:pt>
                <c:pt idx="4">
                  <c:v>13.269707009503186</c:v>
                </c:pt>
                <c:pt idx="5">
                  <c:v>11.951794095816584</c:v>
                </c:pt>
                <c:pt idx="6">
                  <c:v>10.791658680954093</c:v>
                </c:pt>
                <c:pt idx="7">
                  <c:v>9.8283659355064614</c:v>
                </c:pt>
                <c:pt idx="8">
                  <c:v>9.2781032454690262</c:v>
                </c:pt>
                <c:pt idx="9">
                  <c:v>9.1692080640605091</c:v>
                </c:pt>
                <c:pt idx="10">
                  <c:v>8.3876157872957346</c:v>
                </c:pt>
                <c:pt idx="11">
                  <c:v>8.0349618829247262</c:v>
                </c:pt>
                <c:pt idx="12">
                  <c:v>7.9118349862941448</c:v>
                </c:pt>
              </c:numCache>
            </c:numRef>
          </c:val>
          <c:smooth val="0"/>
        </c:ser>
        <c:ser>
          <c:idx val="2"/>
          <c:order val="1"/>
          <c:tx>
            <c:strRef>
              <c:f>Лист3!$A$29</c:f>
              <c:strCache>
                <c:ptCount val="1"/>
                <c:pt idx="0">
                  <c:v>Алтайский край</c:v>
                </c:pt>
              </c:strCache>
            </c:strRef>
          </c:tx>
          <c:spPr>
            <a:ln w="28519" cap="rnd">
              <a:solidFill>
                <a:srgbClr val="6F94C0"/>
              </a:solidFill>
              <a:round/>
            </a:ln>
            <a:effectLst/>
          </c:spPr>
          <c:marker>
            <c:symbol val="none"/>
          </c:marker>
          <c:dLbls>
            <c:dLbl>
              <c:idx val="0"/>
              <c:layout/>
              <c:dLblPos val="t"/>
              <c:showLegendKey val="0"/>
              <c:showVal val="1"/>
              <c:showCatName val="0"/>
              <c:showSerName val="0"/>
              <c:showPercent val="0"/>
              <c:showBubbleSize val="0"/>
              <c:extLst>
                <c:ext xmlns:c15="http://schemas.microsoft.com/office/drawing/2012/chart" uri="{CE6537A1-D6FC-4f65-9D91-7224C49458BB}">
                  <c15:layout/>
                </c:ext>
              </c:extLst>
            </c:dLbl>
            <c:dLbl>
              <c:idx val="1"/>
              <c:layout/>
              <c:dLblPos val="t"/>
              <c:showLegendKey val="0"/>
              <c:showVal val="1"/>
              <c:showCatName val="0"/>
              <c:showSerName val="0"/>
              <c:showPercent val="0"/>
              <c:showBubbleSize val="0"/>
              <c:extLst>
                <c:ext xmlns:c15="http://schemas.microsoft.com/office/drawing/2012/chart" uri="{CE6537A1-D6FC-4f65-9D91-7224C49458BB}">
                  <c15:layout/>
                </c:ext>
              </c:extLst>
            </c:dLbl>
            <c:dLbl>
              <c:idx val="2"/>
              <c:layout/>
              <c:dLblPos val="t"/>
              <c:showLegendKey val="0"/>
              <c:showVal val="1"/>
              <c:showCatName val="0"/>
              <c:showSerName val="0"/>
              <c:showPercent val="0"/>
              <c:showBubbleSize val="0"/>
              <c:extLst>
                <c:ext xmlns:c15="http://schemas.microsoft.com/office/drawing/2012/chart" uri="{CE6537A1-D6FC-4f65-9D91-7224C49458BB}">
                  <c15:layout/>
                </c:ext>
              </c:extLst>
            </c:dLbl>
            <c:spPr>
              <a:noFill/>
              <a:ln w="25351">
                <a:noFill/>
              </a:ln>
            </c:spPr>
            <c:txPr>
              <a:bodyPr rot="0" vert="horz"/>
              <a:lstStyle/>
              <a:p>
                <a:pPr>
                  <a:defRPr>
                    <a:latin typeface="PT Astra Serif" pitchFamily="18" charset="-52"/>
                    <a:ea typeface="PT Astra Serif" pitchFamily="18" charset="-52"/>
                  </a:defRPr>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Лист3!$C$27:$O$27</c:f>
              <c:strCache>
                <c:ptCount val="13"/>
                <c:pt idx="0">
                  <c:v>2012 г. </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Лист3!$C$29:$O$29</c:f>
              <c:numCache>
                <c:formatCode>0.0</c:formatCode>
                <c:ptCount val="13"/>
                <c:pt idx="0">
                  <c:v>13.8</c:v>
                </c:pt>
                <c:pt idx="1">
                  <c:v>13.6</c:v>
                </c:pt>
                <c:pt idx="2">
                  <c:v>13.4</c:v>
                </c:pt>
                <c:pt idx="3">
                  <c:v>12.9</c:v>
                </c:pt>
                <c:pt idx="4">
                  <c:v>12.4</c:v>
                </c:pt>
                <c:pt idx="5">
                  <c:v>11.2</c:v>
                </c:pt>
                <c:pt idx="6">
                  <c:v>10.3</c:v>
                </c:pt>
                <c:pt idx="7">
                  <c:v>9.4</c:v>
                </c:pt>
                <c:pt idx="8">
                  <c:v>9</c:v>
                </c:pt>
                <c:pt idx="9">
                  <c:v>8.6999999999999993</c:v>
                </c:pt>
                <c:pt idx="10">
                  <c:v>8.1999999999999993</c:v>
                </c:pt>
                <c:pt idx="11">
                  <c:v>7.8</c:v>
                </c:pt>
                <c:pt idx="12">
                  <c:v>7.3</c:v>
                </c:pt>
              </c:numCache>
            </c:numRef>
          </c:val>
          <c:smooth val="0"/>
        </c:ser>
        <c:ser>
          <c:idx val="3"/>
          <c:order val="2"/>
          <c:tx>
            <c:strRef>
              <c:f>Лист3!$A$30</c:f>
              <c:strCache>
                <c:ptCount val="1"/>
                <c:pt idx="0">
                  <c:v>Россия</c:v>
                </c:pt>
              </c:strCache>
            </c:strRef>
          </c:tx>
          <c:spPr>
            <a:ln w="28519" cap="rnd">
              <a:solidFill>
                <a:srgbClr val="002060"/>
              </a:solidFill>
              <a:round/>
            </a:ln>
            <a:effectLst/>
          </c:spPr>
          <c:marker>
            <c:symbol val="none"/>
          </c:marker>
          <c:cat>
            <c:strRef>
              <c:f>Лист3!$C$27:$O$27</c:f>
              <c:strCache>
                <c:ptCount val="13"/>
                <c:pt idx="0">
                  <c:v>2012 г. </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Лист3!$C$30:$O$30</c:f>
              <c:numCache>
                <c:formatCode>0.0</c:formatCode>
                <c:ptCount val="13"/>
                <c:pt idx="0">
                  <c:v>13.3</c:v>
                </c:pt>
                <c:pt idx="1">
                  <c:v>13.2</c:v>
                </c:pt>
                <c:pt idx="2">
                  <c:v>13.3</c:v>
                </c:pt>
                <c:pt idx="3">
                  <c:v>13.3</c:v>
                </c:pt>
                <c:pt idx="4">
                  <c:v>12.9</c:v>
                </c:pt>
                <c:pt idx="5">
                  <c:v>11.5</c:v>
                </c:pt>
                <c:pt idx="6">
                  <c:v>10.9</c:v>
                </c:pt>
                <c:pt idx="7">
                  <c:v>10.1</c:v>
                </c:pt>
                <c:pt idx="8">
                  <c:v>9.8000000000000007</c:v>
                </c:pt>
                <c:pt idx="9">
                  <c:v>9.6</c:v>
                </c:pt>
                <c:pt idx="10">
                  <c:v>8.9</c:v>
                </c:pt>
                <c:pt idx="11">
                  <c:v>8.6999999999999993</c:v>
                </c:pt>
                <c:pt idx="12">
                  <c:v>8.4</c:v>
                </c:pt>
              </c:numCache>
            </c:numRef>
          </c:val>
          <c:smooth val="0"/>
        </c:ser>
        <c:dLbls>
          <c:showLegendKey val="0"/>
          <c:showVal val="0"/>
          <c:showCatName val="0"/>
          <c:showSerName val="0"/>
          <c:showPercent val="0"/>
          <c:showBubbleSize val="0"/>
        </c:dLbls>
        <c:smooth val="0"/>
        <c:axId val="84005008"/>
        <c:axId val="84003744"/>
      </c:lineChart>
      <c:catAx>
        <c:axId val="84005008"/>
        <c:scaling>
          <c:orientation val="minMax"/>
        </c:scaling>
        <c:delete val="0"/>
        <c:axPos val="b"/>
        <c:numFmt formatCode="General" sourceLinked="1"/>
        <c:majorTickMark val="none"/>
        <c:minorTickMark val="none"/>
        <c:tickLblPos val="low"/>
        <c:spPr>
          <a:noFill/>
          <a:ln w="9506" cap="flat" cmpd="sng" algn="ctr">
            <a:solidFill>
              <a:schemeClr val="tx1">
                <a:lumMod val="15000"/>
                <a:lumOff val="85000"/>
              </a:schemeClr>
            </a:solidFill>
            <a:round/>
          </a:ln>
          <a:effectLst/>
        </c:spPr>
        <c:txPr>
          <a:bodyPr rot="-60000000" vert="horz"/>
          <a:lstStyle/>
          <a:p>
            <a:pPr>
              <a:defRPr>
                <a:latin typeface="PT Astra Serif" pitchFamily="18" charset="-52"/>
                <a:ea typeface="PT Astra Serif" pitchFamily="18" charset="-52"/>
              </a:defRPr>
            </a:pPr>
            <a:endParaRPr lang="ru-RU"/>
          </a:p>
        </c:txPr>
        <c:crossAx val="84003744"/>
        <c:crosses val="autoZero"/>
        <c:auto val="1"/>
        <c:lblAlgn val="ctr"/>
        <c:lblOffset val="100"/>
        <c:noMultiLvlLbl val="0"/>
      </c:catAx>
      <c:valAx>
        <c:axId val="84003744"/>
        <c:scaling>
          <c:orientation val="minMax"/>
          <c:min val="6"/>
        </c:scaling>
        <c:delete val="0"/>
        <c:axPos val="l"/>
        <c:majorGridlines>
          <c:spPr>
            <a:ln w="9506" cap="flat" cmpd="sng" algn="ctr">
              <a:solidFill>
                <a:schemeClr val="tx1">
                  <a:lumMod val="15000"/>
                  <a:lumOff val="85000"/>
                </a:schemeClr>
              </a:solidFill>
              <a:round/>
            </a:ln>
            <a:effectLst/>
          </c:spPr>
        </c:majorGridlines>
        <c:numFmt formatCode="0" sourceLinked="0"/>
        <c:majorTickMark val="none"/>
        <c:minorTickMark val="none"/>
        <c:tickLblPos val="nextTo"/>
        <c:spPr>
          <a:ln w="6338">
            <a:noFill/>
          </a:ln>
        </c:spPr>
        <c:txPr>
          <a:bodyPr rot="-60000000" vert="horz"/>
          <a:lstStyle/>
          <a:p>
            <a:pPr>
              <a:defRPr>
                <a:latin typeface="PT Astra Serif" pitchFamily="18" charset="-52"/>
                <a:ea typeface="PT Astra Serif" pitchFamily="18" charset="-52"/>
              </a:defRPr>
            </a:pPr>
            <a:endParaRPr lang="ru-RU"/>
          </a:p>
        </c:txPr>
        <c:crossAx val="84005008"/>
        <c:crosses val="autoZero"/>
        <c:crossBetween val="between"/>
        <c:majorUnit val="2"/>
      </c:valAx>
      <c:spPr>
        <a:noFill/>
        <a:ln w="25351">
          <a:noFill/>
        </a:ln>
      </c:spPr>
    </c:plotArea>
    <c:legend>
      <c:legendPos val="b"/>
      <c:layout/>
      <c:overlay val="0"/>
      <c:spPr>
        <a:noFill/>
        <a:ln w="25351">
          <a:noFill/>
        </a:ln>
      </c:spPr>
      <c:txPr>
        <a:bodyPr rot="0" vert="horz"/>
        <a:lstStyle/>
        <a:p>
          <a:pPr>
            <a:defRPr>
              <a:latin typeface="PT Astra Serif" pitchFamily="18" charset="-52"/>
              <a:ea typeface="PT Astra Serif" pitchFamily="18" charset="-52"/>
            </a:defRPr>
          </a:pPr>
          <a:endParaRPr lang="ru-RU"/>
        </a:p>
      </c:txPr>
    </c:legend>
    <c:plotVisOnly val="1"/>
    <c:dispBlanksAs val="gap"/>
    <c:showDLblsOverMax val="0"/>
  </c:chart>
  <c:spPr>
    <a:solidFill>
      <a:schemeClr val="bg1"/>
    </a:solid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9504707154791161E-2"/>
          <c:y val="5.1498127340824006E-2"/>
          <c:w val="0.92697845692858782"/>
          <c:h val="0.79276646632188763"/>
        </c:manualLayout>
      </c:layout>
      <c:lineChart>
        <c:grouping val="standard"/>
        <c:varyColors val="0"/>
        <c:ser>
          <c:idx val="0"/>
          <c:order val="0"/>
          <c:tx>
            <c:strRef>
              <c:f>'Строительство 45-46'!$C$13</c:f>
              <c:strCache>
                <c:ptCount val="1"/>
                <c:pt idx="0">
                  <c:v>Площадь средней построенной квартиры, кв.м.</c:v>
                </c:pt>
              </c:strCache>
            </c:strRef>
          </c:tx>
          <c:spPr>
            <a:ln w="26353" cap="rnd">
              <a:solidFill>
                <a:srgbClr val="002060"/>
              </a:solidFill>
              <a:round/>
            </a:ln>
            <a:effectLst/>
          </c:spPr>
          <c:marker>
            <c:symbol val="none"/>
          </c:marker>
          <c:dLbls>
            <c:dLbl>
              <c:idx val="1"/>
              <c:layout>
                <c:manualLayout>
                  <c:x val="-1.2025738899152845E-2"/>
                  <c:y val="-3.3579212008611317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9"/>
              <c:layout>
                <c:manualLayout>
                  <c:x val="-3.9818363164251719E-2"/>
                  <c:y val="3.6645507092512263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w="23425">
                <a:noFill/>
              </a:ln>
            </c:spPr>
            <c:txPr>
              <a:bodyPr rot="0" spcFirstLastPara="1" vertOverflow="ellipsis" vert="horz" wrap="square" anchor="ctr" anchorCtr="1"/>
              <a:lstStyle/>
              <a:p>
                <a:pPr>
                  <a:defRPr sz="830" b="0" i="0" u="none" strike="noStrike" kern="1200" baseline="0">
                    <a:solidFill>
                      <a:schemeClr val="tx1">
                        <a:lumMod val="75000"/>
                        <a:lumOff val="25000"/>
                      </a:schemeClr>
                    </a:solidFill>
                    <a:latin typeface="PT Astra Serif" pitchFamily="18" charset="-52"/>
                    <a:ea typeface="PT Astra Serif" pitchFamily="18" charset="-52"/>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'Строительство 45-46'!$D$9:$O$9</c:f>
              <c:strCache>
                <c:ptCount val="12"/>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strCache>
            </c:strRef>
          </c:cat>
          <c:val>
            <c:numRef>
              <c:f>'Строительство 45-46'!$D$13:$O$13</c:f>
              <c:numCache>
                <c:formatCode>0.00</c:formatCode>
                <c:ptCount val="12"/>
                <c:pt idx="0">
                  <c:v>72.209798739581188</c:v>
                </c:pt>
                <c:pt idx="1">
                  <c:v>65.549050913606507</c:v>
                </c:pt>
                <c:pt idx="2">
                  <c:v>62.230462848509838</c:v>
                </c:pt>
                <c:pt idx="3">
                  <c:v>58.564280215550426</c:v>
                </c:pt>
                <c:pt idx="4">
                  <c:v>59.419576979832755</c:v>
                </c:pt>
                <c:pt idx="5">
                  <c:v>58.720393725007689</c:v>
                </c:pt>
                <c:pt idx="6">
                  <c:v>55.157426057457847</c:v>
                </c:pt>
                <c:pt idx="7">
                  <c:v>58.569172841005724</c:v>
                </c:pt>
                <c:pt idx="8">
                  <c:v>59.620832425365002</c:v>
                </c:pt>
                <c:pt idx="9">
                  <c:v>56.172687802080773</c:v>
                </c:pt>
                <c:pt idx="10">
                  <c:v>67.761194029850756</c:v>
                </c:pt>
                <c:pt idx="11">
                  <c:v>67.777199375325353</c:v>
                </c:pt>
              </c:numCache>
            </c:numRef>
          </c:val>
          <c:smooth val="0"/>
        </c:ser>
        <c:dLbls>
          <c:showLegendKey val="0"/>
          <c:showVal val="0"/>
          <c:showCatName val="0"/>
          <c:showSerName val="0"/>
          <c:showPercent val="0"/>
          <c:showBubbleSize val="0"/>
        </c:dLbls>
        <c:smooth val="0"/>
        <c:axId val="605031096"/>
        <c:axId val="605031488"/>
      </c:lineChart>
      <c:catAx>
        <c:axId val="605031096"/>
        <c:scaling>
          <c:orientation val="minMax"/>
        </c:scaling>
        <c:delete val="0"/>
        <c:axPos val="b"/>
        <c:numFmt formatCode="General" sourceLinked="1"/>
        <c:majorTickMark val="none"/>
        <c:minorTickMark val="none"/>
        <c:tickLblPos val="nextTo"/>
        <c:spPr>
          <a:noFill/>
          <a:ln w="8784" cap="flat" cmpd="sng" algn="ctr">
            <a:solidFill>
              <a:schemeClr val="tx1">
                <a:lumMod val="15000"/>
                <a:lumOff val="85000"/>
              </a:schemeClr>
            </a:solidFill>
            <a:round/>
          </a:ln>
          <a:effectLst/>
        </c:spPr>
        <c:txPr>
          <a:bodyPr rot="-60000000" spcFirstLastPara="1" vertOverflow="ellipsis" vert="horz" wrap="square" anchor="ctr" anchorCtr="1"/>
          <a:lstStyle/>
          <a:p>
            <a:pPr>
              <a:defRPr sz="830" b="0" i="0" u="none" strike="noStrike" kern="1200" baseline="0">
                <a:solidFill>
                  <a:schemeClr val="tx1">
                    <a:lumMod val="65000"/>
                    <a:lumOff val="35000"/>
                  </a:schemeClr>
                </a:solidFill>
                <a:latin typeface="PT Astra Serif" pitchFamily="18" charset="-52"/>
                <a:ea typeface="PT Astra Serif" pitchFamily="18" charset="-52"/>
                <a:cs typeface="Times New Roman" panose="02020603050405020304" pitchFamily="18" charset="0"/>
              </a:defRPr>
            </a:pPr>
            <a:endParaRPr lang="ru-RU"/>
          </a:p>
        </c:txPr>
        <c:crossAx val="605031488"/>
        <c:crosses val="autoZero"/>
        <c:auto val="1"/>
        <c:lblAlgn val="ctr"/>
        <c:lblOffset val="100"/>
        <c:noMultiLvlLbl val="0"/>
      </c:catAx>
      <c:valAx>
        <c:axId val="605031488"/>
        <c:scaling>
          <c:orientation val="minMax"/>
          <c:min val="50"/>
        </c:scaling>
        <c:delete val="0"/>
        <c:axPos val="l"/>
        <c:majorGridlines>
          <c:spPr>
            <a:ln w="8784" cap="flat" cmpd="sng" algn="ctr">
              <a:solidFill>
                <a:schemeClr val="tx1">
                  <a:lumMod val="15000"/>
                  <a:lumOff val="85000"/>
                </a:schemeClr>
              </a:solidFill>
              <a:round/>
            </a:ln>
            <a:effectLst/>
          </c:spPr>
        </c:majorGridlines>
        <c:numFmt formatCode="0" sourceLinked="0"/>
        <c:majorTickMark val="none"/>
        <c:minorTickMark val="none"/>
        <c:tickLblPos val="nextTo"/>
        <c:spPr>
          <a:ln w="5856">
            <a:noFill/>
          </a:ln>
        </c:spPr>
        <c:txPr>
          <a:bodyPr rot="-60000000" spcFirstLastPara="1" vertOverflow="ellipsis" vert="horz" wrap="square" anchor="ctr" anchorCtr="1"/>
          <a:lstStyle/>
          <a:p>
            <a:pPr>
              <a:defRPr sz="830" b="0" i="0" u="none" strike="noStrike" kern="1200" baseline="0">
                <a:solidFill>
                  <a:schemeClr val="tx1">
                    <a:lumMod val="65000"/>
                    <a:lumOff val="35000"/>
                  </a:schemeClr>
                </a:solidFill>
                <a:latin typeface="PT Astra Serif" pitchFamily="18" charset="-52"/>
                <a:ea typeface="PT Astra Serif" pitchFamily="18" charset="-52"/>
                <a:cs typeface="Times New Roman" panose="02020603050405020304" pitchFamily="18" charset="0"/>
              </a:defRPr>
            </a:pPr>
            <a:endParaRPr lang="ru-RU"/>
          </a:p>
        </c:txPr>
        <c:crossAx val="605031096"/>
        <c:crosses val="autoZero"/>
        <c:crossBetween val="between"/>
      </c:valAx>
      <c:spPr>
        <a:noFill/>
        <a:ln w="23425">
          <a:noFill/>
        </a:ln>
      </c:spPr>
    </c:plotArea>
    <c:plotVisOnly val="1"/>
    <c:dispBlanksAs val="gap"/>
    <c:showDLblsOverMax val="0"/>
  </c:chart>
  <c:spPr>
    <a:solidFill>
      <a:schemeClr val="bg1"/>
    </a:solid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8676273162273911E-2"/>
          <c:y val="4.7619047619047623E-2"/>
          <c:w val="0.84648488954914869"/>
          <c:h val="0.76330299621638265"/>
        </c:manualLayout>
      </c:layout>
      <c:lineChart>
        <c:grouping val="standard"/>
        <c:varyColors val="0"/>
        <c:ser>
          <c:idx val="0"/>
          <c:order val="0"/>
          <c:tx>
            <c:strRef>
              <c:f>'47'!$A$7</c:f>
              <c:strCache>
                <c:ptCount val="1"/>
                <c:pt idx="0">
                  <c:v>МКД</c:v>
                </c:pt>
              </c:strCache>
            </c:strRef>
          </c:tx>
          <c:spPr>
            <a:ln w="26361" cap="rnd">
              <a:solidFill>
                <a:srgbClr val="002060"/>
              </a:solidFill>
              <a:round/>
            </a:ln>
            <a:effectLst/>
          </c:spPr>
          <c:marker>
            <c:symbol val="none"/>
          </c:marker>
          <c:cat>
            <c:strRef>
              <c:f>'47'!$C$1:$O$1</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'47'!$C$7:$O$7</c:f>
              <c:numCache>
                <c:formatCode>#,##0</c:formatCode>
                <c:ptCount val="13"/>
                <c:pt idx="0" formatCode="General">
                  <c:v>216664</c:v>
                </c:pt>
                <c:pt idx="1">
                  <c:v>227941</c:v>
                </c:pt>
                <c:pt idx="2">
                  <c:v>324348</c:v>
                </c:pt>
                <c:pt idx="3">
                  <c:v>507985</c:v>
                </c:pt>
                <c:pt idx="4">
                  <c:v>420205</c:v>
                </c:pt>
                <c:pt idx="5">
                  <c:v>291755</c:v>
                </c:pt>
                <c:pt idx="6">
                  <c:v>410469</c:v>
                </c:pt>
                <c:pt idx="7">
                  <c:v>387513</c:v>
                </c:pt>
                <c:pt idx="8">
                  <c:v>433423</c:v>
                </c:pt>
                <c:pt idx="9">
                  <c:v>532154</c:v>
                </c:pt>
                <c:pt idx="10">
                  <c:v>413887</c:v>
                </c:pt>
                <c:pt idx="11">
                  <c:v>310743</c:v>
                </c:pt>
                <c:pt idx="12">
                  <c:v>257846</c:v>
                </c:pt>
              </c:numCache>
            </c:numRef>
          </c:val>
          <c:smooth val="0"/>
        </c:ser>
        <c:ser>
          <c:idx val="1"/>
          <c:order val="1"/>
          <c:tx>
            <c:strRef>
              <c:f>'47'!$A$8</c:f>
              <c:strCache>
                <c:ptCount val="1"/>
                <c:pt idx="0">
                  <c:v>ИЖС</c:v>
                </c:pt>
              </c:strCache>
            </c:strRef>
          </c:tx>
          <c:spPr>
            <a:ln w="26361" cap="rnd">
              <a:solidFill>
                <a:srgbClr val="E36729"/>
              </a:solidFill>
              <a:round/>
            </a:ln>
            <a:effectLst/>
          </c:spPr>
          <c:marker>
            <c:symbol val="none"/>
          </c:marker>
          <c:cat>
            <c:strRef>
              <c:f>'47'!$C$1:$O$1</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'47'!$C$8:$O$8</c:f>
              <c:numCache>
                <c:formatCode>#,##0</c:formatCode>
                <c:ptCount val="13"/>
                <c:pt idx="0" formatCode="General">
                  <c:v>138514</c:v>
                </c:pt>
                <c:pt idx="1">
                  <c:v>141516</c:v>
                </c:pt>
                <c:pt idx="2">
                  <c:v>128726</c:v>
                </c:pt>
                <c:pt idx="3">
                  <c:v>100655</c:v>
                </c:pt>
                <c:pt idx="4">
                  <c:v>63013</c:v>
                </c:pt>
                <c:pt idx="5">
                  <c:v>90069</c:v>
                </c:pt>
                <c:pt idx="6">
                  <c:v>109852</c:v>
                </c:pt>
                <c:pt idx="7">
                  <c:v>94732</c:v>
                </c:pt>
                <c:pt idx="8">
                  <c:v>113797</c:v>
                </c:pt>
                <c:pt idx="9">
                  <c:v>153554</c:v>
                </c:pt>
                <c:pt idx="10">
                  <c:v>153626</c:v>
                </c:pt>
                <c:pt idx="11">
                  <c:v>210071</c:v>
                </c:pt>
                <c:pt idx="12">
                  <c:v>202903</c:v>
                </c:pt>
              </c:numCache>
            </c:numRef>
          </c:val>
          <c:smooth val="0"/>
        </c:ser>
        <c:dLbls>
          <c:showLegendKey val="0"/>
          <c:showVal val="0"/>
          <c:showCatName val="0"/>
          <c:showSerName val="0"/>
          <c:showPercent val="0"/>
          <c:showBubbleSize val="0"/>
        </c:dLbls>
        <c:marker val="1"/>
        <c:smooth val="0"/>
        <c:axId val="605032272"/>
        <c:axId val="605032664"/>
      </c:lineChart>
      <c:lineChart>
        <c:grouping val="standard"/>
        <c:varyColors val="0"/>
        <c:ser>
          <c:idx val="2"/>
          <c:order val="2"/>
          <c:tx>
            <c:strRef>
              <c:f>'47'!$A$9</c:f>
              <c:strCache>
                <c:ptCount val="1"/>
                <c:pt idx="0">
                  <c:v>Доля ИЖС в структуре нового жилья</c:v>
                </c:pt>
              </c:strCache>
            </c:strRef>
          </c:tx>
          <c:spPr>
            <a:ln w="26361" cap="rnd">
              <a:solidFill>
                <a:srgbClr val="ACB695"/>
              </a:solidFill>
              <a:prstDash val="dash"/>
              <a:round/>
            </a:ln>
            <a:effectLst/>
          </c:spPr>
          <c:marker>
            <c:symbol val="none"/>
          </c:marker>
          <c:val>
            <c:numRef>
              <c:f>'47'!$C$9:$O$9</c:f>
              <c:numCache>
                <c:formatCode>0%</c:formatCode>
                <c:ptCount val="13"/>
                <c:pt idx="0">
                  <c:v>0.38998474004583628</c:v>
                </c:pt>
                <c:pt idx="1">
                  <c:v>0.38303780954211181</c:v>
                </c:pt>
                <c:pt idx="2">
                  <c:v>0.2841169433690745</c:v>
                </c:pt>
                <c:pt idx="3">
                  <c:v>0.16537690588853837</c:v>
                </c:pt>
                <c:pt idx="4">
                  <c:v>0.13040284095377239</c:v>
                </c:pt>
                <c:pt idx="5">
                  <c:v>0.23589140546429774</c:v>
                </c:pt>
                <c:pt idx="6">
                  <c:v>0.21112351798216869</c:v>
                </c:pt>
                <c:pt idx="7">
                  <c:v>0.19643956909869464</c:v>
                </c:pt>
                <c:pt idx="8">
                  <c:v>0.20795475311574871</c:v>
                </c:pt>
                <c:pt idx="9">
                  <c:v>0.22393496940388619</c:v>
                </c:pt>
                <c:pt idx="10">
                  <c:v>0.27070040686292651</c:v>
                </c:pt>
                <c:pt idx="11">
                  <c:v>0.40335129239997392</c:v>
                </c:pt>
                <c:pt idx="12">
                  <c:v>0.4403764305511243</c:v>
                </c:pt>
              </c:numCache>
            </c:numRef>
          </c:val>
          <c:smooth val="0"/>
        </c:ser>
        <c:dLbls>
          <c:showLegendKey val="0"/>
          <c:showVal val="0"/>
          <c:showCatName val="0"/>
          <c:showSerName val="0"/>
          <c:showPercent val="0"/>
          <c:showBubbleSize val="0"/>
        </c:dLbls>
        <c:marker val="1"/>
        <c:smooth val="0"/>
        <c:axId val="605033056"/>
        <c:axId val="605033448"/>
      </c:lineChart>
      <c:catAx>
        <c:axId val="605032272"/>
        <c:scaling>
          <c:orientation val="minMax"/>
        </c:scaling>
        <c:delete val="0"/>
        <c:axPos val="b"/>
        <c:numFmt formatCode="General" sourceLinked="1"/>
        <c:majorTickMark val="none"/>
        <c:minorTickMark val="none"/>
        <c:tickLblPos val="nextTo"/>
        <c:spPr>
          <a:noFill/>
          <a:ln w="8787" cap="flat" cmpd="sng" algn="ctr">
            <a:solidFill>
              <a:schemeClr val="tx1">
                <a:lumMod val="15000"/>
                <a:lumOff val="85000"/>
              </a:schemeClr>
            </a:solidFill>
            <a:round/>
          </a:ln>
          <a:effectLst/>
        </c:spPr>
        <c:txPr>
          <a:bodyPr rot="-60000000" spcFirstLastPara="1" vertOverflow="ellipsis" vert="horz" wrap="square" anchor="ctr" anchorCtr="1"/>
          <a:lstStyle/>
          <a:p>
            <a:pPr>
              <a:defRPr sz="830" b="0" i="0" u="none" strike="noStrike" baseline="0">
                <a:solidFill>
                  <a:schemeClr val="tx1"/>
                </a:solidFill>
                <a:latin typeface="PT Astra Serif" pitchFamily="18" charset="-52"/>
                <a:ea typeface="PT Astra Serif" pitchFamily="18" charset="-52"/>
                <a:cs typeface="Times New Roman"/>
              </a:defRPr>
            </a:pPr>
            <a:endParaRPr lang="ru-RU"/>
          </a:p>
        </c:txPr>
        <c:crossAx val="605032664"/>
        <c:crosses val="autoZero"/>
        <c:auto val="1"/>
        <c:lblAlgn val="ctr"/>
        <c:lblOffset val="100"/>
        <c:noMultiLvlLbl val="0"/>
      </c:catAx>
      <c:valAx>
        <c:axId val="605032664"/>
        <c:scaling>
          <c:orientation val="minMax"/>
        </c:scaling>
        <c:delete val="0"/>
        <c:axPos val="l"/>
        <c:majorGridlines>
          <c:spPr>
            <a:ln w="8787" cap="flat" cmpd="sng" algn="ctr">
              <a:solidFill>
                <a:schemeClr val="tx1">
                  <a:lumMod val="15000"/>
                  <a:lumOff val="85000"/>
                </a:schemeClr>
              </a:solidFill>
              <a:round/>
            </a:ln>
            <a:effectLst/>
          </c:spPr>
        </c:majorGridlines>
        <c:numFmt formatCode="General" sourceLinked="1"/>
        <c:majorTickMark val="none"/>
        <c:minorTickMark val="none"/>
        <c:tickLblPos val="nextTo"/>
        <c:spPr>
          <a:ln w="5858">
            <a:noFill/>
          </a:ln>
        </c:spPr>
        <c:txPr>
          <a:bodyPr rot="-60000000" spcFirstLastPara="1" vertOverflow="ellipsis" vert="horz" wrap="square" anchor="ctr" anchorCtr="1"/>
          <a:lstStyle/>
          <a:p>
            <a:pPr>
              <a:defRPr sz="830" b="0" i="0" u="none" strike="noStrike" baseline="0">
                <a:solidFill>
                  <a:schemeClr val="tx1"/>
                </a:solidFill>
                <a:latin typeface="PT Astra Serif" pitchFamily="18" charset="-52"/>
                <a:ea typeface="PT Astra Serif" pitchFamily="18" charset="-52"/>
                <a:cs typeface="Times New Roman"/>
              </a:defRPr>
            </a:pPr>
            <a:endParaRPr lang="ru-RU"/>
          </a:p>
        </c:txPr>
        <c:crossAx val="605032272"/>
        <c:crosses val="autoZero"/>
        <c:crossBetween val="between"/>
      </c:valAx>
      <c:catAx>
        <c:axId val="605033056"/>
        <c:scaling>
          <c:orientation val="minMax"/>
        </c:scaling>
        <c:delete val="1"/>
        <c:axPos val="b"/>
        <c:majorTickMark val="out"/>
        <c:minorTickMark val="none"/>
        <c:tickLblPos val="none"/>
        <c:crossAx val="605033448"/>
        <c:crosses val="autoZero"/>
        <c:auto val="1"/>
        <c:lblAlgn val="ctr"/>
        <c:lblOffset val="100"/>
        <c:noMultiLvlLbl val="0"/>
      </c:catAx>
      <c:valAx>
        <c:axId val="605033448"/>
        <c:scaling>
          <c:orientation val="minMax"/>
        </c:scaling>
        <c:delete val="0"/>
        <c:axPos val="r"/>
        <c:numFmt formatCode="0%" sourceLinked="1"/>
        <c:majorTickMark val="out"/>
        <c:minorTickMark val="none"/>
        <c:tickLblPos val="nextTo"/>
        <c:spPr>
          <a:ln w="5858">
            <a:noFill/>
          </a:ln>
        </c:spPr>
        <c:txPr>
          <a:bodyPr rot="-60000000" spcFirstLastPara="1" vertOverflow="ellipsis" vert="horz" wrap="square" anchor="ctr" anchorCtr="1"/>
          <a:lstStyle/>
          <a:p>
            <a:pPr>
              <a:defRPr sz="830" b="0" i="0" u="none" strike="noStrike" baseline="0">
                <a:solidFill>
                  <a:schemeClr val="tx1"/>
                </a:solidFill>
                <a:latin typeface="Times New Roman"/>
                <a:ea typeface="+mn-ea"/>
                <a:cs typeface="Times New Roman"/>
              </a:defRPr>
            </a:pPr>
            <a:endParaRPr lang="ru-RU"/>
          </a:p>
        </c:txPr>
        <c:crossAx val="605033056"/>
        <c:crosses val="max"/>
        <c:crossBetween val="between"/>
      </c:valAx>
      <c:spPr>
        <a:noFill/>
        <a:ln w="23432">
          <a:noFill/>
        </a:ln>
      </c:spPr>
    </c:plotArea>
    <c:legend>
      <c:legendPos val="b"/>
      <c:layout/>
      <c:overlay val="0"/>
      <c:spPr>
        <a:noFill/>
        <a:ln w="23432">
          <a:noFill/>
        </a:ln>
      </c:spPr>
      <c:txPr>
        <a:bodyPr rot="0" spcFirstLastPara="1" vertOverflow="ellipsis" vert="horz" wrap="square" anchor="ctr" anchorCtr="1"/>
        <a:lstStyle/>
        <a:p>
          <a:pPr>
            <a:defRPr sz="830" b="0" i="0" u="none" strike="noStrike" baseline="0">
              <a:solidFill>
                <a:schemeClr val="tx1"/>
              </a:solidFill>
              <a:latin typeface="PT Astra Serif" pitchFamily="18" charset="-52"/>
              <a:ea typeface="PT Astra Serif" pitchFamily="18" charset="-52"/>
              <a:cs typeface="Times New Roman"/>
            </a:defRPr>
          </a:pPr>
          <a:endParaRPr lang="ru-RU"/>
        </a:p>
      </c:txPr>
    </c:legend>
    <c:plotVisOnly val="1"/>
    <c:dispBlanksAs val="gap"/>
    <c:showDLblsOverMax val="0"/>
  </c:chart>
  <c:spPr>
    <a:solidFill>
      <a:schemeClr val="bg1"/>
    </a:solidFill>
    <a:ln>
      <a:noFill/>
    </a:ln>
    <a:effectLst/>
  </c:spPr>
  <c:txPr>
    <a:bodyPr/>
    <a:lstStyle/>
    <a:p>
      <a:pPr>
        <a:defRPr>
          <a:latin typeface="Times New Roman"/>
          <a:cs typeface="Times New Roman"/>
        </a:defRPr>
      </a:pPr>
      <a:endParaRPr lang="ru-RU"/>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6363070793507268E-2"/>
          <c:y val="4.3708604713082889E-2"/>
          <c:w val="0.88179718463510781"/>
          <c:h val="0.62932037030605725"/>
        </c:manualLayout>
      </c:layout>
      <c:lineChart>
        <c:grouping val="standard"/>
        <c:varyColors val="0"/>
        <c:ser>
          <c:idx val="0"/>
          <c:order val="0"/>
          <c:tx>
            <c:strRef>
              <c:f>'48'!$A$4</c:f>
              <c:strCache>
                <c:ptCount val="1"/>
                <c:pt idx="0">
                  <c:v>Общая площадь жилых помещений, приходящаяся в среднем на одного жителя – всего</c:v>
                </c:pt>
              </c:strCache>
            </c:strRef>
          </c:tx>
          <c:spPr>
            <a:ln w="27372" cap="rnd">
              <a:solidFill>
                <a:srgbClr val="002060"/>
              </a:solidFill>
              <a:round/>
            </a:ln>
            <a:effectLst/>
          </c:spPr>
          <c:marker>
            <c:symbol val="none"/>
          </c:marker>
          <c:dLbls>
            <c:spPr>
              <a:noFill/>
              <a:ln w="24330">
                <a:noFill/>
              </a:ln>
            </c:spPr>
            <c:txPr>
              <a:bodyPr rot="0" spcFirstLastPara="1" vertOverflow="ellipsis" vert="horz" wrap="square" anchor="ctr" anchorCtr="1"/>
              <a:lstStyle/>
              <a:p>
                <a:pPr>
                  <a:defRPr sz="862" b="0" i="0" u="none" strike="noStrike">
                    <a:solidFill>
                      <a:schemeClr val="tx1"/>
                    </a:solidFill>
                    <a:latin typeface="PT Astra Serif" pitchFamily="18" charset="-52"/>
                    <a:ea typeface="PT Astra Serif" pitchFamily="18" charset="-52"/>
                    <a:cs typeface="Times New Roman"/>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'48'!$C$1:$O$1</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'48'!$C$4:$O$4</c:f>
              <c:numCache>
                <c:formatCode>0.00</c:formatCode>
                <c:ptCount val="13"/>
                <c:pt idx="0">
                  <c:v>21.3</c:v>
                </c:pt>
                <c:pt idx="1">
                  <c:v>21.6</c:v>
                </c:pt>
                <c:pt idx="2">
                  <c:v>22.1</c:v>
                </c:pt>
                <c:pt idx="3">
                  <c:v>22.8</c:v>
                </c:pt>
                <c:pt idx="4">
                  <c:v>23.4</c:v>
                </c:pt>
                <c:pt idx="5">
                  <c:v>23.9</c:v>
                </c:pt>
                <c:pt idx="6">
                  <c:v>24.5</c:v>
                </c:pt>
                <c:pt idx="7">
                  <c:v>25.2</c:v>
                </c:pt>
                <c:pt idx="8">
                  <c:v>25.9</c:v>
                </c:pt>
                <c:pt idx="9">
                  <c:v>26.8</c:v>
                </c:pt>
                <c:pt idx="10">
                  <c:v>27.4</c:v>
                </c:pt>
                <c:pt idx="11">
                  <c:v>27.89</c:v>
                </c:pt>
                <c:pt idx="12">
                  <c:v>28.32</c:v>
                </c:pt>
              </c:numCache>
            </c:numRef>
          </c:val>
          <c:smooth val="0"/>
        </c:ser>
        <c:dLbls>
          <c:showLegendKey val="0"/>
          <c:showVal val="1"/>
          <c:showCatName val="0"/>
          <c:showSerName val="0"/>
          <c:showPercent val="0"/>
          <c:showBubbleSize val="0"/>
        </c:dLbls>
        <c:marker val="1"/>
        <c:smooth val="0"/>
        <c:axId val="605034232"/>
        <c:axId val="605968448"/>
      </c:lineChart>
      <c:lineChart>
        <c:grouping val="standard"/>
        <c:varyColors val="0"/>
        <c:ser>
          <c:idx val="1"/>
          <c:order val="1"/>
          <c:tx>
            <c:strRef>
              <c:f>'48'!$A$5</c:f>
              <c:strCache>
                <c:ptCount val="1"/>
                <c:pt idx="0">
                  <c:v>Общая площадь жилых помещений, введенная в действие за год, приходящаяся в среднем на одного жителя</c:v>
                </c:pt>
              </c:strCache>
            </c:strRef>
          </c:tx>
          <c:spPr>
            <a:ln w="27372" cap="rnd">
              <a:solidFill>
                <a:srgbClr val="E36729"/>
              </a:solidFill>
              <a:round/>
            </a:ln>
            <a:effectLst/>
          </c:spPr>
          <c:marker>
            <c:symbol val="none"/>
          </c:marker>
          <c:dLbls>
            <c:dLbl>
              <c:idx val="3"/>
              <c:layout>
                <c:manualLayout>
                  <c:x val="-3.6344000000000001E-2"/>
                  <c:y val="2.9898000000000001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9"/>
              <c:layout>
                <c:manualLayout>
                  <c:x val="-4.1486000000000002E-2"/>
                  <c:y val="-2.0417000000000012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w="24330">
                <a:noFill/>
              </a:ln>
            </c:spPr>
            <c:txPr>
              <a:bodyPr rot="0" spcFirstLastPara="1" vertOverflow="ellipsis" vert="horz" wrap="square" anchor="ctr" anchorCtr="1"/>
              <a:lstStyle/>
              <a:p>
                <a:pPr>
                  <a:defRPr sz="862" b="0" i="0" u="none" strike="noStrike">
                    <a:solidFill>
                      <a:schemeClr val="tx1"/>
                    </a:solidFill>
                    <a:latin typeface="PT Astra Serif" pitchFamily="18" charset="-52"/>
                    <a:ea typeface="PT Astra Serif" pitchFamily="18" charset="-52"/>
                    <a:cs typeface="Times New Roman"/>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'48'!$C$1:$O$1</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'48'!$C$5:$O$5</c:f>
              <c:numCache>
                <c:formatCode>General</c:formatCode>
                <c:ptCount val="13"/>
                <c:pt idx="0">
                  <c:v>0.51800000000000002</c:v>
                </c:pt>
                <c:pt idx="1">
                  <c:v>0.53300000000000003</c:v>
                </c:pt>
                <c:pt idx="2">
                  <c:v>0.65000000000000013</c:v>
                </c:pt>
                <c:pt idx="3">
                  <c:v>0.87000000000000011</c:v>
                </c:pt>
                <c:pt idx="4">
                  <c:v>0.69099999999999995</c:v>
                </c:pt>
                <c:pt idx="5">
                  <c:v>0.54800000000000004</c:v>
                </c:pt>
                <c:pt idx="6">
                  <c:v>0.74700000000000011</c:v>
                </c:pt>
                <c:pt idx="7">
                  <c:v>0.69199999999999995</c:v>
                </c:pt>
                <c:pt idx="8">
                  <c:v>0.78600000000000003</c:v>
                </c:pt>
                <c:pt idx="9">
                  <c:v>0.98799999999999999</c:v>
                </c:pt>
                <c:pt idx="10">
                  <c:v>0.81799999999999995</c:v>
                </c:pt>
                <c:pt idx="11">
                  <c:v>0.75600000000000012</c:v>
                </c:pt>
                <c:pt idx="12">
                  <c:v>0.67000000000000015</c:v>
                </c:pt>
              </c:numCache>
            </c:numRef>
          </c:val>
          <c:smooth val="0"/>
        </c:ser>
        <c:dLbls>
          <c:showLegendKey val="0"/>
          <c:showVal val="1"/>
          <c:showCatName val="0"/>
          <c:showSerName val="0"/>
          <c:showPercent val="0"/>
          <c:showBubbleSize val="0"/>
        </c:dLbls>
        <c:marker val="1"/>
        <c:smooth val="0"/>
        <c:axId val="605968840"/>
        <c:axId val="605969232"/>
      </c:lineChart>
      <c:catAx>
        <c:axId val="605034232"/>
        <c:scaling>
          <c:orientation val="minMax"/>
        </c:scaling>
        <c:delete val="0"/>
        <c:axPos val="b"/>
        <c:numFmt formatCode="General" sourceLinked="1"/>
        <c:majorTickMark val="none"/>
        <c:minorTickMark val="none"/>
        <c:tickLblPos val="nextTo"/>
        <c:spPr>
          <a:noFill/>
          <a:ln w="9124" cap="flat" cmpd="sng" algn="ctr">
            <a:solidFill>
              <a:schemeClr val="tx1">
                <a:lumMod val="15000"/>
                <a:lumOff val="85000"/>
              </a:schemeClr>
            </a:solidFill>
            <a:round/>
          </a:ln>
          <a:effectLst/>
        </c:spPr>
        <c:txPr>
          <a:bodyPr rot="-60000000" spcFirstLastPara="1" vertOverflow="ellipsis" vert="horz" wrap="square" anchor="ctr" anchorCtr="1"/>
          <a:lstStyle/>
          <a:p>
            <a:pPr>
              <a:defRPr sz="862" b="0" i="0" u="none" strike="noStrike">
                <a:solidFill>
                  <a:schemeClr val="tx1"/>
                </a:solidFill>
                <a:latin typeface="Times New Roman"/>
                <a:ea typeface="+mn-ea"/>
                <a:cs typeface="Times New Roman"/>
              </a:defRPr>
            </a:pPr>
            <a:endParaRPr lang="ru-RU"/>
          </a:p>
        </c:txPr>
        <c:crossAx val="605968448"/>
        <c:crosses val="autoZero"/>
        <c:auto val="1"/>
        <c:lblAlgn val="ctr"/>
        <c:lblOffset val="100"/>
        <c:noMultiLvlLbl val="0"/>
      </c:catAx>
      <c:valAx>
        <c:axId val="605968448"/>
        <c:scaling>
          <c:orientation val="minMax"/>
        </c:scaling>
        <c:delete val="0"/>
        <c:axPos val="l"/>
        <c:majorGridlines>
          <c:spPr>
            <a:ln w="9124" cap="flat" cmpd="sng" algn="ctr">
              <a:solidFill>
                <a:schemeClr val="tx1">
                  <a:lumMod val="15000"/>
                  <a:lumOff val="85000"/>
                </a:schemeClr>
              </a:solidFill>
              <a:round/>
            </a:ln>
            <a:effectLst/>
          </c:spPr>
        </c:majorGridlines>
        <c:numFmt formatCode="0" sourceLinked="0"/>
        <c:majorTickMark val="none"/>
        <c:minorTickMark val="none"/>
        <c:tickLblPos val="nextTo"/>
        <c:spPr>
          <a:ln w="6083">
            <a:noFill/>
          </a:ln>
        </c:spPr>
        <c:txPr>
          <a:bodyPr rot="-60000000" spcFirstLastPara="1" vertOverflow="ellipsis" vert="horz" wrap="square" anchor="ctr" anchorCtr="1"/>
          <a:lstStyle/>
          <a:p>
            <a:pPr>
              <a:defRPr sz="862" b="0" i="0" u="none" strike="noStrike">
                <a:solidFill>
                  <a:schemeClr val="tx1"/>
                </a:solidFill>
                <a:latin typeface="PT Astra Serif" pitchFamily="18" charset="-52"/>
                <a:ea typeface="PT Astra Serif" pitchFamily="18" charset="-52"/>
                <a:cs typeface="Times New Roman"/>
              </a:defRPr>
            </a:pPr>
            <a:endParaRPr lang="ru-RU"/>
          </a:p>
        </c:txPr>
        <c:crossAx val="605034232"/>
        <c:crosses val="autoZero"/>
        <c:crossBetween val="between"/>
      </c:valAx>
      <c:catAx>
        <c:axId val="605968840"/>
        <c:scaling>
          <c:orientation val="minMax"/>
        </c:scaling>
        <c:delete val="1"/>
        <c:axPos val="b"/>
        <c:numFmt formatCode="General" sourceLinked="1"/>
        <c:majorTickMark val="out"/>
        <c:minorTickMark val="none"/>
        <c:tickLblPos val="none"/>
        <c:crossAx val="605969232"/>
        <c:crosses val="autoZero"/>
        <c:auto val="1"/>
        <c:lblAlgn val="ctr"/>
        <c:lblOffset val="100"/>
        <c:noMultiLvlLbl val="0"/>
      </c:catAx>
      <c:valAx>
        <c:axId val="605969232"/>
        <c:scaling>
          <c:orientation val="minMax"/>
        </c:scaling>
        <c:delete val="0"/>
        <c:axPos val="r"/>
        <c:numFmt formatCode="General" sourceLinked="1"/>
        <c:majorTickMark val="out"/>
        <c:minorTickMark val="none"/>
        <c:tickLblPos val="nextTo"/>
        <c:spPr>
          <a:ln w="6083">
            <a:noFill/>
          </a:ln>
        </c:spPr>
        <c:txPr>
          <a:bodyPr rot="-60000000" spcFirstLastPara="1" vertOverflow="ellipsis" vert="horz" wrap="square" anchor="ctr" anchorCtr="1"/>
          <a:lstStyle/>
          <a:p>
            <a:pPr>
              <a:defRPr sz="862" b="0" i="0" u="none" strike="noStrike">
                <a:solidFill>
                  <a:schemeClr val="tx1"/>
                </a:solidFill>
                <a:latin typeface="PT Astra Serif" pitchFamily="18" charset="-52"/>
                <a:ea typeface="PT Astra Serif" pitchFamily="18" charset="-52"/>
                <a:cs typeface="Times New Roman"/>
              </a:defRPr>
            </a:pPr>
            <a:endParaRPr lang="ru-RU"/>
          </a:p>
        </c:txPr>
        <c:crossAx val="605968840"/>
        <c:crosses val="max"/>
        <c:crossBetween val="between"/>
      </c:valAx>
      <c:spPr>
        <a:noFill/>
        <a:ln w="24330">
          <a:noFill/>
        </a:ln>
      </c:spPr>
    </c:plotArea>
    <c:legend>
      <c:legendPos val="b"/>
      <c:layout>
        <c:manualLayout>
          <c:xMode val="edge"/>
          <c:yMode val="edge"/>
          <c:x val="6.2293019583972119E-2"/>
          <c:y val="0.77796810992667154"/>
          <c:w val="0.87541396083205547"/>
          <c:h val="0.20316366447685619"/>
        </c:manualLayout>
      </c:layout>
      <c:overlay val="0"/>
      <c:spPr>
        <a:noFill/>
        <a:ln w="24330">
          <a:noFill/>
        </a:ln>
      </c:spPr>
      <c:txPr>
        <a:bodyPr rot="0" spcFirstLastPara="1" vertOverflow="ellipsis" vert="horz" wrap="square" anchor="ctr" anchorCtr="1"/>
        <a:lstStyle/>
        <a:p>
          <a:pPr>
            <a:defRPr sz="862" b="0" i="0" u="none" strike="noStrike">
              <a:solidFill>
                <a:schemeClr val="tx1"/>
              </a:solidFill>
              <a:latin typeface="PT Astra Serif" pitchFamily="18" charset="-52"/>
              <a:ea typeface="PT Astra Serif" pitchFamily="18" charset="-52"/>
              <a:cs typeface="Times New Roman"/>
            </a:defRPr>
          </a:pPr>
          <a:endParaRPr lang="ru-RU"/>
        </a:p>
      </c:txPr>
    </c:legend>
    <c:plotVisOnly val="1"/>
    <c:dispBlanksAs val="gap"/>
    <c:showDLblsOverMax val="0"/>
  </c:chart>
  <c:spPr>
    <a:solidFill>
      <a:schemeClr val="bg1"/>
    </a:solidFill>
    <a:ln>
      <a:noFill/>
    </a:ln>
    <a:effectLst/>
  </c:spPr>
  <c:txPr>
    <a:bodyPr/>
    <a:lstStyle/>
    <a:p>
      <a:pPr>
        <a:defRPr>
          <a:latin typeface="Times New Roman"/>
          <a:cs typeface="Times New Roman"/>
        </a:defRPr>
      </a:pPr>
      <a:endParaRPr lang="ru-RU"/>
    </a:p>
  </c:tx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9996000000000048E-2"/>
          <c:y val="8.3325000000000135E-2"/>
          <c:w val="0.88762900000000056"/>
          <c:h val="0.59979899664440728"/>
        </c:manualLayout>
      </c:layout>
      <c:lineChart>
        <c:grouping val="standard"/>
        <c:varyColors val="0"/>
        <c:ser>
          <c:idx val="1"/>
          <c:order val="1"/>
          <c:tx>
            <c:strRef>
              <c:f>'49'!$H$21</c:f>
              <c:strCache>
                <c:ptCount val="1"/>
                <c:pt idx="0">
                  <c:v>Численность граждан, пользующихся социальной поддержкой (льготами) по оплате жилищных и коммунальных услуг на конец отчетного периода</c:v>
                </c:pt>
              </c:strCache>
            </c:strRef>
          </c:tx>
          <c:spPr>
            <a:ln w="25416" cap="rnd">
              <a:solidFill>
                <a:srgbClr val="E36729"/>
              </a:solidFill>
              <a:round/>
            </a:ln>
            <a:effectLst/>
          </c:spPr>
          <c:marker>
            <c:symbol val="none"/>
          </c:marker>
          <c:cat>
            <c:strRef>
              <c:f>'49'!$J$17:$V$17</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'49'!$J$21:$V$21</c:f>
              <c:numCache>
                <c:formatCode>#,##0.00</c:formatCode>
                <c:ptCount val="13"/>
                <c:pt idx="0">
                  <c:v>144911</c:v>
                </c:pt>
                <c:pt idx="1">
                  <c:v>149805</c:v>
                </c:pt>
                <c:pt idx="2">
                  <c:v>150830</c:v>
                </c:pt>
                <c:pt idx="3">
                  <c:v>151675</c:v>
                </c:pt>
                <c:pt idx="4">
                  <c:v>153306</c:v>
                </c:pt>
                <c:pt idx="5">
                  <c:v>132305</c:v>
                </c:pt>
                <c:pt idx="6">
                  <c:v>132526</c:v>
                </c:pt>
                <c:pt idx="7">
                  <c:v>130505</c:v>
                </c:pt>
                <c:pt idx="8">
                  <c:v>129529</c:v>
                </c:pt>
                <c:pt idx="9">
                  <c:v>126036</c:v>
                </c:pt>
                <c:pt idx="10">
                  <c:v>124171</c:v>
                </c:pt>
                <c:pt idx="11">
                  <c:v>125679</c:v>
                </c:pt>
                <c:pt idx="12">
                  <c:v>138039</c:v>
                </c:pt>
              </c:numCache>
            </c:numRef>
          </c:val>
          <c:smooth val="0"/>
        </c:ser>
        <c:dLbls>
          <c:showLegendKey val="0"/>
          <c:showVal val="0"/>
          <c:showCatName val="0"/>
          <c:showSerName val="0"/>
          <c:showPercent val="0"/>
          <c:showBubbleSize val="0"/>
        </c:dLbls>
        <c:marker val="1"/>
        <c:smooth val="0"/>
        <c:axId val="605970016"/>
        <c:axId val="605970408"/>
      </c:lineChart>
      <c:lineChart>
        <c:grouping val="standard"/>
        <c:varyColors val="0"/>
        <c:ser>
          <c:idx val="0"/>
          <c:order val="0"/>
          <c:tx>
            <c:strRef>
              <c:f>'49'!$H$18</c:f>
              <c:strCache>
                <c:ptCount val="1"/>
                <c:pt idx="0">
                  <c:v>Число семей, получавших субсидии на оплату жилищных и коммунальных услуг на конец отчетного периода</c:v>
                </c:pt>
              </c:strCache>
            </c:strRef>
          </c:tx>
          <c:spPr>
            <a:ln w="25416" cap="rnd">
              <a:solidFill>
                <a:srgbClr val="002060"/>
              </a:solidFill>
              <a:round/>
            </a:ln>
            <a:effectLst/>
          </c:spPr>
          <c:marker>
            <c:symbol val="none"/>
          </c:marker>
          <c:cat>
            <c:strRef>
              <c:f>'49'!$J$17:$V$17</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'49'!$J$18:$V$18</c:f>
              <c:numCache>
                <c:formatCode>#,##0</c:formatCode>
                <c:ptCount val="13"/>
                <c:pt idx="0">
                  <c:v>10331</c:v>
                </c:pt>
                <c:pt idx="1">
                  <c:v>9868</c:v>
                </c:pt>
                <c:pt idx="2">
                  <c:v>9794</c:v>
                </c:pt>
                <c:pt idx="3">
                  <c:v>10855</c:v>
                </c:pt>
                <c:pt idx="4">
                  <c:v>12644</c:v>
                </c:pt>
                <c:pt idx="5">
                  <c:v>13786</c:v>
                </c:pt>
                <c:pt idx="6">
                  <c:v>14164</c:v>
                </c:pt>
                <c:pt idx="7">
                  <c:v>15791</c:v>
                </c:pt>
                <c:pt idx="8">
                  <c:v>18397</c:v>
                </c:pt>
                <c:pt idx="9">
                  <c:v>15579</c:v>
                </c:pt>
                <c:pt idx="10">
                  <c:v>14671</c:v>
                </c:pt>
                <c:pt idx="11">
                  <c:v>18671</c:v>
                </c:pt>
                <c:pt idx="12">
                  <c:v>18366</c:v>
                </c:pt>
              </c:numCache>
            </c:numRef>
          </c:val>
          <c:smooth val="0"/>
        </c:ser>
        <c:dLbls>
          <c:showLegendKey val="0"/>
          <c:showVal val="0"/>
          <c:showCatName val="0"/>
          <c:showSerName val="0"/>
          <c:showPercent val="0"/>
          <c:showBubbleSize val="0"/>
        </c:dLbls>
        <c:marker val="1"/>
        <c:smooth val="0"/>
        <c:axId val="605970800"/>
        <c:axId val="605971192"/>
      </c:lineChart>
      <c:catAx>
        <c:axId val="605970016"/>
        <c:scaling>
          <c:orientation val="minMax"/>
        </c:scaling>
        <c:delete val="0"/>
        <c:axPos val="b"/>
        <c:numFmt formatCode="General" sourceLinked="1"/>
        <c:majorTickMark val="none"/>
        <c:minorTickMark val="none"/>
        <c:tickLblPos val="nextTo"/>
        <c:spPr>
          <a:noFill/>
          <a:ln w="8472" cap="flat" cmpd="sng" algn="ctr">
            <a:solidFill>
              <a:schemeClr val="tx1">
                <a:lumMod val="15000"/>
                <a:lumOff val="85000"/>
              </a:schemeClr>
            </a:solidFill>
            <a:round/>
          </a:ln>
          <a:effectLst/>
        </c:spPr>
        <c:txPr>
          <a:bodyPr rot="-60000000" spcFirstLastPara="1" vertOverflow="ellipsis" vert="horz" wrap="square" anchor="ctr" anchorCtr="1"/>
          <a:lstStyle/>
          <a:p>
            <a:pPr>
              <a:defRPr sz="801" b="0" i="0" u="none" strike="noStrike" baseline="0">
                <a:solidFill>
                  <a:schemeClr val="tx1"/>
                </a:solidFill>
                <a:latin typeface="PT Astra Serif" pitchFamily="18" charset="-52"/>
                <a:ea typeface="PT Astra Serif" pitchFamily="18" charset="-52"/>
                <a:cs typeface="Times New Roman"/>
              </a:defRPr>
            </a:pPr>
            <a:endParaRPr lang="ru-RU"/>
          </a:p>
        </c:txPr>
        <c:crossAx val="605970408"/>
        <c:crosses val="autoZero"/>
        <c:auto val="1"/>
        <c:lblAlgn val="ctr"/>
        <c:lblOffset val="100"/>
        <c:noMultiLvlLbl val="0"/>
      </c:catAx>
      <c:valAx>
        <c:axId val="605970408"/>
        <c:scaling>
          <c:orientation val="minMax"/>
          <c:min val="120000"/>
        </c:scaling>
        <c:delete val="0"/>
        <c:axPos val="l"/>
        <c:majorGridlines>
          <c:spPr>
            <a:ln w="8472" cap="flat" cmpd="sng" algn="ctr">
              <a:solidFill>
                <a:schemeClr val="tx1">
                  <a:lumMod val="15000"/>
                  <a:lumOff val="85000"/>
                </a:schemeClr>
              </a:solidFill>
              <a:round/>
            </a:ln>
            <a:effectLst/>
          </c:spPr>
        </c:majorGridlines>
        <c:numFmt formatCode="#,##0" sourceLinked="0"/>
        <c:majorTickMark val="none"/>
        <c:minorTickMark val="none"/>
        <c:tickLblPos val="nextTo"/>
        <c:spPr>
          <a:ln w="5648">
            <a:noFill/>
          </a:ln>
        </c:spPr>
        <c:txPr>
          <a:bodyPr rot="-60000000" spcFirstLastPara="1" vertOverflow="ellipsis" vert="horz" wrap="square" anchor="ctr" anchorCtr="1"/>
          <a:lstStyle/>
          <a:p>
            <a:pPr>
              <a:defRPr sz="801" b="0" i="0" u="none" strike="noStrike" baseline="0">
                <a:solidFill>
                  <a:schemeClr val="tx1"/>
                </a:solidFill>
                <a:latin typeface="PT Astra Serif" pitchFamily="18" charset="-52"/>
                <a:ea typeface="PT Astra Serif" pitchFamily="18" charset="-52"/>
                <a:cs typeface="Times New Roman"/>
              </a:defRPr>
            </a:pPr>
            <a:endParaRPr lang="ru-RU"/>
          </a:p>
        </c:txPr>
        <c:crossAx val="605970016"/>
        <c:crosses val="autoZero"/>
        <c:crossBetween val="between"/>
      </c:valAx>
      <c:catAx>
        <c:axId val="605970800"/>
        <c:scaling>
          <c:orientation val="minMax"/>
        </c:scaling>
        <c:delete val="1"/>
        <c:axPos val="b"/>
        <c:numFmt formatCode="General" sourceLinked="1"/>
        <c:majorTickMark val="out"/>
        <c:minorTickMark val="none"/>
        <c:tickLblPos val="none"/>
        <c:crossAx val="605971192"/>
        <c:crosses val="autoZero"/>
        <c:auto val="1"/>
        <c:lblAlgn val="ctr"/>
        <c:lblOffset val="100"/>
        <c:noMultiLvlLbl val="0"/>
      </c:catAx>
      <c:valAx>
        <c:axId val="605971192"/>
        <c:scaling>
          <c:orientation val="minMax"/>
          <c:min val="9000"/>
        </c:scaling>
        <c:delete val="0"/>
        <c:axPos val="r"/>
        <c:numFmt formatCode="#,##0" sourceLinked="1"/>
        <c:majorTickMark val="out"/>
        <c:minorTickMark val="none"/>
        <c:tickLblPos val="nextTo"/>
        <c:spPr>
          <a:ln w="5648">
            <a:noFill/>
          </a:ln>
        </c:spPr>
        <c:txPr>
          <a:bodyPr rot="-60000000" spcFirstLastPara="1" vertOverflow="ellipsis" vert="horz" wrap="square" anchor="ctr" anchorCtr="1"/>
          <a:lstStyle/>
          <a:p>
            <a:pPr>
              <a:defRPr sz="801" b="0" i="0" u="none" strike="noStrike" baseline="0">
                <a:solidFill>
                  <a:schemeClr val="tx1"/>
                </a:solidFill>
                <a:latin typeface="PT Astra Serif" pitchFamily="18" charset="-52"/>
                <a:ea typeface="PT Astra Serif" pitchFamily="18" charset="-52"/>
                <a:cs typeface="Times New Roman"/>
              </a:defRPr>
            </a:pPr>
            <a:endParaRPr lang="ru-RU"/>
          </a:p>
        </c:txPr>
        <c:crossAx val="605970800"/>
        <c:crosses val="max"/>
        <c:crossBetween val="between"/>
      </c:valAx>
      <c:spPr>
        <a:noFill/>
        <a:ln w="22592">
          <a:noFill/>
        </a:ln>
      </c:spPr>
    </c:plotArea>
    <c:legend>
      <c:legendPos val="b"/>
      <c:layout>
        <c:manualLayout>
          <c:xMode val="edge"/>
          <c:yMode val="edge"/>
          <c:x val="6.134191695093489E-2"/>
          <c:y val="0.775223440207229"/>
          <c:w val="0.88138295416655976"/>
          <c:h val="0.18883262141251955"/>
        </c:manualLayout>
      </c:layout>
      <c:overlay val="0"/>
      <c:spPr>
        <a:noFill/>
        <a:ln w="22592">
          <a:noFill/>
        </a:ln>
      </c:spPr>
      <c:txPr>
        <a:bodyPr rot="0" spcFirstLastPara="1" vertOverflow="ellipsis" vert="horz" wrap="square" anchor="ctr" anchorCtr="1"/>
        <a:lstStyle/>
        <a:p>
          <a:pPr>
            <a:defRPr sz="801" b="0" i="0" u="none" strike="noStrike" baseline="0">
              <a:solidFill>
                <a:schemeClr val="tx1"/>
              </a:solidFill>
              <a:latin typeface="PT Astra Serif" pitchFamily="18" charset="-52"/>
              <a:ea typeface="PT Astra Serif" pitchFamily="18" charset="-52"/>
              <a:cs typeface="Times New Roman"/>
            </a:defRPr>
          </a:pPr>
          <a:endParaRPr lang="ru-RU"/>
        </a:p>
      </c:txPr>
    </c:legend>
    <c:plotVisOnly val="1"/>
    <c:dispBlanksAs val="gap"/>
    <c:showDLblsOverMax val="0"/>
  </c:chart>
  <c:spPr>
    <a:solidFill>
      <a:schemeClr val="bg1"/>
    </a:solidFill>
    <a:ln>
      <a:noFill/>
    </a:ln>
    <a:effectLst/>
  </c:spPr>
  <c:txPr>
    <a:bodyPr/>
    <a:lstStyle/>
    <a:p>
      <a:pPr>
        <a:defRPr>
          <a:latin typeface="Times New Roman"/>
          <a:cs typeface="Times New Roman"/>
        </a:defRPr>
      </a:pPr>
      <a:endParaRPr lang="ru-RU"/>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Аналитика_Стр_Доходы!$D$32</c:f>
              <c:strCache>
                <c:ptCount val="1"/>
                <c:pt idx="0">
                  <c:v>2024 г.</c:v>
                </c:pt>
              </c:strCache>
            </c:strRef>
          </c:tx>
          <c:spPr>
            <a:solidFill>
              <a:srgbClr val="6F94C0"/>
            </a:solidFill>
            <a:ln w="12698">
              <a:solidFill>
                <a:srgbClr val="FFFFFF"/>
              </a:solidFill>
              <a:prstDash val="solid"/>
            </a:ln>
          </c:spPr>
          <c:invertIfNegative val="0"/>
          <c:dLbls>
            <c:spPr>
              <a:noFill/>
              <a:ln w="25396">
                <a:noFill/>
              </a:ln>
            </c:spPr>
            <c:txPr>
              <a:bodyPr rot="0" spcFirstLastPara="1" vertOverflow="ellipsis" vert="horz" wrap="square" anchor="ctr" anchorCtr="1"/>
              <a:lstStyle/>
              <a:p>
                <a:pPr>
                  <a:defRPr sz="900" b="0" i="0" u="none" strike="noStrike">
                    <a:solidFill>
                      <a:schemeClr val="tx1">
                        <a:lumMod val="75000"/>
                        <a:lumOff val="25000"/>
                      </a:schemeClr>
                    </a:solidFill>
                    <a:latin typeface="Times New Roman"/>
                    <a:ea typeface="+mn-ea"/>
                    <a:cs typeface="Times New Roman"/>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Аналитика_Стр_Доходы!$A$33:$A$42</c:f>
              <c:strCache>
                <c:ptCount val="10"/>
                <c:pt idx="0">
                  <c:v>Иные бюджетные трансферты</c:v>
                </c:pt>
                <c:pt idx="1">
                  <c:v>Дотации бюджетам бюджетной системы Российской Федерации</c:v>
                </c:pt>
                <c:pt idx="2">
                  <c:v>Доходы от продажи материальных и нематериальных активов</c:v>
                </c:pt>
                <c:pt idx="3">
                  <c:v>Другие статьи доходов</c:v>
                </c:pt>
                <c:pt idx="4">
                  <c:v>Доходы от использования имущества, находящегося в государственной и муниципальной собственности</c:v>
                </c:pt>
                <c:pt idx="5">
                  <c:v>Налоги на имущество</c:v>
                </c:pt>
                <c:pt idx="6">
                  <c:v>Налоги на совокупный доход</c:v>
                </c:pt>
                <c:pt idx="7">
                  <c:v>Субвенции бюджетам бюджетной системы Российской Федерации</c:v>
                </c:pt>
                <c:pt idx="8">
                  <c:v>Субсидии бюджетам бюджетной системы Российской Федерации (межбюджетные субсидии)</c:v>
                </c:pt>
                <c:pt idx="9">
                  <c:v>Налог на доходы физических лиц</c:v>
                </c:pt>
              </c:strCache>
            </c:strRef>
          </c:cat>
          <c:val>
            <c:numRef>
              <c:f>Аналитика_Стр_Доходы!$D$33:$D$42</c:f>
              <c:numCache>
                <c:formatCode>0.00%</c:formatCode>
                <c:ptCount val="10"/>
                <c:pt idx="0">
                  <c:v>3.0091238061621137E-4</c:v>
                </c:pt>
                <c:pt idx="1">
                  <c:v>2.6324389694264102E-3</c:v>
                </c:pt>
                <c:pt idx="2">
                  <c:v>1.098509647419197E-2</c:v>
                </c:pt>
                <c:pt idx="3">
                  <c:v>2.2759933442581246E-2</c:v>
                </c:pt>
                <c:pt idx="4">
                  <c:v>7.6870230892181327E-2</c:v>
                </c:pt>
                <c:pt idx="5">
                  <c:v>4.9729966510483559E-2</c:v>
                </c:pt>
                <c:pt idx="6">
                  <c:v>0.1497880261737522</c:v>
                </c:pt>
                <c:pt idx="7">
                  <c:v>0.31342848523389627</c:v>
                </c:pt>
                <c:pt idx="8">
                  <c:v>0.19490814355084793</c:v>
                </c:pt>
                <c:pt idx="9">
                  <c:v>0.17843360973910749</c:v>
                </c:pt>
              </c:numCache>
            </c:numRef>
          </c:val>
        </c:ser>
        <c:ser>
          <c:idx val="1"/>
          <c:order val="1"/>
          <c:tx>
            <c:strRef>
              <c:f>Аналитика_Стр_Доходы!$E$32</c:f>
              <c:strCache>
                <c:ptCount val="1"/>
                <c:pt idx="0">
                  <c:v>2012 г.</c:v>
                </c:pt>
              </c:strCache>
            </c:strRef>
          </c:tx>
          <c:spPr>
            <a:solidFill>
              <a:srgbClr val="002060"/>
            </a:solidFill>
            <a:ln w="12698">
              <a:solidFill>
                <a:srgbClr val="FFFFFF"/>
              </a:solidFill>
              <a:prstDash val="solid"/>
            </a:ln>
          </c:spPr>
          <c:invertIfNegative val="0"/>
          <c:dLbls>
            <c:spPr>
              <a:noFill/>
              <a:ln w="25396">
                <a:noFill/>
              </a:ln>
            </c:spPr>
            <c:txPr>
              <a:bodyPr rot="0" spcFirstLastPara="1" vertOverflow="ellipsis" vert="horz" wrap="square" anchor="ctr" anchorCtr="1"/>
              <a:lstStyle/>
              <a:p>
                <a:pPr>
                  <a:defRPr sz="900" b="0" i="0" u="none" strike="noStrike">
                    <a:solidFill>
                      <a:schemeClr val="tx1">
                        <a:lumMod val="75000"/>
                        <a:lumOff val="25000"/>
                      </a:schemeClr>
                    </a:solidFill>
                    <a:latin typeface="Times New Roman"/>
                    <a:ea typeface="+mn-ea"/>
                    <a:cs typeface="Times New Roman"/>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Аналитика_Стр_Доходы!$A$33:$A$42</c:f>
              <c:strCache>
                <c:ptCount val="10"/>
                <c:pt idx="0">
                  <c:v>Иные бюджетные трансферты</c:v>
                </c:pt>
                <c:pt idx="1">
                  <c:v>Дотации бюджетам бюджетной системы Российской Федерации</c:v>
                </c:pt>
                <c:pt idx="2">
                  <c:v>Доходы от продажи материальных и нематериальных активов</c:v>
                </c:pt>
                <c:pt idx="3">
                  <c:v>Другие статьи доходов</c:v>
                </c:pt>
                <c:pt idx="4">
                  <c:v>Доходы от использования имущества, находящегося в государственной и муниципальной собственности</c:v>
                </c:pt>
                <c:pt idx="5">
                  <c:v>Налоги на имущество</c:v>
                </c:pt>
                <c:pt idx="6">
                  <c:v>Налоги на совокупный доход</c:v>
                </c:pt>
                <c:pt idx="7">
                  <c:v>Субвенции бюджетам бюджетной системы Российской Федерации</c:v>
                </c:pt>
                <c:pt idx="8">
                  <c:v>Субсидии бюджетам бюджетной системы Российской Федерации (межбюджетные субсидии)</c:v>
                </c:pt>
                <c:pt idx="9">
                  <c:v>Налог на доходы физических лиц</c:v>
                </c:pt>
              </c:strCache>
            </c:strRef>
          </c:cat>
          <c:val>
            <c:numRef>
              <c:f>Аналитика_Стр_Доходы!$E$33:$E$42</c:f>
              <c:numCache>
                <c:formatCode>0.00%</c:formatCode>
                <c:ptCount val="10"/>
                <c:pt idx="0">
                  <c:v>4.8003818533996507E-3</c:v>
                </c:pt>
                <c:pt idx="1">
                  <c:v>8.1307888293585297E-3</c:v>
                </c:pt>
                <c:pt idx="2">
                  <c:v>2.6610192360781049E-2</c:v>
                </c:pt>
                <c:pt idx="3">
                  <c:v>2.8713356108672809E-2</c:v>
                </c:pt>
                <c:pt idx="4">
                  <c:v>8.3334114876709803E-2</c:v>
                </c:pt>
                <c:pt idx="5">
                  <c:v>0.10957939954804852</c:v>
                </c:pt>
                <c:pt idx="6">
                  <c:v>0.12246414377953423</c:v>
                </c:pt>
                <c:pt idx="7">
                  <c:v>0.19157550476501536</c:v>
                </c:pt>
                <c:pt idx="8">
                  <c:v>0.19391049000172583</c:v>
                </c:pt>
                <c:pt idx="9">
                  <c:v>0.26273083938013903</c:v>
                </c:pt>
              </c:numCache>
            </c:numRef>
          </c:val>
        </c:ser>
        <c:dLbls>
          <c:showLegendKey val="0"/>
          <c:showVal val="0"/>
          <c:showCatName val="0"/>
          <c:showSerName val="0"/>
          <c:showPercent val="0"/>
          <c:showBubbleSize val="0"/>
        </c:dLbls>
        <c:gapWidth val="150"/>
        <c:axId val="604996984"/>
        <c:axId val="604997376"/>
      </c:barChart>
      <c:catAx>
        <c:axId val="604996984"/>
        <c:scaling>
          <c:orientation val="minMax"/>
        </c:scaling>
        <c:delete val="0"/>
        <c:axPos val="l"/>
        <c:numFmt formatCode="General" sourceLinked="1"/>
        <c:majorTickMark val="out"/>
        <c:minorTickMark val="none"/>
        <c:tickLblPos val="nextTo"/>
        <c:spPr>
          <a:noFill/>
          <a:ln w="9524"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a:solidFill>
                  <a:schemeClr val="tx1">
                    <a:lumMod val="65000"/>
                    <a:lumOff val="35000"/>
                  </a:schemeClr>
                </a:solidFill>
                <a:latin typeface="Times New Roman"/>
                <a:ea typeface="+mn-ea"/>
                <a:cs typeface="Times New Roman"/>
              </a:defRPr>
            </a:pPr>
            <a:endParaRPr lang="ru-RU"/>
          </a:p>
        </c:txPr>
        <c:crossAx val="604997376"/>
        <c:crosses val="autoZero"/>
        <c:auto val="1"/>
        <c:lblAlgn val="ctr"/>
        <c:lblOffset val="100"/>
        <c:noMultiLvlLbl val="0"/>
      </c:catAx>
      <c:valAx>
        <c:axId val="604997376"/>
        <c:scaling>
          <c:orientation val="minMax"/>
        </c:scaling>
        <c:delete val="0"/>
        <c:axPos val="b"/>
        <c:majorGridlines>
          <c:spPr>
            <a:ln w="9524" cap="flat" cmpd="sng" algn="ctr">
              <a:solidFill>
                <a:schemeClr val="tx1">
                  <a:lumMod val="15000"/>
                  <a:lumOff val="85000"/>
                </a:schemeClr>
              </a:solidFill>
              <a:round/>
            </a:ln>
            <a:effectLst/>
          </c:spPr>
        </c:majorGridlines>
        <c:numFmt formatCode="0.00%" sourceLinked="1"/>
        <c:majorTickMark val="out"/>
        <c:minorTickMark val="none"/>
        <c:tickLblPos val="nextTo"/>
        <c:spPr>
          <a:ln w="9524">
            <a:noFill/>
          </a:ln>
        </c:spPr>
        <c:txPr>
          <a:bodyPr rot="-60000000" spcFirstLastPara="1" vertOverflow="ellipsis" vert="horz" wrap="square" anchor="ctr" anchorCtr="1"/>
          <a:lstStyle/>
          <a:p>
            <a:pPr>
              <a:defRPr sz="900" b="0" i="0" u="none" strike="noStrike">
                <a:solidFill>
                  <a:schemeClr val="tx1">
                    <a:lumMod val="65000"/>
                    <a:lumOff val="35000"/>
                  </a:schemeClr>
                </a:solidFill>
                <a:latin typeface="Times New Roman"/>
                <a:ea typeface="+mn-ea"/>
                <a:cs typeface="Times New Roman"/>
              </a:defRPr>
            </a:pPr>
            <a:endParaRPr lang="ru-RU"/>
          </a:p>
        </c:txPr>
        <c:crossAx val="604996984"/>
        <c:crosses val="autoZero"/>
        <c:crossBetween val="between"/>
      </c:valAx>
      <c:spPr>
        <a:noFill/>
        <a:ln w="25396">
          <a:noFill/>
        </a:ln>
      </c:spPr>
    </c:plotArea>
    <c:legend>
      <c:legendPos val="b"/>
      <c:layout/>
      <c:overlay val="0"/>
      <c:spPr>
        <a:noFill/>
        <a:ln w="25396">
          <a:noFill/>
        </a:ln>
      </c:spPr>
      <c:txPr>
        <a:bodyPr rot="0" spcFirstLastPara="1" vertOverflow="ellipsis" vert="horz" wrap="square" anchor="ctr" anchorCtr="1"/>
        <a:lstStyle/>
        <a:p>
          <a:pPr>
            <a:defRPr sz="900" b="0" i="0" u="none" strike="noStrike">
              <a:solidFill>
                <a:schemeClr val="tx1">
                  <a:lumMod val="65000"/>
                  <a:lumOff val="35000"/>
                </a:schemeClr>
              </a:solidFill>
              <a:latin typeface="Times New Roman"/>
              <a:ea typeface="+mn-ea"/>
              <a:cs typeface="Times New Roman"/>
            </a:defRPr>
          </a:pPr>
          <a:endParaRPr lang="ru-RU"/>
        </a:p>
      </c:txPr>
    </c:legend>
    <c:plotVisOnly val="1"/>
    <c:dispBlanksAs val="gap"/>
    <c:showDLblsOverMax val="0"/>
  </c:chart>
  <c:spPr>
    <a:solidFill>
      <a:schemeClr val="bg1"/>
    </a:solidFill>
    <a:ln>
      <a:noFill/>
    </a:ln>
    <a:effectLst/>
  </c:spPr>
  <c:txPr>
    <a:bodyPr/>
    <a:lstStyle/>
    <a:p>
      <a:pPr>
        <a:defRPr>
          <a:latin typeface="Times New Roman"/>
          <a:cs typeface="Times New Roman"/>
        </a:defRPr>
      </a:pPr>
      <a:endParaRPr lang="ru-RU"/>
    </a:p>
  </c:tx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'рисунок 62'!$A$4</c:f>
              <c:strCache>
                <c:ptCount val="1"/>
                <c:pt idx="0">
                  <c:v>Доходы бюджета на 1 жителя в ценах на конец 2024 г.</c:v>
                </c:pt>
              </c:strCache>
            </c:strRef>
          </c:tx>
          <c:spPr>
            <a:ln w="27014" cap="rnd">
              <a:solidFill>
                <a:srgbClr val="002060"/>
              </a:solidFill>
              <a:round/>
            </a:ln>
            <a:effectLst/>
          </c:spPr>
          <c:marker>
            <c:symbol val="none"/>
          </c:marker>
          <c:dLbls>
            <c:dLbl>
              <c:idx val="3"/>
              <c:layout>
                <c:manualLayout>
                  <c:x val="-9.1662296889532327E-2"/>
                  <c:y val="-2.3663872270007841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4.5349710202021269E-2"/>
                  <c:y val="-6.492281365343909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9"/>
              <c:layout>
                <c:manualLayout>
                  <c:x val="-5.8384332862524591E-2"/>
                  <c:y val="-6.8309056813961128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11"/>
              <c:layout>
                <c:manualLayout>
                  <c:x val="-4.4628700562729627E-2"/>
                  <c:y val="3.6331456145884691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w="24012">
                <a:noFill/>
              </a:ln>
            </c:spPr>
            <c:txPr>
              <a:bodyPr rot="0" spcFirstLastPara="1" vertOverflow="ellipsis" vert="horz" wrap="square" anchor="ctr" anchorCtr="1"/>
              <a:lstStyle/>
              <a:p>
                <a:pPr>
                  <a:defRPr sz="851" b="0" i="0" u="none" strike="noStrike" kern="1200" baseline="0">
                    <a:solidFill>
                      <a:sysClr val="windowText" lastClr="000000"/>
                    </a:solidFill>
                    <a:latin typeface="PT Astra Serif" pitchFamily="18" charset="-52"/>
                    <a:ea typeface="PT Astra Serif" pitchFamily="18" charset="-52"/>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'рисунок 62'!$B$2:$N$2</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'рисунок 62'!$B$4:$N$4</c:f>
              <c:numCache>
                <c:formatCode>#,##0</c:formatCode>
                <c:ptCount val="13"/>
                <c:pt idx="0">
                  <c:v>30611.090882212167</c:v>
                </c:pt>
                <c:pt idx="1">
                  <c:v>32574.862950149734</c:v>
                </c:pt>
                <c:pt idx="2">
                  <c:v>31607.010726120527</c:v>
                </c:pt>
                <c:pt idx="3">
                  <c:v>25532.914029471718</c:v>
                </c:pt>
                <c:pt idx="4">
                  <c:v>24048.472320620178</c:v>
                </c:pt>
                <c:pt idx="5">
                  <c:v>26411.667405251901</c:v>
                </c:pt>
                <c:pt idx="6">
                  <c:v>28349.267284289868</c:v>
                </c:pt>
                <c:pt idx="7">
                  <c:v>32072.455607506658</c:v>
                </c:pt>
                <c:pt idx="8">
                  <c:v>33471.81207664813</c:v>
                </c:pt>
                <c:pt idx="9">
                  <c:v>35840.756243684671</c:v>
                </c:pt>
                <c:pt idx="10">
                  <c:v>43997.977248708914</c:v>
                </c:pt>
                <c:pt idx="11">
                  <c:v>39255.862799303992</c:v>
                </c:pt>
                <c:pt idx="12">
                  <c:v>44204.084609258192</c:v>
                </c:pt>
              </c:numCache>
            </c:numRef>
          </c:val>
          <c:smooth val="0"/>
        </c:ser>
        <c:dLbls>
          <c:showLegendKey val="0"/>
          <c:showVal val="0"/>
          <c:showCatName val="0"/>
          <c:showSerName val="0"/>
          <c:showPercent val="0"/>
          <c:showBubbleSize val="0"/>
        </c:dLbls>
        <c:smooth val="0"/>
        <c:axId val="604998160"/>
        <c:axId val="604998552"/>
      </c:lineChart>
      <c:catAx>
        <c:axId val="604998160"/>
        <c:scaling>
          <c:orientation val="minMax"/>
        </c:scaling>
        <c:delete val="0"/>
        <c:axPos val="b"/>
        <c:numFmt formatCode="General" sourceLinked="1"/>
        <c:majorTickMark val="none"/>
        <c:minorTickMark val="none"/>
        <c:tickLblPos val="nextTo"/>
        <c:spPr>
          <a:noFill/>
          <a:ln w="9005" cap="flat" cmpd="sng" algn="ctr">
            <a:solidFill>
              <a:schemeClr val="tx1">
                <a:lumMod val="15000"/>
                <a:lumOff val="85000"/>
              </a:schemeClr>
            </a:solidFill>
            <a:round/>
          </a:ln>
          <a:effectLst/>
        </c:spPr>
        <c:txPr>
          <a:bodyPr rot="-60000000" spcFirstLastPara="1" vertOverflow="ellipsis" vert="horz" wrap="square" anchor="ctr" anchorCtr="1"/>
          <a:lstStyle/>
          <a:p>
            <a:pPr>
              <a:defRPr sz="851" b="0" i="0" u="none" strike="noStrike" kern="1200" baseline="0">
                <a:solidFill>
                  <a:sysClr val="windowText" lastClr="000000"/>
                </a:solidFill>
                <a:latin typeface="PT Astra Serif" pitchFamily="18" charset="-52"/>
                <a:ea typeface="PT Astra Serif" pitchFamily="18" charset="-52"/>
                <a:cs typeface="Times New Roman" panose="02020603050405020304" pitchFamily="18" charset="0"/>
              </a:defRPr>
            </a:pPr>
            <a:endParaRPr lang="ru-RU"/>
          </a:p>
        </c:txPr>
        <c:crossAx val="604998552"/>
        <c:crosses val="autoZero"/>
        <c:auto val="1"/>
        <c:lblAlgn val="ctr"/>
        <c:lblOffset val="100"/>
        <c:noMultiLvlLbl val="0"/>
      </c:catAx>
      <c:valAx>
        <c:axId val="604998552"/>
        <c:scaling>
          <c:orientation val="minMax"/>
          <c:min val="20000"/>
        </c:scaling>
        <c:delete val="0"/>
        <c:axPos val="l"/>
        <c:majorGridlines>
          <c:spPr>
            <a:ln w="9005" cap="flat" cmpd="sng" algn="ctr">
              <a:solidFill>
                <a:schemeClr val="tx1">
                  <a:lumMod val="15000"/>
                  <a:lumOff val="85000"/>
                </a:schemeClr>
              </a:solidFill>
              <a:round/>
            </a:ln>
            <a:effectLst/>
          </c:spPr>
        </c:majorGridlines>
        <c:numFmt formatCode="#,##0" sourceLinked="1"/>
        <c:majorTickMark val="none"/>
        <c:minorTickMark val="none"/>
        <c:tickLblPos val="nextTo"/>
        <c:spPr>
          <a:ln w="6003">
            <a:noFill/>
          </a:ln>
        </c:spPr>
        <c:txPr>
          <a:bodyPr rot="-60000000" spcFirstLastPara="1" vertOverflow="ellipsis" vert="horz" wrap="square" anchor="ctr" anchorCtr="1"/>
          <a:lstStyle/>
          <a:p>
            <a:pPr>
              <a:defRPr sz="851" b="0" i="0" u="none" strike="noStrike" kern="1200" baseline="0">
                <a:solidFill>
                  <a:sysClr val="windowText" lastClr="000000"/>
                </a:solidFill>
                <a:latin typeface="PT Astra Serif" pitchFamily="18" charset="-52"/>
                <a:ea typeface="PT Astra Serif" pitchFamily="18" charset="-52"/>
                <a:cs typeface="Times New Roman" panose="02020603050405020304" pitchFamily="18" charset="0"/>
              </a:defRPr>
            </a:pPr>
            <a:endParaRPr lang="ru-RU"/>
          </a:p>
        </c:txPr>
        <c:crossAx val="604998160"/>
        <c:crosses val="autoZero"/>
        <c:crossBetween val="between"/>
      </c:valAx>
      <c:spPr>
        <a:noFill/>
        <a:ln w="24012">
          <a:noFill/>
        </a:ln>
      </c:spPr>
    </c:plotArea>
    <c:plotVisOnly val="1"/>
    <c:dispBlanksAs val="gap"/>
    <c:showDLblsOverMax val="0"/>
  </c:chart>
  <c:spPr>
    <a:solidFill>
      <a:schemeClr val="bg1"/>
    </a:solidFill>
    <a:ln>
      <a:noFill/>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tx>
            <c:strRef>
              <c:f>Аналитика!$D$1</c:f>
              <c:strCache>
                <c:ptCount val="1"/>
                <c:pt idx="0">
                  <c:v>2012 г.</c:v>
                </c:pt>
              </c:strCache>
            </c:strRef>
          </c:tx>
          <c:spPr>
            <a:solidFill>
              <a:srgbClr val="002060"/>
            </a:solidFill>
            <a:ln w="25406">
              <a:noFill/>
            </a:ln>
          </c:spPr>
          <c:invertIfNegative val="0"/>
          <c:dLbls>
            <c:spPr>
              <a:noFill/>
              <a:ln w="25406">
                <a:noFill/>
              </a:ln>
            </c:spPr>
            <c:txPr>
              <a:bodyPr rot="0" spcFirstLastPara="1" vertOverflow="ellipsis" vert="horz" wrap="square" anchor="ctr" anchorCtr="1"/>
              <a:lstStyle/>
              <a:p>
                <a:pPr>
                  <a:defRPr sz="900" b="0" i="0" u="none" strike="noStrike">
                    <a:solidFill>
                      <a:schemeClr val="tx1">
                        <a:lumMod val="75000"/>
                        <a:lumOff val="25000"/>
                      </a:schemeClr>
                    </a:solidFill>
                    <a:latin typeface="Times New Roman"/>
                    <a:ea typeface="+mn-ea"/>
                    <a:cs typeface="Times New Roman"/>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Аналитика!$A$3:$A$10</c:f>
              <c:strCache>
                <c:ptCount val="8"/>
                <c:pt idx="0">
                  <c:v>Образование</c:v>
                </c:pt>
                <c:pt idx="1">
                  <c:v>Социальная политика</c:v>
                </c:pt>
                <c:pt idx="2">
                  <c:v>Жилищно-коммунальное хозяйство</c:v>
                </c:pt>
                <c:pt idx="3">
                  <c:v>Общегосударственные вопросы</c:v>
                </c:pt>
                <c:pt idx="4">
                  <c:v>Национальная экономика</c:v>
                </c:pt>
                <c:pt idx="5">
                  <c:v>Культура, кинематография</c:v>
                </c:pt>
                <c:pt idx="6">
                  <c:v>Другие статьи расходов</c:v>
                </c:pt>
                <c:pt idx="7">
                  <c:v>Физическая культура и спорт</c:v>
                </c:pt>
              </c:strCache>
            </c:strRef>
          </c:cat>
          <c:val>
            <c:numRef>
              <c:f>Аналитика!$D$3:$D$10</c:f>
              <c:numCache>
                <c:formatCode>0.00%</c:formatCode>
                <c:ptCount val="8"/>
                <c:pt idx="0">
                  <c:v>0.54020333675773258</c:v>
                </c:pt>
                <c:pt idx="1">
                  <c:v>0.11647179081428632</c:v>
                </c:pt>
                <c:pt idx="2">
                  <c:v>0.11439092463766086</c:v>
                </c:pt>
                <c:pt idx="3">
                  <c:v>0.10134631270258228</c:v>
                </c:pt>
                <c:pt idx="4">
                  <c:v>9.1767225031961608E-2</c:v>
                </c:pt>
                <c:pt idx="5">
                  <c:v>2.218624989246611E-2</c:v>
                </c:pt>
                <c:pt idx="6">
                  <c:v>1.1919755513845868E-2</c:v>
                </c:pt>
                <c:pt idx="7">
                  <c:v>1.714404649464255E-3</c:v>
                </c:pt>
              </c:numCache>
            </c:numRef>
          </c:val>
        </c:ser>
        <c:ser>
          <c:idx val="1"/>
          <c:order val="1"/>
          <c:tx>
            <c:strRef>
              <c:f>Аналитика!$E$1</c:f>
              <c:strCache>
                <c:ptCount val="1"/>
                <c:pt idx="0">
                  <c:v>2024 г.</c:v>
                </c:pt>
              </c:strCache>
            </c:strRef>
          </c:tx>
          <c:spPr>
            <a:solidFill>
              <a:srgbClr val="6F94C0"/>
            </a:solidFill>
            <a:ln w="25406">
              <a:noFill/>
            </a:ln>
          </c:spPr>
          <c:invertIfNegative val="0"/>
          <c:dLbls>
            <c:dLbl>
              <c:idx val="6"/>
              <c:layout/>
              <c:tx>
                <c:rich>
                  <a:bodyPr/>
                  <a:lstStyle/>
                  <a:p>
                    <a:r>
                      <a:rPr lang="en-US"/>
                      <a:t>1,04%</a:t>
                    </a:r>
                  </a:p>
                </c:rich>
              </c:tx>
              <c:dLblPos val="outEnd"/>
              <c:showLegendKey val="0"/>
              <c:showVal val="0"/>
              <c:showCatName val="0"/>
              <c:showSerName val="0"/>
              <c:showPercent val="0"/>
              <c:showBubbleSize val="0"/>
              <c:extLst>
                <c:ext xmlns:c15="http://schemas.microsoft.com/office/drawing/2012/chart" uri="{CE6537A1-D6FC-4f65-9D91-7224C49458BB}">
                  <c15:layout/>
                </c:ext>
              </c:extLst>
            </c:dLbl>
            <c:spPr>
              <a:noFill/>
              <a:ln w="25406">
                <a:noFill/>
              </a:ln>
            </c:spPr>
            <c:txPr>
              <a:bodyPr rot="0" spcFirstLastPara="1" vertOverflow="ellipsis" vert="horz" wrap="square" anchor="ctr" anchorCtr="1"/>
              <a:lstStyle/>
              <a:p>
                <a:pPr>
                  <a:defRPr sz="900" b="0" i="0" u="none" strike="noStrike">
                    <a:solidFill>
                      <a:schemeClr val="tx1">
                        <a:lumMod val="75000"/>
                        <a:lumOff val="25000"/>
                      </a:schemeClr>
                    </a:solidFill>
                    <a:latin typeface="Times New Roman"/>
                    <a:ea typeface="+mn-ea"/>
                    <a:cs typeface="Times New Roman"/>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Аналитика!$A$3:$A$10</c:f>
              <c:strCache>
                <c:ptCount val="8"/>
                <c:pt idx="0">
                  <c:v>Образование</c:v>
                </c:pt>
                <c:pt idx="1">
                  <c:v>Социальная политика</c:v>
                </c:pt>
                <c:pt idx="2">
                  <c:v>Жилищно-коммунальное хозяйство</c:v>
                </c:pt>
                <c:pt idx="3">
                  <c:v>Общегосударственные вопросы</c:v>
                </c:pt>
                <c:pt idx="4">
                  <c:v>Национальная экономика</c:v>
                </c:pt>
                <c:pt idx="5">
                  <c:v>Культура, кинематография</c:v>
                </c:pt>
                <c:pt idx="6">
                  <c:v>Другие статьи расходов</c:v>
                </c:pt>
                <c:pt idx="7">
                  <c:v>Физическая культура и спорт</c:v>
                </c:pt>
              </c:strCache>
            </c:strRef>
          </c:cat>
          <c:val>
            <c:numRef>
              <c:f>Аналитика!$E$3:$E$10</c:f>
              <c:numCache>
                <c:formatCode>0.00%</c:formatCode>
                <c:ptCount val="8"/>
                <c:pt idx="0">
                  <c:v>0.53933256233599669</c:v>
                </c:pt>
                <c:pt idx="1">
                  <c:v>2.253471024527879E-2</c:v>
                </c:pt>
                <c:pt idx="2">
                  <c:v>0.16144898978552452</c:v>
                </c:pt>
                <c:pt idx="3">
                  <c:v>7.8608801527390859E-2</c:v>
                </c:pt>
                <c:pt idx="4">
                  <c:v>0.14785771251860835</c:v>
                </c:pt>
                <c:pt idx="5">
                  <c:v>1.8742471825933093E-2</c:v>
                </c:pt>
                <c:pt idx="6">
                  <c:v>1.0277829731267953E-2</c:v>
                </c:pt>
                <c:pt idx="7">
                  <c:v>2.1196922029999621E-2</c:v>
                </c:pt>
              </c:numCache>
            </c:numRef>
          </c:val>
        </c:ser>
        <c:dLbls>
          <c:showLegendKey val="0"/>
          <c:showVal val="0"/>
          <c:showCatName val="0"/>
          <c:showSerName val="0"/>
          <c:showPercent val="0"/>
          <c:showBubbleSize val="0"/>
        </c:dLbls>
        <c:gapWidth val="150"/>
        <c:axId val="604999336"/>
        <c:axId val="604999728"/>
      </c:barChart>
      <c:catAx>
        <c:axId val="604999336"/>
        <c:scaling>
          <c:orientation val="maxMin"/>
        </c:scaling>
        <c:delete val="0"/>
        <c:axPos val="l"/>
        <c:numFmt formatCode="General" sourceLinked="1"/>
        <c:majorTickMark val="none"/>
        <c:minorTickMark val="none"/>
        <c:tickLblPos val="nextTo"/>
        <c:spPr>
          <a:noFill/>
          <a:ln w="9527"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a:solidFill>
                  <a:schemeClr val="tx1">
                    <a:lumMod val="65000"/>
                    <a:lumOff val="35000"/>
                  </a:schemeClr>
                </a:solidFill>
                <a:latin typeface="Times New Roman"/>
                <a:ea typeface="+mn-ea"/>
                <a:cs typeface="Times New Roman"/>
              </a:defRPr>
            </a:pPr>
            <a:endParaRPr lang="ru-RU"/>
          </a:p>
        </c:txPr>
        <c:crossAx val="604999728"/>
        <c:crosses val="autoZero"/>
        <c:auto val="1"/>
        <c:lblAlgn val="ctr"/>
        <c:lblOffset val="100"/>
        <c:noMultiLvlLbl val="0"/>
      </c:catAx>
      <c:valAx>
        <c:axId val="604999728"/>
        <c:scaling>
          <c:orientation val="minMax"/>
        </c:scaling>
        <c:delete val="0"/>
        <c:axPos val="t"/>
        <c:majorGridlines>
          <c:spPr>
            <a:ln w="9527" cap="flat" cmpd="sng" algn="ctr">
              <a:solidFill>
                <a:schemeClr val="tx1">
                  <a:lumMod val="15000"/>
                  <a:lumOff val="85000"/>
                </a:schemeClr>
              </a:solidFill>
              <a:round/>
            </a:ln>
            <a:effectLst/>
          </c:spPr>
        </c:majorGridlines>
        <c:numFmt formatCode="0.00%" sourceLinked="1"/>
        <c:majorTickMark val="none"/>
        <c:minorTickMark val="none"/>
        <c:tickLblPos val="nextTo"/>
        <c:spPr>
          <a:ln w="9527">
            <a:noFill/>
          </a:ln>
        </c:spPr>
        <c:txPr>
          <a:bodyPr rot="-60000000" spcFirstLastPara="1" vertOverflow="ellipsis" vert="horz" wrap="square" anchor="ctr" anchorCtr="1"/>
          <a:lstStyle/>
          <a:p>
            <a:pPr>
              <a:defRPr sz="900" b="0" i="0" u="none" strike="noStrike">
                <a:solidFill>
                  <a:schemeClr val="tx1">
                    <a:lumMod val="65000"/>
                    <a:lumOff val="35000"/>
                  </a:schemeClr>
                </a:solidFill>
                <a:latin typeface="Times New Roman"/>
                <a:ea typeface="+mn-ea"/>
                <a:cs typeface="Times New Roman"/>
              </a:defRPr>
            </a:pPr>
            <a:endParaRPr lang="ru-RU"/>
          </a:p>
        </c:txPr>
        <c:crossAx val="604999336"/>
        <c:crosses val="autoZero"/>
        <c:crossBetween val="between"/>
      </c:valAx>
      <c:spPr>
        <a:noFill/>
        <a:ln w="25406">
          <a:noFill/>
        </a:ln>
      </c:spPr>
    </c:plotArea>
    <c:legend>
      <c:legendPos val="r"/>
      <c:layout/>
      <c:overlay val="0"/>
      <c:spPr>
        <a:noFill/>
        <a:ln w="25406">
          <a:noFill/>
        </a:ln>
      </c:spPr>
      <c:txPr>
        <a:bodyPr rot="0" spcFirstLastPara="1" vertOverflow="ellipsis" vert="horz" wrap="square" anchor="ctr" anchorCtr="1"/>
        <a:lstStyle/>
        <a:p>
          <a:pPr>
            <a:defRPr sz="900" b="0" i="0" u="none" strike="noStrike">
              <a:solidFill>
                <a:schemeClr val="tx1">
                  <a:lumMod val="65000"/>
                  <a:lumOff val="35000"/>
                </a:schemeClr>
              </a:solidFill>
              <a:latin typeface="Times New Roman"/>
              <a:ea typeface="+mn-ea"/>
              <a:cs typeface="Times New Roman"/>
            </a:defRPr>
          </a:pPr>
          <a:endParaRPr lang="ru-RU"/>
        </a:p>
      </c:txPr>
    </c:legend>
    <c:plotVisOnly val="1"/>
    <c:dispBlanksAs val="gap"/>
    <c:showDLblsOverMax val="0"/>
  </c:chart>
  <c:spPr>
    <a:solidFill>
      <a:schemeClr val="bg1"/>
    </a:solidFill>
    <a:ln>
      <a:noFill/>
    </a:ln>
    <a:effectLst/>
  </c:spPr>
  <c:txPr>
    <a:bodyPr/>
    <a:lstStyle/>
    <a:p>
      <a:pPr>
        <a:defRPr>
          <a:latin typeface="Times New Roman"/>
          <a:cs typeface="Times New Roman"/>
        </a:defRPr>
      </a:pPr>
      <a:endParaRPr lang="ru-RU"/>
    </a:p>
  </c:tx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'рисунок 63-65'!$A$22</c:f>
              <c:strCache>
                <c:ptCount val="1"/>
                <c:pt idx="0">
                  <c:v>Налог на доходы физических лиц</c:v>
                </c:pt>
              </c:strCache>
            </c:strRef>
          </c:tx>
          <c:spPr>
            <a:ln w="26514" cap="rnd">
              <a:solidFill>
                <a:srgbClr val="6F94C0"/>
              </a:solidFill>
              <a:round/>
            </a:ln>
            <a:effectLst/>
          </c:spPr>
          <c:marker>
            <c:symbol val="none"/>
          </c:marker>
          <c:dLbls>
            <c:dLbl>
              <c:idx val="2"/>
              <c:layout>
                <c:manualLayout>
                  <c:x val="-1.3629159529831621E-2"/>
                  <c:y val="-2.4939220045338561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w="23568">
                <a:noFill/>
              </a:ln>
            </c:spPr>
            <c:txPr>
              <a:bodyPr rot="0" spcFirstLastPara="1" vertOverflow="ellipsis" vert="horz" wrap="square" anchor="ctr" anchorCtr="1"/>
              <a:lstStyle/>
              <a:p>
                <a:pPr>
                  <a:defRPr sz="835" b="0" i="0" u="none" strike="noStrike" kern="1200" baseline="0">
                    <a:solidFill>
                      <a:schemeClr val="tx1">
                        <a:lumMod val="75000"/>
                        <a:lumOff val="25000"/>
                      </a:schemeClr>
                    </a:solidFill>
                    <a:latin typeface="PT Astra Serif" pitchFamily="18" charset="-52"/>
                    <a:ea typeface="PT Astra Serif" pitchFamily="18" charset="-52"/>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'рисунок 63-65'!$B$21:$N$21</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'рисунок 63-65'!$B$22:$N$22</c:f>
              <c:numCache>
                <c:formatCode>0.00</c:formatCode>
                <c:ptCount val="13"/>
                <c:pt idx="0">
                  <c:v>5.5585503520239694</c:v>
                </c:pt>
                <c:pt idx="1">
                  <c:v>5.6290214159972614</c:v>
                </c:pt>
                <c:pt idx="2">
                  <c:v>3.8451696060157228</c:v>
                </c:pt>
                <c:pt idx="3">
                  <c:v>3.3489627535701798</c:v>
                </c:pt>
                <c:pt idx="4">
                  <c:v>3.1685318823178497</c:v>
                </c:pt>
                <c:pt idx="5">
                  <c:v>3.1608987174097458</c:v>
                </c:pt>
                <c:pt idx="6">
                  <c:v>3.5702885820323211</c:v>
                </c:pt>
                <c:pt idx="7">
                  <c:v>3.7845703514455846</c:v>
                </c:pt>
                <c:pt idx="8">
                  <c:v>3.9422465906996216</c:v>
                </c:pt>
                <c:pt idx="9">
                  <c:v>4.1901221864574785</c:v>
                </c:pt>
                <c:pt idx="10">
                  <c:v>4.4073699165502571</c:v>
                </c:pt>
                <c:pt idx="11">
                  <c:v>4.6131742452164417</c:v>
                </c:pt>
                <c:pt idx="12">
                  <c:v>5.4330481052500019</c:v>
                </c:pt>
              </c:numCache>
            </c:numRef>
          </c:val>
          <c:smooth val="0"/>
        </c:ser>
        <c:ser>
          <c:idx val="1"/>
          <c:order val="1"/>
          <c:tx>
            <c:strRef>
              <c:f>'рисунок 63-65'!$A$23</c:f>
              <c:strCache>
                <c:ptCount val="1"/>
                <c:pt idx="0">
                  <c:v>Налоги на совокупный доход</c:v>
                </c:pt>
              </c:strCache>
            </c:strRef>
          </c:tx>
          <c:spPr>
            <a:ln w="26514" cap="rnd">
              <a:solidFill>
                <a:srgbClr val="C0504D"/>
              </a:solidFill>
              <a:round/>
            </a:ln>
            <a:effectLst/>
          </c:spPr>
          <c:marker>
            <c:symbol val="none"/>
          </c:marker>
          <c:dLbls>
            <c:spPr>
              <a:noFill/>
              <a:ln w="23568">
                <a:noFill/>
              </a:ln>
            </c:spPr>
            <c:txPr>
              <a:bodyPr rot="0" spcFirstLastPara="1" vertOverflow="ellipsis" vert="horz" wrap="square" anchor="ctr" anchorCtr="1"/>
              <a:lstStyle/>
              <a:p>
                <a:pPr>
                  <a:defRPr sz="835" b="0" i="0" u="none" strike="noStrike" kern="1200" baseline="0">
                    <a:solidFill>
                      <a:schemeClr val="tx1">
                        <a:lumMod val="75000"/>
                        <a:lumOff val="25000"/>
                      </a:schemeClr>
                    </a:solidFill>
                    <a:latin typeface="PT Astra Serif" pitchFamily="18" charset="-52"/>
                    <a:ea typeface="PT Astra Serif" pitchFamily="18" charset="-52"/>
                    <a:cs typeface="Times New Roman" panose="02020603050405020304" pitchFamily="18" charset="0"/>
                  </a:defRPr>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'рисунок 63-65'!$B$21:$N$21</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'рисунок 63-65'!$B$23:$N$23</c:f>
              <c:numCache>
                <c:formatCode>0.00</c:formatCode>
                <c:ptCount val="13"/>
                <c:pt idx="0">
                  <c:v>2.5909524406121269</c:v>
                </c:pt>
                <c:pt idx="1">
                  <c:v>2.6085322625690281</c:v>
                </c:pt>
                <c:pt idx="2">
                  <c:v>2.5513057331786633</c:v>
                </c:pt>
                <c:pt idx="3">
                  <c:v>2.4637554165496973</c:v>
                </c:pt>
                <c:pt idx="4">
                  <c:v>2.3233684677295887</c:v>
                </c:pt>
                <c:pt idx="5">
                  <c:v>2.4772060950025607</c:v>
                </c:pt>
                <c:pt idx="6">
                  <c:v>2.7536513573925863</c:v>
                </c:pt>
                <c:pt idx="7">
                  <c:v>2.9928347756095661</c:v>
                </c:pt>
                <c:pt idx="8">
                  <c:v>2.9822239389374867</c:v>
                </c:pt>
                <c:pt idx="9">
                  <c:v>3.6441244896842742</c:v>
                </c:pt>
                <c:pt idx="10">
                  <c:v>3.8857490660379219</c:v>
                </c:pt>
                <c:pt idx="11">
                  <c:v>3.5784446691447309</c:v>
                </c:pt>
                <c:pt idx="12">
                  <c:v>4.5608310731499975</c:v>
                </c:pt>
              </c:numCache>
            </c:numRef>
          </c:val>
          <c:smooth val="0"/>
        </c:ser>
        <c:dLbls>
          <c:showLegendKey val="0"/>
          <c:showVal val="1"/>
          <c:showCatName val="0"/>
          <c:showSerName val="0"/>
          <c:showPercent val="0"/>
          <c:showBubbleSize val="0"/>
        </c:dLbls>
        <c:smooth val="0"/>
        <c:axId val="605000512"/>
        <c:axId val="605746904"/>
      </c:lineChart>
      <c:catAx>
        <c:axId val="605000512"/>
        <c:scaling>
          <c:orientation val="minMax"/>
        </c:scaling>
        <c:delete val="0"/>
        <c:axPos val="b"/>
        <c:numFmt formatCode="General" sourceLinked="1"/>
        <c:majorTickMark val="none"/>
        <c:minorTickMark val="none"/>
        <c:tickLblPos val="nextTo"/>
        <c:spPr>
          <a:noFill/>
          <a:ln w="8838" cap="flat" cmpd="sng" algn="ctr">
            <a:solidFill>
              <a:schemeClr val="tx1">
                <a:lumMod val="15000"/>
                <a:lumOff val="85000"/>
              </a:schemeClr>
            </a:solidFill>
            <a:round/>
          </a:ln>
          <a:effectLst/>
        </c:spPr>
        <c:txPr>
          <a:bodyPr rot="-60000000" spcFirstLastPara="1" vertOverflow="ellipsis" vert="horz" wrap="square" anchor="ctr" anchorCtr="1"/>
          <a:lstStyle/>
          <a:p>
            <a:pPr>
              <a:defRPr sz="835" b="0" i="0" u="none" strike="noStrike" kern="1200" baseline="0">
                <a:solidFill>
                  <a:schemeClr val="tx1">
                    <a:lumMod val="65000"/>
                    <a:lumOff val="35000"/>
                  </a:schemeClr>
                </a:solidFill>
                <a:latin typeface="PT Astra Serif" pitchFamily="18" charset="-52"/>
                <a:ea typeface="PT Astra Serif" pitchFamily="18" charset="-52"/>
                <a:cs typeface="Times New Roman" panose="02020603050405020304" pitchFamily="18" charset="0"/>
              </a:defRPr>
            </a:pPr>
            <a:endParaRPr lang="ru-RU"/>
          </a:p>
        </c:txPr>
        <c:crossAx val="605746904"/>
        <c:crosses val="autoZero"/>
        <c:auto val="1"/>
        <c:lblAlgn val="ctr"/>
        <c:lblOffset val="100"/>
        <c:noMultiLvlLbl val="0"/>
      </c:catAx>
      <c:valAx>
        <c:axId val="605746904"/>
        <c:scaling>
          <c:orientation val="minMax"/>
        </c:scaling>
        <c:delete val="0"/>
        <c:axPos val="l"/>
        <c:majorGridlines>
          <c:spPr>
            <a:ln w="8838" cap="flat" cmpd="sng" algn="ctr">
              <a:solidFill>
                <a:schemeClr val="tx1">
                  <a:lumMod val="15000"/>
                  <a:lumOff val="85000"/>
                </a:schemeClr>
              </a:solidFill>
              <a:round/>
            </a:ln>
            <a:effectLst/>
          </c:spPr>
        </c:majorGridlines>
        <c:numFmt formatCode="0.00" sourceLinked="1"/>
        <c:majorTickMark val="none"/>
        <c:minorTickMark val="none"/>
        <c:tickLblPos val="nextTo"/>
        <c:spPr>
          <a:ln w="5892">
            <a:noFill/>
          </a:ln>
        </c:spPr>
        <c:txPr>
          <a:bodyPr rot="-60000000" spcFirstLastPara="1" vertOverflow="ellipsis" vert="horz" wrap="square" anchor="ctr" anchorCtr="1"/>
          <a:lstStyle/>
          <a:p>
            <a:pPr>
              <a:defRPr sz="835" b="0" i="0" u="none" strike="noStrike" kern="1200" baseline="0">
                <a:solidFill>
                  <a:schemeClr val="tx1">
                    <a:lumMod val="65000"/>
                    <a:lumOff val="35000"/>
                  </a:schemeClr>
                </a:solidFill>
                <a:latin typeface="PT Astra Serif" pitchFamily="18" charset="-52"/>
                <a:ea typeface="PT Astra Serif" pitchFamily="18" charset="-52"/>
                <a:cs typeface="Times New Roman" panose="02020603050405020304" pitchFamily="18" charset="0"/>
              </a:defRPr>
            </a:pPr>
            <a:endParaRPr lang="ru-RU"/>
          </a:p>
        </c:txPr>
        <c:crossAx val="605000512"/>
        <c:crosses val="autoZero"/>
        <c:crossBetween val="between"/>
      </c:valAx>
      <c:spPr>
        <a:noFill/>
        <a:ln w="23568">
          <a:noFill/>
        </a:ln>
      </c:spPr>
    </c:plotArea>
    <c:legend>
      <c:legendPos val="b"/>
      <c:layout/>
      <c:overlay val="0"/>
      <c:spPr>
        <a:noFill/>
        <a:ln w="23568">
          <a:noFill/>
        </a:ln>
      </c:spPr>
      <c:txPr>
        <a:bodyPr rot="0" spcFirstLastPara="1" vertOverflow="ellipsis" vert="horz" wrap="square" anchor="ctr" anchorCtr="1"/>
        <a:lstStyle/>
        <a:p>
          <a:pPr>
            <a:defRPr sz="835" b="0" i="0" u="none" strike="noStrike" kern="1200" baseline="0">
              <a:solidFill>
                <a:schemeClr val="tx1">
                  <a:lumMod val="65000"/>
                  <a:lumOff val="35000"/>
                </a:schemeClr>
              </a:solidFill>
              <a:latin typeface="PT Astra Serif" pitchFamily="18" charset="-52"/>
              <a:ea typeface="PT Astra Serif" pitchFamily="18" charset="-52"/>
              <a:cs typeface="Times New Roman" panose="02020603050405020304" pitchFamily="18" charset="0"/>
            </a:defRPr>
          </a:pPr>
          <a:endParaRPr lang="ru-RU"/>
        </a:p>
      </c:txPr>
    </c:legend>
    <c:plotVisOnly val="1"/>
    <c:dispBlanksAs val="gap"/>
    <c:showDLblsOverMax val="0"/>
  </c:chart>
  <c:spPr>
    <a:solidFill>
      <a:schemeClr val="bg1"/>
    </a:solid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'рисунок 63-65'!$A$26</c:f>
              <c:strCache>
                <c:ptCount val="1"/>
                <c:pt idx="0">
                  <c:v>Налоги на имущество</c:v>
                </c:pt>
              </c:strCache>
            </c:strRef>
          </c:tx>
          <c:spPr>
            <a:ln w="27360" cap="rnd">
              <a:solidFill>
                <a:srgbClr val="6F94C0"/>
              </a:solidFill>
              <a:round/>
            </a:ln>
            <a:effectLst/>
          </c:spPr>
          <c:marker>
            <c:symbol val="none"/>
          </c:marker>
          <c:dLbls>
            <c:spPr>
              <a:noFill/>
              <a:ln w="24320">
                <a:noFill/>
              </a:ln>
            </c:spPr>
            <c:txPr>
              <a:bodyPr rot="0" spcFirstLastPara="1" vertOverflow="ellipsis" vert="horz" wrap="square" anchor="ctr" anchorCtr="1"/>
              <a:lstStyle/>
              <a:p>
                <a:pPr>
                  <a:defRPr sz="862" b="0" i="0" u="none" strike="noStrike" kern="1200" baseline="0">
                    <a:solidFill>
                      <a:sysClr val="windowText" lastClr="000000"/>
                    </a:solidFill>
                    <a:latin typeface="PT Astra Serif" pitchFamily="18" charset="-52"/>
                    <a:ea typeface="PT Astra Serif" pitchFamily="18" charset="-52"/>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'рисунок 63-65'!$B$21:$N$21</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'рисунок 63-65'!$B$26:$N$26</c:f>
              <c:numCache>
                <c:formatCode>0.00</c:formatCode>
                <c:ptCount val="13"/>
                <c:pt idx="0">
                  <c:v>2.3183521636418334</c:v>
                </c:pt>
                <c:pt idx="1">
                  <c:v>2.4213411972021581</c:v>
                </c:pt>
                <c:pt idx="2">
                  <c:v>2.2690496556939315</c:v>
                </c:pt>
                <c:pt idx="3">
                  <c:v>1.9799105443488629</c:v>
                </c:pt>
                <c:pt idx="4">
                  <c:v>1.9017167234046419</c:v>
                </c:pt>
                <c:pt idx="5">
                  <c:v>2.0769621439474579</c:v>
                </c:pt>
                <c:pt idx="6">
                  <c:v>1.9709162620362741</c:v>
                </c:pt>
                <c:pt idx="7">
                  <c:v>1.695702456376458</c:v>
                </c:pt>
                <c:pt idx="8">
                  <c:v>1.5836931526873645</c:v>
                </c:pt>
                <c:pt idx="9">
                  <c:v>1.6917712876519262</c:v>
                </c:pt>
                <c:pt idx="10">
                  <c:v>1.6837369242176059</c:v>
                </c:pt>
                <c:pt idx="11">
                  <c:v>1.4797118319872677</c:v>
                </c:pt>
                <c:pt idx="12">
                  <c:v>1.5142063242399999</c:v>
                </c:pt>
              </c:numCache>
            </c:numRef>
          </c:val>
          <c:smooth val="0"/>
        </c:ser>
        <c:ser>
          <c:idx val="1"/>
          <c:order val="1"/>
          <c:tx>
            <c:strRef>
              <c:f>'рисунок 63-65'!$A$27</c:f>
              <c:strCache>
                <c:ptCount val="1"/>
                <c:pt idx="0">
                  <c:v>Налог на имущество физических лиц</c:v>
                </c:pt>
              </c:strCache>
            </c:strRef>
          </c:tx>
          <c:spPr>
            <a:ln w="27360" cap="rnd">
              <a:solidFill>
                <a:srgbClr val="C0504D"/>
              </a:solidFill>
              <a:round/>
            </a:ln>
            <a:effectLst/>
          </c:spPr>
          <c:marker>
            <c:symbol val="none"/>
          </c:marker>
          <c:dLbls>
            <c:dLbl>
              <c:idx val="6"/>
              <c:layout>
                <c:manualLayout>
                  <c:x val="-3.7480988313125858E-2"/>
                  <c:y val="2.3744741991284703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9"/>
              <c:layout>
                <c:manualLayout>
                  <c:x val="-2.6456524575261871E-2"/>
                  <c:y val="1.3991549375655702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w="24320">
                <a:noFill/>
              </a:ln>
            </c:spPr>
            <c:txPr>
              <a:bodyPr rot="0" spcFirstLastPara="1" vertOverflow="ellipsis" vert="horz" wrap="square" anchor="ctr" anchorCtr="1"/>
              <a:lstStyle/>
              <a:p>
                <a:pPr>
                  <a:defRPr sz="862" b="0" i="0" u="none" strike="noStrike" kern="1200" baseline="0">
                    <a:solidFill>
                      <a:sysClr val="windowText" lastClr="000000"/>
                    </a:solidFill>
                    <a:latin typeface="PT Astra Serif" pitchFamily="18" charset="-52"/>
                    <a:ea typeface="PT Astra Serif" pitchFamily="18" charset="-52"/>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'рисунок 63-65'!$B$21:$N$21</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'рисунок 63-65'!$B$27:$N$27</c:f>
              <c:numCache>
                <c:formatCode>0.00</c:formatCode>
                <c:ptCount val="13"/>
                <c:pt idx="0">
                  <c:v>0.34117342635871034</c:v>
                </c:pt>
                <c:pt idx="1">
                  <c:v>0.40803598345038933</c:v>
                </c:pt>
                <c:pt idx="2">
                  <c:v>0.41491507357889418</c:v>
                </c:pt>
                <c:pt idx="3">
                  <c:v>0.38804045526233438</c:v>
                </c:pt>
                <c:pt idx="4">
                  <c:v>0.51822028529217479</c:v>
                </c:pt>
                <c:pt idx="5">
                  <c:v>0.75406448843303053</c:v>
                </c:pt>
                <c:pt idx="6">
                  <c:v>0.85422645518937335</c:v>
                </c:pt>
                <c:pt idx="7">
                  <c:v>0.6366688073348381</c:v>
                </c:pt>
                <c:pt idx="8">
                  <c:v>0.56869815302094961</c:v>
                </c:pt>
                <c:pt idx="9">
                  <c:v>0.72398446475139477</c:v>
                </c:pt>
                <c:pt idx="10">
                  <c:v>0.87989982662823585</c:v>
                </c:pt>
                <c:pt idx="11">
                  <c:v>0.85740215352167692</c:v>
                </c:pt>
                <c:pt idx="12">
                  <c:v>0.91925833477999996</c:v>
                </c:pt>
              </c:numCache>
            </c:numRef>
          </c:val>
          <c:smooth val="0"/>
        </c:ser>
        <c:ser>
          <c:idx val="2"/>
          <c:order val="2"/>
          <c:tx>
            <c:strRef>
              <c:f>'рисунок 63-65'!$A$28</c:f>
              <c:strCache>
                <c:ptCount val="1"/>
                <c:pt idx="0">
                  <c:v>Земельный налог</c:v>
                </c:pt>
              </c:strCache>
            </c:strRef>
          </c:tx>
          <c:spPr>
            <a:ln w="27360" cap="rnd">
              <a:solidFill>
                <a:srgbClr val="9BBB59"/>
              </a:solidFill>
              <a:round/>
            </a:ln>
            <a:effectLst/>
          </c:spPr>
          <c:marker>
            <c:symbol val="none"/>
          </c:marker>
          <c:dLbls>
            <c:dLbl>
              <c:idx val="10"/>
              <c:layout>
                <c:manualLayout>
                  <c:x val="-4.2719955711635664E-2"/>
                  <c:y val="-1.3839633467491588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w="24320">
                <a:noFill/>
              </a:ln>
            </c:spPr>
            <c:txPr>
              <a:bodyPr rot="0" spcFirstLastPara="1" vertOverflow="ellipsis" vert="horz" wrap="square" anchor="ctr" anchorCtr="1"/>
              <a:lstStyle/>
              <a:p>
                <a:pPr>
                  <a:defRPr sz="862" b="0" i="0" u="none" strike="noStrike" kern="1200" baseline="0">
                    <a:solidFill>
                      <a:sysClr val="windowText" lastClr="000000"/>
                    </a:solidFill>
                    <a:latin typeface="PT Astra Serif" pitchFamily="18" charset="-52"/>
                    <a:ea typeface="PT Astra Serif" pitchFamily="18" charset="-52"/>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'рисунок 63-65'!$B$21:$N$21</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'рисунок 63-65'!$B$28:$N$28</c:f>
              <c:numCache>
                <c:formatCode>0.00</c:formatCode>
                <c:ptCount val="13"/>
                <c:pt idx="0">
                  <c:v>1.9771787372831235</c:v>
                </c:pt>
                <c:pt idx="1">
                  <c:v>2.0133052137517677</c:v>
                </c:pt>
                <c:pt idx="2">
                  <c:v>1.8541345821150375</c:v>
                </c:pt>
                <c:pt idx="3">
                  <c:v>1.5918700890865285</c:v>
                </c:pt>
                <c:pt idx="4">
                  <c:v>1.383496438112467</c:v>
                </c:pt>
                <c:pt idx="5">
                  <c:v>1.322897655514427</c:v>
                </c:pt>
                <c:pt idx="6">
                  <c:v>1.1166898068469009</c:v>
                </c:pt>
                <c:pt idx="7">
                  <c:v>1.0590336490416195</c:v>
                </c:pt>
                <c:pt idx="8">
                  <c:v>1.0149949996664152</c:v>
                </c:pt>
                <c:pt idx="9">
                  <c:v>0.96778682290053164</c:v>
                </c:pt>
                <c:pt idx="10">
                  <c:v>0.80383709758937039</c:v>
                </c:pt>
                <c:pt idx="11">
                  <c:v>0.62230967846559115</c:v>
                </c:pt>
                <c:pt idx="12">
                  <c:v>0.59494798945999994</c:v>
                </c:pt>
              </c:numCache>
            </c:numRef>
          </c:val>
          <c:smooth val="0"/>
        </c:ser>
        <c:ser>
          <c:idx val="3"/>
          <c:order val="3"/>
          <c:tx>
            <c:strRef>
              <c:f>'рисунок 63-65'!$A$29</c:f>
              <c:strCache>
                <c:ptCount val="1"/>
                <c:pt idx="0">
                  <c:v>Земельный налог с организаций</c:v>
                </c:pt>
              </c:strCache>
            </c:strRef>
          </c:tx>
          <c:spPr>
            <a:ln w="27360" cap="rnd">
              <a:solidFill>
                <a:srgbClr val="8064A2"/>
              </a:solidFill>
              <a:round/>
            </a:ln>
            <a:effectLst/>
          </c:spPr>
          <c:marker>
            <c:symbol val="none"/>
          </c:marker>
          <c:dLbls>
            <c:dLbl>
              <c:idx val="9"/>
              <c:layout>
                <c:manualLayout>
                  <c:x val="-3.0732312923738642E-2"/>
                  <c:y val="-2.2022856386649241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w="24320">
                <a:noFill/>
              </a:ln>
            </c:spPr>
            <c:txPr>
              <a:bodyPr rot="0" spcFirstLastPara="1" vertOverflow="ellipsis" vert="horz" wrap="square" anchor="ctr" anchorCtr="1"/>
              <a:lstStyle/>
              <a:p>
                <a:pPr>
                  <a:defRPr sz="862" b="0" i="0" u="none" strike="noStrike" kern="1200" baseline="0">
                    <a:solidFill>
                      <a:sysClr val="windowText" lastClr="000000"/>
                    </a:solidFill>
                    <a:latin typeface="PT Astra Serif" pitchFamily="18" charset="-52"/>
                    <a:ea typeface="PT Astra Serif" pitchFamily="18" charset="-52"/>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'рисунок 63-65'!$B$21:$N$21</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'рисунок 63-65'!$B$29:$N$29</c:f>
              <c:numCache>
                <c:formatCode>General</c:formatCode>
                <c:ptCount val="13"/>
                <c:pt idx="3" formatCode="0.00">
                  <c:v>1.3796504680792279</c:v>
                </c:pt>
                <c:pt idx="4" formatCode="0.00">
                  <c:v>1.2191936075528578</c:v>
                </c:pt>
                <c:pt idx="5" formatCode="0.00">
                  <c:v>1.0890715650736988</c:v>
                </c:pt>
                <c:pt idx="6" formatCode="0.00">
                  <c:v>0.90371467049849841</c:v>
                </c:pt>
                <c:pt idx="7" formatCode="0.00">
                  <c:v>0.87908388939696469</c:v>
                </c:pt>
                <c:pt idx="8" formatCode="0.00">
                  <c:v>0.84501516754063821</c:v>
                </c:pt>
                <c:pt idx="9" formatCode="0.00">
                  <c:v>0.80430343211356115</c:v>
                </c:pt>
                <c:pt idx="10" formatCode="0.00">
                  <c:v>0.6594094963624213</c:v>
                </c:pt>
                <c:pt idx="11" formatCode="0.00">
                  <c:v>0.48815626781950305</c:v>
                </c:pt>
                <c:pt idx="12" formatCode="0.00">
                  <c:v>0.46061972911000004</c:v>
                </c:pt>
              </c:numCache>
            </c:numRef>
          </c:val>
          <c:smooth val="0"/>
        </c:ser>
        <c:ser>
          <c:idx val="4"/>
          <c:order val="4"/>
          <c:tx>
            <c:strRef>
              <c:f>'рисунок 63-65'!$A$30</c:f>
              <c:strCache>
                <c:ptCount val="1"/>
                <c:pt idx="0">
                  <c:v>Земельный налог с физических лиц</c:v>
                </c:pt>
              </c:strCache>
            </c:strRef>
          </c:tx>
          <c:spPr>
            <a:ln w="27360" cap="rnd">
              <a:solidFill>
                <a:srgbClr val="4BACC6"/>
              </a:solidFill>
              <a:round/>
            </a:ln>
            <a:effectLst/>
          </c:spPr>
          <c:marker>
            <c:symbol val="none"/>
          </c:marker>
          <c:dLbls>
            <c:spPr>
              <a:noFill/>
              <a:ln w="24320">
                <a:noFill/>
              </a:ln>
            </c:spPr>
            <c:txPr>
              <a:bodyPr rot="0" spcFirstLastPara="1" vertOverflow="ellipsis" vert="horz" wrap="square" anchor="ctr" anchorCtr="1"/>
              <a:lstStyle/>
              <a:p>
                <a:pPr>
                  <a:defRPr sz="862" b="0" i="0" u="none" strike="noStrike" kern="1200" baseline="0">
                    <a:solidFill>
                      <a:sysClr val="windowText" lastClr="000000"/>
                    </a:solidFill>
                    <a:latin typeface="PT Astra Serif" pitchFamily="18" charset="-52"/>
                    <a:ea typeface="PT Astra Serif" pitchFamily="18" charset="-52"/>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'рисунок 63-65'!$B$21:$N$21</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'рисунок 63-65'!$B$30:$N$30</c:f>
              <c:numCache>
                <c:formatCode>General</c:formatCode>
                <c:ptCount val="13"/>
                <c:pt idx="3" formatCode="0.00">
                  <c:v>0.21221962100730091</c:v>
                </c:pt>
                <c:pt idx="4" formatCode="0.00">
                  <c:v>0.16430283055960895</c:v>
                </c:pt>
                <c:pt idx="5" formatCode="0.00">
                  <c:v>0.23382609044072836</c:v>
                </c:pt>
                <c:pt idx="6" formatCode="0.00">
                  <c:v>0.21297513634840254</c:v>
                </c:pt>
                <c:pt idx="7" formatCode="0.00">
                  <c:v>0.17994975964465471</c:v>
                </c:pt>
                <c:pt idx="8" formatCode="0.00">
                  <c:v>0.16997983212577716</c:v>
                </c:pt>
                <c:pt idx="9" formatCode="0.00">
                  <c:v>0.16348339078697077</c:v>
                </c:pt>
                <c:pt idx="10" formatCode="0.00">
                  <c:v>0.144427601226949</c:v>
                </c:pt>
                <c:pt idx="11" formatCode="0.00">
                  <c:v>0.13415341064608796</c:v>
                </c:pt>
                <c:pt idx="12" formatCode="0.00">
                  <c:v>0.13432826035000001</c:v>
                </c:pt>
              </c:numCache>
            </c:numRef>
          </c:val>
          <c:smooth val="0"/>
        </c:ser>
        <c:dLbls>
          <c:showLegendKey val="0"/>
          <c:showVal val="1"/>
          <c:showCatName val="0"/>
          <c:showSerName val="0"/>
          <c:showPercent val="0"/>
          <c:showBubbleSize val="0"/>
        </c:dLbls>
        <c:smooth val="0"/>
        <c:axId val="605747688"/>
        <c:axId val="605748080"/>
      </c:lineChart>
      <c:catAx>
        <c:axId val="605747688"/>
        <c:scaling>
          <c:orientation val="minMax"/>
        </c:scaling>
        <c:delete val="0"/>
        <c:axPos val="b"/>
        <c:numFmt formatCode="General" sourceLinked="1"/>
        <c:majorTickMark val="none"/>
        <c:minorTickMark val="none"/>
        <c:tickLblPos val="nextTo"/>
        <c:spPr>
          <a:noFill/>
          <a:ln w="9120" cap="flat" cmpd="sng" algn="ctr">
            <a:solidFill>
              <a:schemeClr val="tx1">
                <a:lumMod val="15000"/>
                <a:lumOff val="85000"/>
              </a:schemeClr>
            </a:solidFill>
            <a:round/>
          </a:ln>
          <a:effectLst/>
        </c:spPr>
        <c:txPr>
          <a:bodyPr rot="-60000000" spcFirstLastPara="1" vertOverflow="ellipsis" vert="horz" wrap="square" anchor="ctr" anchorCtr="1"/>
          <a:lstStyle/>
          <a:p>
            <a:pPr>
              <a:defRPr sz="862" b="0" i="0" u="none" strike="noStrike" kern="1200" baseline="0">
                <a:solidFill>
                  <a:sysClr val="windowText" lastClr="000000"/>
                </a:solidFill>
                <a:latin typeface="PT Astra Serif" pitchFamily="18" charset="-52"/>
                <a:ea typeface="PT Astra Serif" pitchFamily="18" charset="-52"/>
                <a:cs typeface="Times New Roman" panose="02020603050405020304" pitchFamily="18" charset="0"/>
              </a:defRPr>
            </a:pPr>
            <a:endParaRPr lang="ru-RU"/>
          </a:p>
        </c:txPr>
        <c:crossAx val="605748080"/>
        <c:crosses val="autoZero"/>
        <c:auto val="1"/>
        <c:lblAlgn val="ctr"/>
        <c:lblOffset val="100"/>
        <c:noMultiLvlLbl val="0"/>
      </c:catAx>
      <c:valAx>
        <c:axId val="605748080"/>
        <c:scaling>
          <c:orientation val="minMax"/>
          <c:max val="2.5"/>
        </c:scaling>
        <c:delete val="0"/>
        <c:axPos val="l"/>
        <c:majorGridlines>
          <c:spPr>
            <a:ln w="9120" cap="flat" cmpd="sng" algn="ctr">
              <a:solidFill>
                <a:schemeClr val="tx1">
                  <a:lumMod val="15000"/>
                  <a:lumOff val="85000"/>
                </a:schemeClr>
              </a:solidFill>
              <a:round/>
            </a:ln>
            <a:effectLst/>
          </c:spPr>
        </c:majorGridlines>
        <c:numFmt formatCode="0.0" sourceLinked="0"/>
        <c:majorTickMark val="none"/>
        <c:minorTickMark val="none"/>
        <c:tickLblPos val="nextTo"/>
        <c:spPr>
          <a:ln w="6080">
            <a:noFill/>
          </a:ln>
        </c:spPr>
        <c:txPr>
          <a:bodyPr rot="-60000000" spcFirstLastPara="1" vertOverflow="ellipsis" vert="horz" wrap="square" anchor="ctr" anchorCtr="1"/>
          <a:lstStyle/>
          <a:p>
            <a:pPr>
              <a:defRPr sz="862" b="0" i="0" u="none" strike="noStrike" kern="1200" baseline="0">
                <a:solidFill>
                  <a:sysClr val="windowText" lastClr="000000"/>
                </a:solidFill>
                <a:latin typeface="PT Astra Serif" pitchFamily="18" charset="-52"/>
                <a:ea typeface="PT Astra Serif" pitchFamily="18" charset="-52"/>
                <a:cs typeface="Times New Roman" panose="02020603050405020304" pitchFamily="18" charset="0"/>
              </a:defRPr>
            </a:pPr>
            <a:endParaRPr lang="ru-RU"/>
          </a:p>
        </c:txPr>
        <c:crossAx val="605747688"/>
        <c:crosses val="autoZero"/>
        <c:crossBetween val="between"/>
      </c:valAx>
      <c:spPr>
        <a:noFill/>
        <a:ln w="24320">
          <a:noFill/>
        </a:ln>
      </c:spPr>
    </c:plotArea>
    <c:legend>
      <c:legendPos val="b"/>
      <c:layout>
        <c:manualLayout>
          <c:xMode val="edge"/>
          <c:yMode val="edge"/>
          <c:x val="3.4067215539425655E-2"/>
          <c:y val="0.8749194057164873"/>
          <c:w val="0.9425547376610498"/>
          <c:h val="0.11067485371667998"/>
        </c:manualLayout>
      </c:layout>
      <c:overlay val="0"/>
      <c:spPr>
        <a:noFill/>
        <a:ln w="24320">
          <a:noFill/>
        </a:ln>
      </c:spPr>
      <c:txPr>
        <a:bodyPr rot="0" spcFirstLastPara="1" vertOverflow="ellipsis" vert="horz" wrap="square" anchor="ctr" anchorCtr="1"/>
        <a:lstStyle/>
        <a:p>
          <a:pPr>
            <a:defRPr sz="862" b="0" i="0" u="none" strike="noStrike" kern="1200" baseline="0">
              <a:solidFill>
                <a:sysClr val="windowText" lastClr="000000"/>
              </a:solidFill>
              <a:latin typeface="PT Astra Serif" pitchFamily="18" charset="-52"/>
              <a:ea typeface="PT Astra Serif" pitchFamily="18" charset="-52"/>
              <a:cs typeface="Times New Roman" panose="02020603050405020304" pitchFamily="18" charset="0"/>
            </a:defRPr>
          </a:pPr>
          <a:endParaRPr lang="ru-RU"/>
        </a:p>
      </c:txPr>
    </c:legend>
    <c:plotVisOnly val="1"/>
    <c:dispBlanksAs val="gap"/>
    <c:showDLblsOverMax val="0"/>
  </c:chart>
  <c:spPr>
    <a:solidFill>
      <a:schemeClr val="bg1"/>
    </a:solidFill>
    <a:ln>
      <a:noFill/>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'рисунок 63-65'!$A$31</c:f>
              <c:strCache>
                <c:ptCount val="1"/>
                <c:pt idx="0">
                  <c:v>Доходы от использования имущества, находящегося в государственной и муниципальной собственности</c:v>
                </c:pt>
              </c:strCache>
            </c:strRef>
          </c:tx>
          <c:spPr>
            <a:ln w="26590" cap="rnd">
              <a:solidFill>
                <a:srgbClr val="6F94C0"/>
              </a:solidFill>
              <a:round/>
            </a:ln>
            <a:effectLst/>
          </c:spPr>
          <c:marker>
            <c:symbol val="none"/>
          </c:marker>
          <c:dLbls>
            <c:dLbl>
              <c:idx val="1"/>
              <c:layout>
                <c:manualLayout>
                  <c:x val="-4.5697572143407292E-2"/>
                  <c:y val="-4.8399680656220218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1.9320334824528565E-2"/>
                  <c:y val="-3.9755795933063116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11"/>
              <c:layout>
                <c:manualLayout>
                  <c:x val="-4.7835466317645688E-2"/>
                  <c:y val="-5.6351966938526385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w="23635">
                <a:noFill/>
              </a:ln>
            </c:spPr>
            <c:txPr>
              <a:bodyPr rot="0" spcFirstLastPara="1" vertOverflow="ellipsis" vert="horz" wrap="square" anchor="ctr" anchorCtr="1"/>
              <a:lstStyle/>
              <a:p>
                <a:pPr>
                  <a:defRPr sz="837" b="0" i="0" u="none" strike="noStrike" kern="1200" baseline="0">
                    <a:solidFill>
                      <a:sysClr val="windowText" lastClr="000000"/>
                    </a:solidFill>
                    <a:latin typeface="PT Astra Serif" pitchFamily="18" charset="-52"/>
                    <a:ea typeface="PT Astra Serif" pitchFamily="18" charset="-52"/>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'рисунок 63-65'!$B$21:$N$21</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'рисунок 63-65'!$B$31:$N$31</c:f>
              <c:numCache>
                <c:formatCode>0.00</c:formatCode>
                <c:ptCount val="13"/>
                <c:pt idx="0">
                  <c:v>1.7630852726555015</c:v>
                </c:pt>
                <c:pt idx="1">
                  <c:v>1.9221427470823704</c:v>
                </c:pt>
                <c:pt idx="2">
                  <c:v>2.9791658485346502</c:v>
                </c:pt>
                <c:pt idx="3">
                  <c:v>1.6488791534463405</c:v>
                </c:pt>
                <c:pt idx="4">
                  <c:v>1.5312221667097785</c:v>
                </c:pt>
                <c:pt idx="5">
                  <c:v>1.3448010933947518</c:v>
                </c:pt>
                <c:pt idx="6">
                  <c:v>1.3305739958359935</c:v>
                </c:pt>
                <c:pt idx="7">
                  <c:v>1.1575093281089981</c:v>
                </c:pt>
                <c:pt idx="8">
                  <c:v>1.9062354923680167</c:v>
                </c:pt>
                <c:pt idx="9">
                  <c:v>1.2928823909124079</c:v>
                </c:pt>
                <c:pt idx="10">
                  <c:v>1.2046094342826394</c:v>
                </c:pt>
                <c:pt idx="11">
                  <c:v>1.365753368232115</c:v>
                </c:pt>
                <c:pt idx="12">
                  <c:v>2.3405885410800003</c:v>
                </c:pt>
              </c:numCache>
            </c:numRef>
          </c:val>
          <c:smooth val="0"/>
        </c:ser>
        <c:ser>
          <c:idx val="1"/>
          <c:order val="1"/>
          <c:tx>
            <c:strRef>
              <c:f>'рисунок 63-65'!$A$32</c:f>
              <c:strCache>
                <c:ptCount val="1"/>
                <c:pt idx="0">
                  <c:v>Доходы от продажи материальных и нематериальных активов</c:v>
                </c:pt>
              </c:strCache>
            </c:strRef>
          </c:tx>
          <c:spPr>
            <a:ln w="26590" cap="rnd">
              <a:solidFill>
                <a:srgbClr val="C0504D"/>
              </a:solidFill>
              <a:round/>
            </a:ln>
            <a:effectLst/>
          </c:spPr>
          <c:marker>
            <c:symbol val="none"/>
          </c:marker>
          <c:dLbls>
            <c:spPr>
              <a:noFill/>
              <a:ln w="23635">
                <a:noFill/>
              </a:ln>
            </c:spPr>
            <c:txPr>
              <a:bodyPr rot="0" spcFirstLastPara="1" vertOverflow="ellipsis" vert="horz" wrap="square" anchor="ctr" anchorCtr="1"/>
              <a:lstStyle/>
              <a:p>
                <a:pPr>
                  <a:defRPr sz="837" b="0" i="0" u="none" strike="noStrike" kern="1200" baseline="0">
                    <a:solidFill>
                      <a:sysClr val="windowText" lastClr="000000"/>
                    </a:solidFill>
                    <a:latin typeface="PT Astra Serif" pitchFamily="18" charset="-52"/>
                    <a:ea typeface="PT Astra Serif" pitchFamily="18" charset="-52"/>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'рисунок 63-65'!$B$21:$N$21</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'рисунок 63-65'!$B$32:$N$32</c:f>
              <c:numCache>
                <c:formatCode>0.00</c:formatCode>
                <c:ptCount val="13"/>
                <c:pt idx="0">
                  <c:v>0.56298717905906592</c:v>
                </c:pt>
                <c:pt idx="1">
                  <c:v>0.77797310448294754</c:v>
                </c:pt>
                <c:pt idx="2">
                  <c:v>0.9055629776999915</c:v>
                </c:pt>
                <c:pt idx="3">
                  <c:v>0.4769998971038249</c:v>
                </c:pt>
                <c:pt idx="4">
                  <c:v>0.39889763916159321</c:v>
                </c:pt>
                <c:pt idx="5">
                  <c:v>0.2023140022386275</c:v>
                </c:pt>
                <c:pt idx="6">
                  <c:v>0.16092079298474185</c:v>
                </c:pt>
                <c:pt idx="7">
                  <c:v>0.21838598356251701</c:v>
                </c:pt>
                <c:pt idx="8">
                  <c:v>0.2365394164323083</c:v>
                </c:pt>
                <c:pt idx="9">
                  <c:v>0.3031102459032704</c:v>
                </c:pt>
                <c:pt idx="10">
                  <c:v>0.3270833141055024</c:v>
                </c:pt>
                <c:pt idx="11">
                  <c:v>0.42800805875074804</c:v>
                </c:pt>
                <c:pt idx="12">
                  <c:v>0.33448046964000017</c:v>
                </c:pt>
              </c:numCache>
            </c:numRef>
          </c:val>
          <c:smooth val="0"/>
        </c:ser>
        <c:dLbls>
          <c:showLegendKey val="0"/>
          <c:showVal val="1"/>
          <c:showCatName val="0"/>
          <c:showSerName val="0"/>
          <c:showPercent val="0"/>
          <c:showBubbleSize val="0"/>
        </c:dLbls>
        <c:smooth val="0"/>
        <c:axId val="605748864"/>
        <c:axId val="605749256"/>
      </c:lineChart>
      <c:catAx>
        <c:axId val="605748864"/>
        <c:scaling>
          <c:orientation val="minMax"/>
        </c:scaling>
        <c:delete val="0"/>
        <c:axPos val="b"/>
        <c:numFmt formatCode="General" sourceLinked="1"/>
        <c:majorTickMark val="none"/>
        <c:minorTickMark val="none"/>
        <c:tickLblPos val="nextTo"/>
        <c:spPr>
          <a:noFill/>
          <a:ln w="8863" cap="flat" cmpd="sng" algn="ctr">
            <a:solidFill>
              <a:schemeClr val="tx1">
                <a:lumMod val="15000"/>
                <a:lumOff val="85000"/>
              </a:schemeClr>
            </a:solidFill>
            <a:round/>
          </a:ln>
          <a:effectLst/>
        </c:spPr>
        <c:txPr>
          <a:bodyPr rot="-60000000" spcFirstLastPara="1" vertOverflow="ellipsis" vert="horz" wrap="square" anchor="ctr" anchorCtr="1"/>
          <a:lstStyle/>
          <a:p>
            <a:pPr>
              <a:defRPr sz="837" b="0" i="0" u="none" strike="noStrike" kern="1200" baseline="0">
                <a:solidFill>
                  <a:sysClr val="windowText" lastClr="000000"/>
                </a:solidFill>
                <a:latin typeface="PT Astra Serif" pitchFamily="18" charset="-52"/>
                <a:ea typeface="PT Astra Serif" pitchFamily="18" charset="-52"/>
                <a:cs typeface="Times New Roman" panose="02020603050405020304" pitchFamily="18" charset="0"/>
              </a:defRPr>
            </a:pPr>
            <a:endParaRPr lang="ru-RU"/>
          </a:p>
        </c:txPr>
        <c:crossAx val="605749256"/>
        <c:crosses val="autoZero"/>
        <c:auto val="1"/>
        <c:lblAlgn val="ctr"/>
        <c:lblOffset val="100"/>
        <c:noMultiLvlLbl val="0"/>
      </c:catAx>
      <c:valAx>
        <c:axId val="605749256"/>
        <c:scaling>
          <c:orientation val="minMax"/>
        </c:scaling>
        <c:delete val="0"/>
        <c:axPos val="l"/>
        <c:majorGridlines>
          <c:spPr>
            <a:ln w="8863" cap="flat" cmpd="sng" algn="ctr">
              <a:solidFill>
                <a:schemeClr val="tx1">
                  <a:lumMod val="15000"/>
                  <a:lumOff val="85000"/>
                </a:schemeClr>
              </a:solidFill>
              <a:round/>
            </a:ln>
            <a:effectLst/>
          </c:spPr>
        </c:majorGridlines>
        <c:numFmt formatCode="0.0" sourceLinked="0"/>
        <c:majorTickMark val="none"/>
        <c:minorTickMark val="none"/>
        <c:tickLblPos val="nextTo"/>
        <c:spPr>
          <a:ln w="5909">
            <a:noFill/>
          </a:ln>
        </c:spPr>
        <c:txPr>
          <a:bodyPr rot="-60000000" spcFirstLastPara="1" vertOverflow="ellipsis" vert="horz" wrap="square" anchor="ctr" anchorCtr="1"/>
          <a:lstStyle/>
          <a:p>
            <a:pPr>
              <a:defRPr sz="837" b="0" i="0" u="none" strike="noStrike" kern="1200" baseline="0">
                <a:solidFill>
                  <a:sysClr val="windowText" lastClr="000000"/>
                </a:solidFill>
                <a:latin typeface="PT Astra Serif" pitchFamily="18" charset="-52"/>
                <a:ea typeface="PT Astra Serif" pitchFamily="18" charset="-52"/>
                <a:cs typeface="Times New Roman" panose="02020603050405020304" pitchFamily="18" charset="0"/>
              </a:defRPr>
            </a:pPr>
            <a:endParaRPr lang="ru-RU"/>
          </a:p>
        </c:txPr>
        <c:crossAx val="605748864"/>
        <c:crosses val="autoZero"/>
        <c:crossBetween val="between"/>
      </c:valAx>
      <c:spPr>
        <a:noFill/>
        <a:ln w="23635">
          <a:noFill/>
        </a:ln>
      </c:spPr>
    </c:plotArea>
    <c:legend>
      <c:legendPos val="b"/>
      <c:layout/>
      <c:overlay val="0"/>
      <c:spPr>
        <a:noFill/>
        <a:ln w="23635">
          <a:noFill/>
        </a:ln>
      </c:spPr>
      <c:txPr>
        <a:bodyPr rot="0" spcFirstLastPara="1" vertOverflow="ellipsis" vert="horz" wrap="square" anchor="ctr" anchorCtr="1"/>
        <a:lstStyle/>
        <a:p>
          <a:pPr>
            <a:defRPr sz="837" b="0" i="0" u="none" strike="noStrike" kern="1200" baseline="0">
              <a:solidFill>
                <a:sysClr val="windowText" lastClr="000000"/>
              </a:solidFill>
              <a:latin typeface="PT Astra Serif" pitchFamily="18" charset="-52"/>
              <a:ea typeface="PT Astra Serif" pitchFamily="18" charset="-52"/>
              <a:cs typeface="Times New Roman" panose="02020603050405020304" pitchFamily="18" charset="0"/>
            </a:defRPr>
          </a:pPr>
          <a:endParaRPr lang="ru-RU"/>
        </a:p>
      </c:txPr>
    </c:legend>
    <c:plotVisOnly val="1"/>
    <c:dispBlanksAs val="gap"/>
    <c:showDLblsOverMax val="0"/>
  </c:chart>
  <c:spPr>
    <a:solidFill>
      <a:schemeClr val="bg1"/>
    </a:solidFill>
    <a:ln>
      <a:noFill/>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1"/>
          <c:order val="0"/>
          <c:tx>
            <c:strRef>
              <c:f>Лист3!$A$40</c:f>
              <c:strCache>
                <c:ptCount val="1"/>
                <c:pt idx="0">
                  <c:v>г. Барнаул</c:v>
                </c:pt>
              </c:strCache>
            </c:strRef>
          </c:tx>
          <c:spPr>
            <a:ln w="28519" cap="rnd">
              <a:solidFill>
                <a:srgbClr val="C0504D"/>
              </a:solidFill>
              <a:round/>
            </a:ln>
            <a:effectLst/>
          </c:spPr>
          <c:marker>
            <c:symbol val="none"/>
          </c:marker>
          <c:dLbls>
            <c:spPr>
              <a:noFill/>
              <a:ln w="25350">
                <a:noFill/>
              </a:ln>
            </c:spPr>
            <c:txPr>
              <a:bodyPr rot="0" vert="horz"/>
              <a:lstStyle/>
              <a:p>
                <a:pPr>
                  <a:defRPr>
                    <a:latin typeface="PT Astra Serif" pitchFamily="18" charset="-52"/>
                    <a:ea typeface="PT Astra Serif" pitchFamily="18" charset="-52"/>
                  </a:defRPr>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Лист3!$C$39:$O$39</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Лист3!$C$40:$O$40</c:f>
              <c:numCache>
                <c:formatCode>0.0</c:formatCode>
                <c:ptCount val="13"/>
                <c:pt idx="0">
                  <c:v>11.623095237401392</c:v>
                </c:pt>
                <c:pt idx="1">
                  <c:v>11.121365943700969</c:v>
                </c:pt>
                <c:pt idx="2">
                  <c:v>10.856384396850014</c:v>
                </c:pt>
                <c:pt idx="3">
                  <c:v>11.71375240821977</c:v>
                </c:pt>
                <c:pt idx="4">
                  <c:v>11.080019422571803</c:v>
                </c:pt>
                <c:pt idx="5">
                  <c:v>11.214577947340679</c:v>
                </c:pt>
                <c:pt idx="6">
                  <c:v>11.614276803102117</c:v>
                </c:pt>
                <c:pt idx="7">
                  <c:v>11.43844427973748</c:v>
                </c:pt>
                <c:pt idx="8">
                  <c:v>14.995770276461624</c:v>
                </c:pt>
                <c:pt idx="9">
                  <c:v>16.079983396844248</c:v>
                </c:pt>
                <c:pt idx="10">
                  <c:v>12.475077336219394</c:v>
                </c:pt>
                <c:pt idx="11">
                  <c:v>11.292496564999357</c:v>
                </c:pt>
                <c:pt idx="12">
                  <c:v>11.801638890483202</c:v>
                </c:pt>
              </c:numCache>
            </c:numRef>
          </c:val>
          <c:smooth val="0"/>
        </c:ser>
        <c:ser>
          <c:idx val="2"/>
          <c:order val="1"/>
          <c:tx>
            <c:strRef>
              <c:f>Лист3!$A$41</c:f>
              <c:strCache>
                <c:ptCount val="1"/>
                <c:pt idx="0">
                  <c:v>Алтайский край</c:v>
                </c:pt>
              </c:strCache>
            </c:strRef>
          </c:tx>
          <c:spPr>
            <a:ln w="28519" cap="rnd">
              <a:solidFill>
                <a:srgbClr val="6F94C0"/>
              </a:solidFill>
              <a:round/>
            </a:ln>
            <a:effectLst/>
          </c:spPr>
          <c:marker>
            <c:symbol val="none"/>
          </c:marker>
          <c:dLbls>
            <c:spPr>
              <a:noFill/>
              <a:ln w="25350">
                <a:noFill/>
              </a:ln>
            </c:spPr>
            <c:txPr>
              <a:bodyPr rot="0" vert="horz"/>
              <a:lstStyle/>
              <a:p>
                <a:pPr>
                  <a:defRPr>
                    <a:latin typeface="PT Astra Serif" pitchFamily="18" charset="-52"/>
                    <a:ea typeface="PT Astra Serif" pitchFamily="18" charset="-52"/>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Лист3!$C$39:$O$39</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Лист3!$C$41:$O$41</c:f>
              <c:numCache>
                <c:formatCode>0.0</c:formatCode>
                <c:ptCount val="13"/>
                <c:pt idx="0">
                  <c:v>14.6</c:v>
                </c:pt>
                <c:pt idx="1">
                  <c:v>14.2</c:v>
                </c:pt>
                <c:pt idx="2">
                  <c:v>14.2</c:v>
                </c:pt>
                <c:pt idx="3">
                  <c:v>14.1</c:v>
                </c:pt>
                <c:pt idx="4">
                  <c:v>14.1</c:v>
                </c:pt>
                <c:pt idx="5">
                  <c:v>14</c:v>
                </c:pt>
                <c:pt idx="6">
                  <c:v>14.3</c:v>
                </c:pt>
                <c:pt idx="7">
                  <c:v>14</c:v>
                </c:pt>
                <c:pt idx="8">
                  <c:v>16.5</c:v>
                </c:pt>
                <c:pt idx="9">
                  <c:v>19.100000000000001</c:v>
                </c:pt>
                <c:pt idx="10">
                  <c:v>15.8</c:v>
                </c:pt>
                <c:pt idx="11">
                  <c:v>14.3</c:v>
                </c:pt>
                <c:pt idx="12">
                  <c:v>15.3</c:v>
                </c:pt>
              </c:numCache>
            </c:numRef>
          </c:val>
          <c:smooth val="0"/>
        </c:ser>
        <c:ser>
          <c:idx val="3"/>
          <c:order val="2"/>
          <c:tx>
            <c:strRef>
              <c:f>Лист3!$A$42</c:f>
              <c:strCache>
                <c:ptCount val="1"/>
                <c:pt idx="0">
                  <c:v>Россия</c:v>
                </c:pt>
              </c:strCache>
            </c:strRef>
          </c:tx>
          <c:spPr>
            <a:ln w="28519" cap="rnd">
              <a:solidFill>
                <a:srgbClr val="002060"/>
              </a:solidFill>
              <a:round/>
            </a:ln>
            <a:effectLst/>
          </c:spPr>
          <c:marker>
            <c:symbol val="none"/>
          </c:marker>
          <c:cat>
            <c:strRef>
              <c:f>Лист3!$C$39:$O$39</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Лист3!$C$42:$O$42</c:f>
              <c:numCache>
                <c:formatCode>0.0</c:formatCode>
                <c:ptCount val="13"/>
                <c:pt idx="0">
                  <c:v>13.3</c:v>
                </c:pt>
                <c:pt idx="1">
                  <c:v>13</c:v>
                </c:pt>
                <c:pt idx="2">
                  <c:v>13.1</c:v>
                </c:pt>
                <c:pt idx="3">
                  <c:v>13</c:v>
                </c:pt>
                <c:pt idx="4">
                  <c:v>12.9</c:v>
                </c:pt>
                <c:pt idx="5">
                  <c:v>12.4</c:v>
                </c:pt>
                <c:pt idx="6">
                  <c:v>12.5</c:v>
                </c:pt>
                <c:pt idx="7">
                  <c:v>12.3</c:v>
                </c:pt>
                <c:pt idx="8">
                  <c:v>14.6</c:v>
                </c:pt>
                <c:pt idx="9">
                  <c:v>16.7</c:v>
                </c:pt>
                <c:pt idx="10">
                  <c:v>13</c:v>
                </c:pt>
                <c:pt idx="11">
                  <c:v>12</c:v>
                </c:pt>
                <c:pt idx="12">
                  <c:v>12.5</c:v>
                </c:pt>
              </c:numCache>
            </c:numRef>
          </c:val>
          <c:smooth val="0"/>
        </c:ser>
        <c:dLbls>
          <c:showLegendKey val="0"/>
          <c:showVal val="0"/>
          <c:showCatName val="0"/>
          <c:showSerName val="0"/>
          <c:showPercent val="0"/>
          <c:showBubbleSize val="0"/>
        </c:dLbls>
        <c:smooth val="0"/>
        <c:axId val="507394416"/>
        <c:axId val="507395488"/>
      </c:lineChart>
      <c:catAx>
        <c:axId val="507394416"/>
        <c:scaling>
          <c:orientation val="minMax"/>
        </c:scaling>
        <c:delete val="0"/>
        <c:axPos val="b"/>
        <c:numFmt formatCode="General" sourceLinked="1"/>
        <c:majorTickMark val="none"/>
        <c:minorTickMark val="none"/>
        <c:tickLblPos val="low"/>
        <c:spPr>
          <a:noFill/>
          <a:ln w="9506" cap="flat" cmpd="sng" algn="ctr">
            <a:solidFill>
              <a:schemeClr val="tx1">
                <a:lumMod val="15000"/>
                <a:lumOff val="85000"/>
              </a:schemeClr>
            </a:solidFill>
            <a:round/>
          </a:ln>
          <a:effectLst/>
        </c:spPr>
        <c:txPr>
          <a:bodyPr rot="-60000000" vert="horz"/>
          <a:lstStyle/>
          <a:p>
            <a:pPr>
              <a:defRPr>
                <a:latin typeface="PT Astra Serif" pitchFamily="18" charset="-52"/>
                <a:ea typeface="PT Astra Serif" pitchFamily="18" charset="-52"/>
              </a:defRPr>
            </a:pPr>
            <a:endParaRPr lang="ru-RU"/>
          </a:p>
        </c:txPr>
        <c:crossAx val="507395488"/>
        <c:crosses val="autoZero"/>
        <c:auto val="1"/>
        <c:lblAlgn val="ctr"/>
        <c:lblOffset val="100"/>
        <c:noMultiLvlLbl val="0"/>
      </c:catAx>
      <c:valAx>
        <c:axId val="507395488"/>
        <c:scaling>
          <c:orientation val="minMax"/>
          <c:min val="8"/>
        </c:scaling>
        <c:delete val="0"/>
        <c:axPos val="l"/>
        <c:majorGridlines>
          <c:spPr>
            <a:ln w="9506" cap="flat" cmpd="sng" algn="ctr">
              <a:solidFill>
                <a:schemeClr val="tx1">
                  <a:lumMod val="15000"/>
                  <a:lumOff val="85000"/>
                </a:schemeClr>
              </a:solidFill>
              <a:round/>
            </a:ln>
            <a:effectLst/>
          </c:spPr>
        </c:majorGridlines>
        <c:numFmt formatCode="0" sourceLinked="0"/>
        <c:majorTickMark val="none"/>
        <c:minorTickMark val="none"/>
        <c:tickLblPos val="nextTo"/>
        <c:spPr>
          <a:ln w="6337">
            <a:noFill/>
          </a:ln>
        </c:spPr>
        <c:txPr>
          <a:bodyPr rot="-60000000" vert="horz"/>
          <a:lstStyle/>
          <a:p>
            <a:pPr>
              <a:defRPr>
                <a:latin typeface="PT Astra Serif" pitchFamily="18" charset="-52"/>
                <a:ea typeface="PT Astra Serif" pitchFamily="18" charset="-52"/>
              </a:defRPr>
            </a:pPr>
            <a:endParaRPr lang="ru-RU"/>
          </a:p>
        </c:txPr>
        <c:crossAx val="507394416"/>
        <c:crosses val="autoZero"/>
        <c:crossBetween val="between"/>
        <c:majorUnit val="2"/>
      </c:valAx>
      <c:spPr>
        <a:noFill/>
        <a:ln w="25350">
          <a:noFill/>
        </a:ln>
      </c:spPr>
    </c:plotArea>
    <c:legend>
      <c:legendPos val="b"/>
      <c:layout/>
      <c:overlay val="0"/>
      <c:spPr>
        <a:noFill/>
        <a:ln w="25350">
          <a:noFill/>
        </a:ln>
      </c:spPr>
      <c:txPr>
        <a:bodyPr rot="0" vert="horz"/>
        <a:lstStyle/>
        <a:p>
          <a:pPr>
            <a:defRPr>
              <a:latin typeface="PT Astra Serif" pitchFamily="18" charset="-52"/>
              <a:ea typeface="PT Astra Serif" pitchFamily="18" charset="-52"/>
            </a:defRPr>
          </a:pPr>
          <a:endParaRPr lang="ru-RU"/>
        </a:p>
      </c:txPr>
    </c:legend>
    <c:plotVisOnly val="1"/>
    <c:dispBlanksAs val="gap"/>
    <c:showDLblsOverMax val="0"/>
  </c:chart>
  <c:spPr>
    <a:solidFill>
      <a:schemeClr val="bg1"/>
    </a:solid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'рисунки 66-68'!$A$34</c:f>
              <c:strCache>
                <c:ptCount val="1"/>
                <c:pt idx="0">
                  <c:v>Расходы на городскую экономику</c:v>
                </c:pt>
              </c:strCache>
            </c:strRef>
          </c:tx>
          <c:spPr>
            <a:ln w="25627" cap="rnd">
              <a:solidFill>
                <a:srgbClr val="6F94C0"/>
              </a:solidFill>
              <a:round/>
            </a:ln>
            <a:effectLst/>
          </c:spPr>
          <c:marker>
            <c:symbol val="none"/>
          </c:marker>
          <c:dLbls>
            <c:dLbl>
              <c:idx val="8"/>
              <c:layout>
                <c:manualLayout>
                  <c:x val="-3.793262606719508E-2"/>
                  <c:y val="2.5784957835433414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9"/>
              <c:layout>
                <c:manualLayout>
                  <c:x val="-6.1947471608074955E-2"/>
                  <c:y val="-2.6792813451261492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11"/>
              <c:layout>
                <c:manualLayout>
                  <c:x val="-3.7932626067195156E-2"/>
                  <c:y val="2.2863970541728191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w="22779">
                <a:noFill/>
              </a:ln>
            </c:spPr>
            <c:txPr>
              <a:bodyPr rot="0" spcFirstLastPara="1" vertOverflow="ellipsis" vert="horz" wrap="square" anchor="ctr" anchorCtr="1"/>
              <a:lstStyle/>
              <a:p>
                <a:pPr>
                  <a:defRPr sz="807" b="0" i="0" u="none" strike="noStrike" kern="1200" baseline="0">
                    <a:solidFill>
                      <a:sysClr val="windowText" lastClr="000000"/>
                    </a:solidFill>
                    <a:latin typeface="PT Astra Serif" pitchFamily="18" charset="-52"/>
                    <a:ea typeface="PT Astra Serif" pitchFamily="18" charset="-52"/>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'рисунки 66-68'!$B$3:$N$3</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'рисунки 66-68'!$B$34:$N$34</c:f>
              <c:numCache>
                <c:formatCode>0.00</c:formatCode>
                <c:ptCount val="13"/>
                <c:pt idx="0">
                  <c:v>4.3616518644035391</c:v>
                </c:pt>
                <c:pt idx="1">
                  <c:v>5.6409136300526317</c:v>
                </c:pt>
                <c:pt idx="2">
                  <c:v>5.8905557274084801</c:v>
                </c:pt>
                <c:pt idx="3">
                  <c:v>5.3548755852267407</c:v>
                </c:pt>
                <c:pt idx="4">
                  <c:v>4.3682917897902778</c:v>
                </c:pt>
                <c:pt idx="5">
                  <c:v>5.7427643491129121</c:v>
                </c:pt>
                <c:pt idx="6">
                  <c:v>5.0731136854477468</c:v>
                </c:pt>
                <c:pt idx="7">
                  <c:v>5.4960414648794975</c:v>
                </c:pt>
                <c:pt idx="8">
                  <c:v>5.3625347937059606</c:v>
                </c:pt>
                <c:pt idx="9">
                  <c:v>7.0626394987896761</c:v>
                </c:pt>
                <c:pt idx="10">
                  <c:v>10.155884389341706</c:v>
                </c:pt>
                <c:pt idx="11">
                  <c:v>8.4607811533700001</c:v>
                </c:pt>
                <c:pt idx="12">
                  <c:v>9.1015713035299992</c:v>
                </c:pt>
              </c:numCache>
            </c:numRef>
          </c:val>
          <c:smooth val="0"/>
        </c:ser>
        <c:dLbls>
          <c:showLegendKey val="0"/>
          <c:showVal val="1"/>
          <c:showCatName val="0"/>
          <c:showSerName val="0"/>
          <c:showPercent val="0"/>
          <c:showBubbleSize val="0"/>
        </c:dLbls>
        <c:smooth val="0"/>
        <c:axId val="605750040"/>
        <c:axId val="605750432"/>
      </c:lineChart>
      <c:catAx>
        <c:axId val="605750040"/>
        <c:scaling>
          <c:orientation val="minMax"/>
        </c:scaling>
        <c:delete val="0"/>
        <c:axPos val="b"/>
        <c:numFmt formatCode="General" sourceLinked="1"/>
        <c:majorTickMark val="none"/>
        <c:minorTickMark val="none"/>
        <c:tickLblPos val="nextTo"/>
        <c:spPr>
          <a:noFill/>
          <a:ln w="8542" cap="flat" cmpd="sng" algn="ctr">
            <a:solidFill>
              <a:schemeClr val="tx1">
                <a:lumMod val="15000"/>
                <a:lumOff val="85000"/>
              </a:schemeClr>
            </a:solidFill>
            <a:round/>
          </a:ln>
          <a:effectLst/>
        </c:spPr>
        <c:txPr>
          <a:bodyPr rot="-60000000" spcFirstLastPara="1" vertOverflow="ellipsis" vert="horz" wrap="square" anchor="ctr" anchorCtr="1"/>
          <a:lstStyle/>
          <a:p>
            <a:pPr>
              <a:defRPr sz="807" b="0" i="0" u="none" strike="noStrike" kern="1200" baseline="0">
                <a:solidFill>
                  <a:sysClr val="windowText" lastClr="000000"/>
                </a:solidFill>
                <a:latin typeface="PT Astra Serif" pitchFamily="18" charset="-52"/>
                <a:ea typeface="PT Astra Serif" pitchFamily="18" charset="-52"/>
                <a:cs typeface="Times New Roman" panose="02020603050405020304" pitchFamily="18" charset="0"/>
              </a:defRPr>
            </a:pPr>
            <a:endParaRPr lang="ru-RU"/>
          </a:p>
        </c:txPr>
        <c:crossAx val="605750432"/>
        <c:crosses val="autoZero"/>
        <c:auto val="1"/>
        <c:lblAlgn val="ctr"/>
        <c:lblOffset val="100"/>
        <c:noMultiLvlLbl val="0"/>
      </c:catAx>
      <c:valAx>
        <c:axId val="605750432"/>
        <c:scaling>
          <c:orientation val="minMax"/>
          <c:min val="4"/>
        </c:scaling>
        <c:delete val="0"/>
        <c:axPos val="l"/>
        <c:majorGridlines>
          <c:spPr>
            <a:ln w="8542" cap="flat" cmpd="sng" algn="ctr">
              <a:solidFill>
                <a:schemeClr val="tx1">
                  <a:lumMod val="15000"/>
                  <a:lumOff val="85000"/>
                </a:schemeClr>
              </a:solidFill>
              <a:round/>
            </a:ln>
            <a:effectLst/>
          </c:spPr>
        </c:majorGridlines>
        <c:numFmt formatCode="0" sourceLinked="0"/>
        <c:majorTickMark val="none"/>
        <c:minorTickMark val="none"/>
        <c:tickLblPos val="nextTo"/>
        <c:spPr>
          <a:ln w="5695">
            <a:noFill/>
          </a:ln>
        </c:spPr>
        <c:txPr>
          <a:bodyPr rot="-60000000" spcFirstLastPara="1" vertOverflow="ellipsis" vert="horz" wrap="square" anchor="ctr" anchorCtr="1"/>
          <a:lstStyle/>
          <a:p>
            <a:pPr>
              <a:defRPr sz="807" b="0" i="0" u="none" strike="noStrike" kern="1200" baseline="0">
                <a:solidFill>
                  <a:sysClr val="windowText" lastClr="000000"/>
                </a:solidFill>
                <a:latin typeface="PT Astra Serif" pitchFamily="18" charset="-52"/>
                <a:ea typeface="PT Astra Serif" pitchFamily="18" charset="-52"/>
                <a:cs typeface="Times New Roman" panose="02020603050405020304" pitchFamily="18" charset="0"/>
              </a:defRPr>
            </a:pPr>
            <a:endParaRPr lang="ru-RU"/>
          </a:p>
        </c:txPr>
        <c:crossAx val="605750040"/>
        <c:crosses val="autoZero"/>
        <c:crossBetween val="between"/>
      </c:valAx>
      <c:spPr>
        <a:noFill/>
        <a:ln w="22779">
          <a:noFill/>
        </a:ln>
      </c:spPr>
    </c:plotArea>
    <c:plotVisOnly val="1"/>
    <c:dispBlanksAs val="gap"/>
    <c:showDLblsOverMax val="0"/>
  </c:chart>
  <c:spPr>
    <a:solidFill>
      <a:schemeClr val="bg1"/>
    </a:solidFill>
    <a:ln>
      <a:noFill/>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4604023156591393E-2"/>
          <c:y val="5.1121570697517507E-2"/>
          <c:w val="0.8839606299212589"/>
          <c:h val="0.80443921465124124"/>
        </c:manualLayout>
      </c:layout>
      <c:lineChart>
        <c:grouping val="standard"/>
        <c:varyColors val="0"/>
        <c:ser>
          <c:idx val="0"/>
          <c:order val="0"/>
          <c:tx>
            <c:strRef>
              <c:f>'рисунки 66-68'!$A$7</c:f>
              <c:strCache>
                <c:ptCount val="1"/>
                <c:pt idx="0">
                  <c:v>Транспорт</c:v>
                </c:pt>
              </c:strCache>
            </c:strRef>
          </c:tx>
          <c:spPr>
            <a:ln w="26188" cap="rnd">
              <a:solidFill>
                <a:srgbClr val="6F94C0"/>
              </a:solidFill>
              <a:round/>
            </a:ln>
            <a:effectLst/>
          </c:spPr>
          <c:marker>
            <c:symbol val="none"/>
          </c:marker>
          <c:dLbls>
            <c:dLbl>
              <c:idx val="0"/>
              <c:layout>
                <c:manualLayout>
                  <c:x val="-3.3137359700694834E-2"/>
                  <c:y val="-3.2688378800624987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3.3137359700694834E-2"/>
                  <c:y val="-2.5477707006369584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3.3137359700694813E-2"/>
                  <c:y val="2.4996995553418971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3.3137359700694854E-2"/>
                  <c:y val="-1.1056363417858607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3.3137359700694813E-2"/>
                  <c:y val="-1.5863477947362124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3.3137359700694813E-2"/>
                  <c:y val="-1.105636341785852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3.3137359700694896E-2"/>
                  <c:y val="-1.5863477947362124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3.3137359700694896E-2"/>
                  <c:y val="-1.3459920682610265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10"/>
              <c:layout>
                <c:manualLayout>
                  <c:x val="-3.3137359700694813E-2"/>
                  <c:y val="1.7786323759163565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w="23278">
                <a:noFill/>
              </a:ln>
            </c:spPr>
            <c:txPr>
              <a:bodyPr rot="0" spcFirstLastPara="1" vertOverflow="ellipsis" vert="horz" wrap="square" anchor="ctr" anchorCtr="1"/>
              <a:lstStyle/>
              <a:p>
                <a:pPr>
                  <a:defRPr sz="733" b="0" i="0" u="none" strike="noStrike" kern="1200" baseline="0">
                    <a:solidFill>
                      <a:schemeClr val="tx1">
                        <a:lumMod val="75000"/>
                        <a:lumOff val="25000"/>
                      </a:schemeClr>
                    </a:solidFill>
                    <a:latin typeface="PT Astra Serif" pitchFamily="18" charset="-52"/>
                    <a:ea typeface="PT Astra Serif" pitchFamily="18" charset="-52"/>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'рисунки 66-68'!$B$3:$N$3</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'рисунки 66-68'!$B$7:$N$7</c:f>
              <c:numCache>
                <c:formatCode>0.00</c:formatCode>
                <c:ptCount val="13"/>
                <c:pt idx="0">
                  <c:v>0.56449422963546381</c:v>
                </c:pt>
                <c:pt idx="1">
                  <c:v>0.68313271930198882</c:v>
                </c:pt>
                <c:pt idx="2">
                  <c:v>0.5770778703351479</c:v>
                </c:pt>
                <c:pt idx="3">
                  <c:v>0.4808455553871388</c:v>
                </c:pt>
                <c:pt idx="4">
                  <c:v>0.46477849477091937</c:v>
                </c:pt>
                <c:pt idx="5">
                  <c:v>0.50007843986741563</c:v>
                </c:pt>
                <c:pt idx="6">
                  <c:v>0.45061421509937355</c:v>
                </c:pt>
                <c:pt idx="7">
                  <c:v>0.35629715036730353</c:v>
                </c:pt>
                <c:pt idx="8">
                  <c:v>0.31081045286126996</c:v>
                </c:pt>
                <c:pt idx="9">
                  <c:v>0.47763735758526543</c:v>
                </c:pt>
                <c:pt idx="10">
                  <c:v>0.52977742158798002</c:v>
                </c:pt>
                <c:pt idx="11">
                  <c:v>0.67474838634000012</c:v>
                </c:pt>
                <c:pt idx="12">
                  <c:v>0.83243584352000011</c:v>
                </c:pt>
              </c:numCache>
            </c:numRef>
          </c:val>
          <c:smooth val="0"/>
        </c:ser>
        <c:ser>
          <c:idx val="1"/>
          <c:order val="1"/>
          <c:tx>
            <c:strRef>
              <c:f>'рисунки 66-68'!$A$8</c:f>
              <c:strCache>
                <c:ptCount val="1"/>
                <c:pt idx="0">
                  <c:v>Дорожное хозяйство (дорожные фонды)</c:v>
                </c:pt>
              </c:strCache>
            </c:strRef>
          </c:tx>
          <c:spPr>
            <a:ln w="26188" cap="rnd">
              <a:solidFill>
                <a:srgbClr val="C0504D"/>
              </a:solidFill>
              <a:round/>
            </a:ln>
            <a:effectLst/>
          </c:spPr>
          <c:marker>
            <c:symbol val="none"/>
          </c:marker>
          <c:dLbls>
            <c:dLbl>
              <c:idx val="2"/>
              <c:layout>
                <c:manualLayout>
                  <c:x val="-3.3137359700694813E-2"/>
                  <c:y val="2.0189881023915401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3.3137359700694813E-2"/>
                  <c:y val="1.2979209229659897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11"/>
              <c:layout>
                <c:manualLayout>
                  <c:x val="-3.3137359700694813E-2"/>
                  <c:y val="1.7786323759163565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w="23278">
                <a:noFill/>
              </a:ln>
            </c:spPr>
            <c:txPr>
              <a:bodyPr rot="0" spcFirstLastPara="1" vertOverflow="ellipsis" vert="horz" wrap="square" anchor="ctr" anchorCtr="1"/>
              <a:lstStyle/>
              <a:p>
                <a:pPr>
                  <a:defRPr sz="733" b="0" i="0" u="none" strike="noStrike" kern="1200" baseline="0">
                    <a:solidFill>
                      <a:schemeClr val="tx1">
                        <a:lumMod val="75000"/>
                        <a:lumOff val="25000"/>
                      </a:schemeClr>
                    </a:solidFill>
                    <a:latin typeface="PT Astra Serif" pitchFamily="18" charset="-52"/>
                    <a:ea typeface="PT Astra Serif" pitchFamily="18" charset="-52"/>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'рисунки 66-68'!$B$3:$N$3</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'рисунки 66-68'!$B$8:$N$8</c:f>
              <c:numCache>
                <c:formatCode>0.00</c:formatCode>
                <c:ptCount val="13"/>
                <c:pt idx="0">
                  <c:v>1.2757523612743278</c:v>
                </c:pt>
                <c:pt idx="1">
                  <c:v>1.8948274207937532</c:v>
                </c:pt>
                <c:pt idx="2">
                  <c:v>1.6680092704115037</c:v>
                </c:pt>
                <c:pt idx="3">
                  <c:v>1.717494490144166</c:v>
                </c:pt>
                <c:pt idx="4">
                  <c:v>1.8182135842590739</c:v>
                </c:pt>
                <c:pt idx="5">
                  <c:v>3.0839997762554292</c:v>
                </c:pt>
                <c:pt idx="6">
                  <c:v>2.8117475075498395</c:v>
                </c:pt>
                <c:pt idx="7">
                  <c:v>2.8169563431231039</c:v>
                </c:pt>
                <c:pt idx="8">
                  <c:v>3.058571685220389</c:v>
                </c:pt>
                <c:pt idx="9">
                  <c:v>2.5951099513291762</c:v>
                </c:pt>
                <c:pt idx="10">
                  <c:v>4.7816722227063151</c:v>
                </c:pt>
                <c:pt idx="11">
                  <c:v>3.60493702627</c:v>
                </c:pt>
                <c:pt idx="12">
                  <c:v>3.3765239144899994</c:v>
                </c:pt>
              </c:numCache>
            </c:numRef>
          </c:val>
          <c:smooth val="0"/>
        </c:ser>
        <c:ser>
          <c:idx val="2"/>
          <c:order val="2"/>
          <c:tx>
            <c:strRef>
              <c:f>'рисунки 66-68'!$A$10</c:f>
              <c:strCache>
                <c:ptCount val="1"/>
                <c:pt idx="0">
                  <c:v>Жилищное хозяйство</c:v>
                </c:pt>
              </c:strCache>
            </c:strRef>
          </c:tx>
          <c:spPr>
            <a:ln w="26188" cap="rnd">
              <a:solidFill>
                <a:srgbClr val="9BBB59"/>
              </a:solidFill>
              <a:round/>
            </a:ln>
            <a:effectLst/>
          </c:spPr>
          <c:marker>
            <c:symbol val="none"/>
          </c:marker>
          <c:dLbls>
            <c:dLbl>
              <c:idx val="4"/>
              <c:layout>
                <c:manualLayout>
                  <c:x val="-3.3137359700694813E-2"/>
                  <c:y val="2.7400552818170762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3.3137359700694813E-2"/>
                  <c:y val="2.4996995553419082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3.3137359700694896E-2"/>
                  <c:y val="8.172094700156245E-3"/>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3.3137359700694896E-2"/>
                  <c:y val="2.0189881023915401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8"/>
              <c:layout>
                <c:manualLayout>
                  <c:x val="-3.3137359700694813E-2"/>
                  <c:y val="1.2979209229659897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w="23278">
                <a:noFill/>
              </a:ln>
            </c:spPr>
            <c:txPr>
              <a:bodyPr rot="0" spcFirstLastPara="1" vertOverflow="ellipsis" vert="horz" wrap="square" anchor="ctr" anchorCtr="1"/>
              <a:lstStyle/>
              <a:p>
                <a:pPr>
                  <a:defRPr sz="733" b="0" i="0" u="none" strike="noStrike" kern="1200" baseline="0">
                    <a:solidFill>
                      <a:schemeClr val="tx1">
                        <a:lumMod val="75000"/>
                        <a:lumOff val="25000"/>
                      </a:schemeClr>
                    </a:solidFill>
                    <a:latin typeface="PT Astra Serif" pitchFamily="18" charset="-52"/>
                    <a:ea typeface="PT Astra Serif" pitchFamily="18" charset="-52"/>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'рисунки 66-68'!$B$3:$N$3</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'рисунки 66-68'!$B$10:$N$10</c:f>
              <c:numCache>
                <c:formatCode>0.00</c:formatCode>
                <c:ptCount val="13"/>
                <c:pt idx="0">
                  <c:v>0.97420253033678983</c:v>
                </c:pt>
                <c:pt idx="1">
                  <c:v>1.3936451821475939</c:v>
                </c:pt>
                <c:pt idx="2">
                  <c:v>1.9233300472430859</c:v>
                </c:pt>
                <c:pt idx="3">
                  <c:v>1.027308297036023</c:v>
                </c:pt>
                <c:pt idx="4">
                  <c:v>0.34798027934560083</c:v>
                </c:pt>
                <c:pt idx="5">
                  <c:v>0.33434523862333582</c:v>
                </c:pt>
                <c:pt idx="6">
                  <c:v>0.39006269036961044</c:v>
                </c:pt>
                <c:pt idx="7">
                  <c:v>0.86423579490705249</c:v>
                </c:pt>
                <c:pt idx="8">
                  <c:v>0.81229428750621369</c:v>
                </c:pt>
                <c:pt idx="9">
                  <c:v>2.263214066408429</c:v>
                </c:pt>
                <c:pt idx="10">
                  <c:v>2.879467991263529</c:v>
                </c:pt>
                <c:pt idx="11">
                  <c:v>1.4734699906599997</c:v>
                </c:pt>
                <c:pt idx="12">
                  <c:v>1.47245660633</c:v>
                </c:pt>
              </c:numCache>
            </c:numRef>
          </c:val>
          <c:smooth val="0"/>
        </c:ser>
        <c:ser>
          <c:idx val="3"/>
          <c:order val="3"/>
          <c:tx>
            <c:strRef>
              <c:f>'рисунки 66-68'!$A$11</c:f>
              <c:strCache>
                <c:ptCount val="1"/>
                <c:pt idx="0">
                  <c:v>Коммунальное хозяйство</c:v>
                </c:pt>
              </c:strCache>
            </c:strRef>
          </c:tx>
          <c:spPr>
            <a:ln w="26188" cap="rnd">
              <a:solidFill>
                <a:srgbClr val="8064A2"/>
              </a:solidFill>
              <a:round/>
            </a:ln>
            <a:effectLst/>
          </c:spPr>
          <c:marker>
            <c:symbol val="none"/>
          </c:marker>
          <c:dLbls>
            <c:dLbl>
              <c:idx val="1"/>
              <c:layout>
                <c:manualLayout>
                  <c:x val="-3.3137359700694834E-2"/>
                  <c:y val="1.2979209229659809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3.3137359700694813E-2"/>
                  <c:y val="-3.0284821535873016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3.3137359700694854E-2"/>
                  <c:y val="2.0189881023915401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3.3137359700694813E-2"/>
                  <c:y val="8.1720947001561531E-3"/>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3.3137359700694813E-2"/>
                  <c:y val="3.3649801706524827E-3"/>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3.3137359700694896E-2"/>
                  <c:y val="1.7786323759163565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3.3137359700694896E-2"/>
                  <c:y val="2.2593438288667247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8"/>
              <c:layout>
                <c:manualLayout>
                  <c:x val="-3.3137359700694813E-2"/>
                  <c:y val="-2.0670592476865809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10"/>
              <c:layout>
                <c:manualLayout>
                  <c:x val="-3.3137359700694813E-2"/>
                  <c:y val="-1.8267035212114129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w="23278">
                <a:noFill/>
              </a:ln>
            </c:spPr>
            <c:txPr>
              <a:bodyPr rot="0" spcFirstLastPara="1" vertOverflow="ellipsis" vert="horz" wrap="square" anchor="ctr" anchorCtr="1"/>
              <a:lstStyle/>
              <a:p>
                <a:pPr>
                  <a:defRPr sz="733" b="0" i="0" u="none" strike="noStrike" kern="1200" baseline="0">
                    <a:solidFill>
                      <a:schemeClr val="tx1">
                        <a:lumMod val="75000"/>
                        <a:lumOff val="25000"/>
                      </a:schemeClr>
                    </a:solidFill>
                    <a:latin typeface="PT Astra Serif" pitchFamily="18" charset="-52"/>
                    <a:ea typeface="PT Astra Serif" pitchFamily="18" charset="-52"/>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'рисунки 66-68'!$B$3:$N$3</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'рисунки 66-68'!$B$11:$N$11</c:f>
              <c:numCache>
                <c:formatCode>0.00</c:formatCode>
                <c:ptCount val="13"/>
                <c:pt idx="0">
                  <c:v>0.72884915483616219</c:v>
                </c:pt>
                <c:pt idx="1">
                  <c:v>0.66518878897774392</c:v>
                </c:pt>
                <c:pt idx="2">
                  <c:v>0.66409048653270564</c:v>
                </c:pt>
                <c:pt idx="3">
                  <c:v>0.39204919827273005</c:v>
                </c:pt>
                <c:pt idx="4">
                  <c:v>0.37841994655467021</c:v>
                </c:pt>
                <c:pt idx="5">
                  <c:v>0.37018661689703253</c:v>
                </c:pt>
                <c:pt idx="6">
                  <c:v>0.2341607637808199</c:v>
                </c:pt>
                <c:pt idx="7">
                  <c:v>0.30254909988017298</c:v>
                </c:pt>
                <c:pt idx="8">
                  <c:v>9.1452051921701763E-2</c:v>
                </c:pt>
                <c:pt idx="9">
                  <c:v>0.15831043854257976</c:v>
                </c:pt>
                <c:pt idx="10">
                  <c:v>0.54069100017759009</c:v>
                </c:pt>
                <c:pt idx="11">
                  <c:v>1.13704655606</c:v>
                </c:pt>
                <c:pt idx="12">
                  <c:v>1.7923492372099998</c:v>
                </c:pt>
              </c:numCache>
            </c:numRef>
          </c:val>
          <c:smooth val="0"/>
        </c:ser>
        <c:ser>
          <c:idx val="4"/>
          <c:order val="4"/>
          <c:tx>
            <c:strRef>
              <c:f>'рисунки 66-68'!$A$12</c:f>
              <c:strCache>
                <c:ptCount val="1"/>
                <c:pt idx="0">
                  <c:v>Благоустройство</c:v>
                </c:pt>
              </c:strCache>
            </c:strRef>
          </c:tx>
          <c:spPr>
            <a:ln w="26188" cap="rnd">
              <a:solidFill>
                <a:srgbClr val="4BACC6"/>
              </a:solidFill>
              <a:round/>
            </a:ln>
            <a:effectLst/>
          </c:spPr>
          <c:marker>
            <c:symbol val="none"/>
          </c:marker>
          <c:dLbls>
            <c:dLbl>
              <c:idx val="0"/>
              <c:layout>
                <c:manualLayout>
                  <c:x val="-3.3137359700694834E-2"/>
                  <c:y val="1.297920922965972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3.3137359700694834E-2"/>
                  <c:y val="-3.5091936065376805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3.3137359700694813E-2"/>
                  <c:y val="-1.1056363417858431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3.3137359700694854E-2"/>
                  <c:y val="-2.0670592476865892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3.3137359700694813E-2"/>
                  <c:y val="-3.7495493330128499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8"/>
              <c:layout>
                <c:manualLayout>
                  <c:x val="-3.3137359700694813E-2"/>
                  <c:y val="-2.0670592476865892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w="23278">
                <a:noFill/>
              </a:ln>
            </c:spPr>
            <c:txPr>
              <a:bodyPr rot="0" spcFirstLastPara="1" vertOverflow="ellipsis" vert="horz" wrap="square" anchor="ctr" anchorCtr="1"/>
              <a:lstStyle/>
              <a:p>
                <a:pPr>
                  <a:defRPr sz="733" b="0" i="0" u="none" strike="noStrike" kern="1200" baseline="0">
                    <a:solidFill>
                      <a:schemeClr val="tx1">
                        <a:lumMod val="75000"/>
                        <a:lumOff val="25000"/>
                      </a:schemeClr>
                    </a:solidFill>
                    <a:latin typeface="PT Astra Serif" pitchFamily="18" charset="-52"/>
                    <a:ea typeface="PT Astra Serif" pitchFamily="18" charset="-52"/>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'рисунки 66-68'!$B$3:$N$3</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'рисунки 66-68'!$B$12:$N$12</c:f>
              <c:numCache>
                <c:formatCode>0.00</c:formatCode>
                <c:ptCount val="13"/>
                <c:pt idx="0">
                  <c:v>0.52633729639880045</c:v>
                </c:pt>
                <c:pt idx="1">
                  <c:v>0.73763979592065687</c:v>
                </c:pt>
                <c:pt idx="2">
                  <c:v>0.63644988678398773</c:v>
                </c:pt>
                <c:pt idx="3">
                  <c:v>0.60190420047702708</c:v>
                </c:pt>
                <c:pt idx="4">
                  <c:v>0.48199541956640435</c:v>
                </c:pt>
                <c:pt idx="5">
                  <c:v>0.8800998286481746</c:v>
                </c:pt>
                <c:pt idx="6">
                  <c:v>0.86335918023166147</c:v>
                </c:pt>
                <c:pt idx="7">
                  <c:v>0.94447762814766556</c:v>
                </c:pt>
                <c:pt idx="8">
                  <c:v>0.8670073569939043</c:v>
                </c:pt>
                <c:pt idx="9">
                  <c:v>1.1519755458639653</c:v>
                </c:pt>
                <c:pt idx="10">
                  <c:v>1.12456367654139</c:v>
                </c:pt>
                <c:pt idx="11">
                  <c:v>1.34494387802</c:v>
                </c:pt>
                <c:pt idx="12">
                  <c:v>1.2964050931500002</c:v>
                </c:pt>
              </c:numCache>
            </c:numRef>
          </c:val>
          <c:smooth val="0"/>
        </c:ser>
        <c:dLbls>
          <c:showLegendKey val="0"/>
          <c:showVal val="1"/>
          <c:showCatName val="0"/>
          <c:showSerName val="0"/>
          <c:showPercent val="0"/>
          <c:showBubbleSize val="0"/>
        </c:dLbls>
        <c:smooth val="0"/>
        <c:axId val="504170896"/>
        <c:axId val="504171288"/>
      </c:lineChart>
      <c:catAx>
        <c:axId val="504170896"/>
        <c:scaling>
          <c:orientation val="minMax"/>
        </c:scaling>
        <c:delete val="0"/>
        <c:axPos val="b"/>
        <c:numFmt formatCode="General" sourceLinked="1"/>
        <c:majorTickMark val="none"/>
        <c:minorTickMark val="none"/>
        <c:tickLblPos val="nextTo"/>
        <c:spPr>
          <a:noFill/>
          <a:ln w="8729" cap="flat" cmpd="sng" algn="ctr">
            <a:solidFill>
              <a:schemeClr val="tx1">
                <a:lumMod val="15000"/>
                <a:lumOff val="85000"/>
              </a:schemeClr>
            </a:solidFill>
            <a:round/>
          </a:ln>
          <a:effectLst/>
        </c:spPr>
        <c:txPr>
          <a:bodyPr rot="-60000000" spcFirstLastPara="1" vertOverflow="ellipsis" vert="horz" wrap="square" anchor="ctr" anchorCtr="1"/>
          <a:lstStyle/>
          <a:p>
            <a:pPr>
              <a:defRPr sz="733" b="0" i="0" u="none" strike="noStrike" kern="1200" baseline="0">
                <a:solidFill>
                  <a:schemeClr val="tx1">
                    <a:lumMod val="65000"/>
                    <a:lumOff val="35000"/>
                  </a:schemeClr>
                </a:solidFill>
                <a:latin typeface="PT Astra Serif" pitchFamily="18" charset="-52"/>
                <a:ea typeface="PT Astra Serif" pitchFamily="18" charset="-52"/>
                <a:cs typeface="Times New Roman" panose="02020603050405020304" pitchFamily="18" charset="0"/>
              </a:defRPr>
            </a:pPr>
            <a:endParaRPr lang="ru-RU"/>
          </a:p>
        </c:txPr>
        <c:crossAx val="504171288"/>
        <c:crosses val="autoZero"/>
        <c:auto val="1"/>
        <c:lblAlgn val="ctr"/>
        <c:lblOffset val="100"/>
        <c:noMultiLvlLbl val="0"/>
      </c:catAx>
      <c:valAx>
        <c:axId val="504171288"/>
        <c:scaling>
          <c:orientation val="minMax"/>
          <c:max val="5"/>
        </c:scaling>
        <c:delete val="0"/>
        <c:axPos val="l"/>
        <c:majorGridlines>
          <c:spPr>
            <a:ln w="8729" cap="flat" cmpd="sng" algn="ctr">
              <a:solidFill>
                <a:schemeClr val="tx1">
                  <a:lumMod val="15000"/>
                  <a:lumOff val="85000"/>
                </a:schemeClr>
              </a:solidFill>
              <a:round/>
            </a:ln>
            <a:effectLst/>
          </c:spPr>
        </c:majorGridlines>
        <c:numFmt formatCode="0.0" sourceLinked="0"/>
        <c:majorTickMark val="none"/>
        <c:minorTickMark val="none"/>
        <c:tickLblPos val="nextTo"/>
        <c:spPr>
          <a:ln w="5819">
            <a:noFill/>
          </a:ln>
        </c:spPr>
        <c:txPr>
          <a:bodyPr rot="-60000000" spcFirstLastPara="1" vertOverflow="ellipsis" vert="horz" wrap="square" anchor="ctr" anchorCtr="1"/>
          <a:lstStyle/>
          <a:p>
            <a:pPr>
              <a:defRPr sz="733" b="0" i="0" u="none" strike="noStrike" kern="1200" baseline="0">
                <a:solidFill>
                  <a:schemeClr val="tx1">
                    <a:lumMod val="65000"/>
                    <a:lumOff val="35000"/>
                  </a:schemeClr>
                </a:solidFill>
                <a:latin typeface="PT Astra Serif" pitchFamily="18" charset="-52"/>
                <a:ea typeface="PT Astra Serif" pitchFamily="18" charset="-52"/>
                <a:cs typeface="Times New Roman" panose="02020603050405020304" pitchFamily="18" charset="0"/>
              </a:defRPr>
            </a:pPr>
            <a:endParaRPr lang="ru-RU"/>
          </a:p>
        </c:txPr>
        <c:crossAx val="504170896"/>
        <c:crosses val="autoZero"/>
        <c:crossBetween val="between"/>
      </c:valAx>
      <c:spPr>
        <a:noFill/>
        <a:ln w="23278">
          <a:noFill/>
        </a:ln>
      </c:spPr>
    </c:plotArea>
    <c:legend>
      <c:legendPos val="b"/>
      <c:layout>
        <c:manualLayout>
          <c:xMode val="edge"/>
          <c:yMode val="edge"/>
          <c:x val="5.521728350731403E-2"/>
          <c:y val="0.91949587035565505"/>
          <c:w val="0.88956543298537194"/>
          <c:h val="6.9331021695682504E-2"/>
        </c:manualLayout>
      </c:layout>
      <c:overlay val="0"/>
      <c:spPr>
        <a:noFill/>
        <a:ln w="23278">
          <a:noFill/>
        </a:ln>
      </c:spPr>
      <c:txPr>
        <a:bodyPr rot="0" spcFirstLastPara="1" vertOverflow="ellipsis" vert="horz" wrap="square" anchor="ctr" anchorCtr="1"/>
        <a:lstStyle/>
        <a:p>
          <a:pPr>
            <a:defRPr sz="733" b="0" i="0" u="none" strike="noStrike" kern="1200" baseline="0">
              <a:solidFill>
                <a:schemeClr val="tx1">
                  <a:lumMod val="65000"/>
                  <a:lumOff val="35000"/>
                </a:schemeClr>
              </a:solidFill>
              <a:latin typeface="PT Astra Serif" pitchFamily="18" charset="-52"/>
              <a:ea typeface="PT Astra Serif" pitchFamily="18" charset="-52"/>
              <a:cs typeface="Times New Roman" panose="02020603050405020304" pitchFamily="18" charset="0"/>
            </a:defRPr>
          </a:pPr>
          <a:endParaRPr lang="ru-RU"/>
        </a:p>
      </c:txPr>
    </c:legend>
    <c:plotVisOnly val="1"/>
    <c:dispBlanksAs val="gap"/>
    <c:showDLblsOverMax val="0"/>
  </c:chart>
  <c:spPr>
    <a:solidFill>
      <a:schemeClr val="bg1"/>
    </a:solidFill>
    <a:ln>
      <a:noFill/>
    </a:ln>
    <a:effectLst/>
  </c:spPr>
  <c:txPr>
    <a:bodyPr/>
    <a:lstStyle/>
    <a:p>
      <a:pPr>
        <a:defRPr sz="733">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'рисунки 66-68'!$A$16</c:f>
              <c:strCache>
                <c:ptCount val="1"/>
                <c:pt idx="0">
                  <c:v>Образование</c:v>
                </c:pt>
              </c:strCache>
            </c:strRef>
          </c:tx>
          <c:spPr>
            <a:ln w="27093" cap="rnd">
              <a:solidFill>
                <a:srgbClr val="6F94C0"/>
              </a:solidFill>
              <a:round/>
            </a:ln>
            <a:effectLst/>
          </c:spPr>
          <c:marker>
            <c:symbol val="none"/>
          </c:marker>
          <c:dLbls>
            <c:spPr>
              <a:noFill/>
              <a:ln w="24082">
                <a:noFill/>
              </a:ln>
            </c:spPr>
            <c:txPr>
              <a:bodyPr rot="0" spcFirstLastPara="1" vertOverflow="ellipsis" vert="horz" wrap="square" anchor="ctr" anchorCtr="1"/>
              <a:lstStyle/>
              <a:p>
                <a:pPr>
                  <a:defRPr sz="853" b="0" i="0" u="none" strike="noStrike" kern="1200" baseline="0">
                    <a:solidFill>
                      <a:schemeClr val="tx1">
                        <a:lumMod val="75000"/>
                        <a:lumOff val="25000"/>
                      </a:schemeClr>
                    </a:solidFill>
                    <a:latin typeface="PT Astra Serif" pitchFamily="18" charset="-52"/>
                    <a:ea typeface="PT Astra Serif" pitchFamily="18" charset="-52"/>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'рисунки 66-68'!$B$3:$N$3</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'рисунки 66-68'!$B$16:$N$16</c:f>
              <c:numCache>
                <c:formatCode>0.00</c:formatCode>
                <c:ptCount val="13"/>
                <c:pt idx="0">
                  <c:v>11.428987380330383</c:v>
                </c:pt>
                <c:pt idx="1">
                  <c:v>11.651563460651992</c:v>
                </c:pt>
                <c:pt idx="2">
                  <c:v>11.336364542318929</c:v>
                </c:pt>
                <c:pt idx="3">
                  <c:v>9.4106844554315376</c:v>
                </c:pt>
                <c:pt idx="4">
                  <c:v>9.1174654038486285</c:v>
                </c:pt>
                <c:pt idx="5">
                  <c:v>9.6503343764096545</c:v>
                </c:pt>
                <c:pt idx="6">
                  <c:v>11.272910000570315</c:v>
                </c:pt>
                <c:pt idx="7">
                  <c:v>13.069188512393339</c:v>
                </c:pt>
                <c:pt idx="8">
                  <c:v>13.868160557407659</c:v>
                </c:pt>
                <c:pt idx="9">
                  <c:v>13.752296885974722</c:v>
                </c:pt>
                <c:pt idx="10">
                  <c:v>15.667269852508873</c:v>
                </c:pt>
                <c:pt idx="11">
                  <c:v>14.871071816880001</c:v>
                </c:pt>
                <c:pt idx="12">
                  <c:v>15.87024702617</c:v>
                </c:pt>
              </c:numCache>
            </c:numRef>
          </c:val>
          <c:smooth val="0"/>
        </c:ser>
        <c:ser>
          <c:idx val="1"/>
          <c:order val="1"/>
          <c:tx>
            <c:strRef>
              <c:f>'рисунки 66-68'!$A$17</c:f>
              <c:strCache>
                <c:ptCount val="1"/>
                <c:pt idx="0">
                  <c:v>Дошкольное образование</c:v>
                </c:pt>
              </c:strCache>
            </c:strRef>
          </c:tx>
          <c:spPr>
            <a:ln w="27093" cap="rnd">
              <a:solidFill>
                <a:srgbClr val="C0504D"/>
              </a:solidFill>
              <a:round/>
            </a:ln>
            <a:effectLst/>
          </c:spPr>
          <c:marker>
            <c:symbol val="none"/>
          </c:marker>
          <c:dLbls>
            <c:dLbl>
              <c:idx val="1"/>
              <c:layout>
                <c:manualLayout>
                  <c:x val="-3.5008101272215396E-2"/>
                  <c:y val="2.320284664283561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3.5008101272215396E-2"/>
                  <c:y val="2.616712706376358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3.5008101272215396E-2"/>
                  <c:y val="2.9131407484691396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3.2852648226664019E-2"/>
                  <c:y val="2.5148531132403628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9"/>
              <c:layout>
                <c:manualLayout>
                  <c:x val="-3.5008101272215451E-2"/>
                  <c:y val="2.616712706376358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w="24082">
                <a:noFill/>
              </a:ln>
            </c:spPr>
            <c:txPr>
              <a:bodyPr rot="0" spcFirstLastPara="1" vertOverflow="ellipsis" vert="horz" wrap="square" anchor="ctr" anchorCtr="1"/>
              <a:lstStyle/>
              <a:p>
                <a:pPr>
                  <a:defRPr sz="853" b="0" i="0" u="none" strike="noStrike" kern="1200" baseline="0">
                    <a:solidFill>
                      <a:schemeClr val="tx1">
                        <a:lumMod val="75000"/>
                        <a:lumOff val="25000"/>
                      </a:schemeClr>
                    </a:solidFill>
                    <a:latin typeface="PT Astra Serif" pitchFamily="18" charset="-52"/>
                    <a:ea typeface="PT Astra Serif" pitchFamily="18" charset="-52"/>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'рисунки 66-68'!$B$3:$N$3</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'рисунки 66-68'!$B$17:$N$17</c:f>
              <c:numCache>
                <c:formatCode>0.00</c:formatCode>
                <c:ptCount val="13"/>
                <c:pt idx="0">
                  <c:v>4.2395835855101058</c:v>
                </c:pt>
                <c:pt idx="1">
                  <c:v>5.2848196456553875</c:v>
                </c:pt>
                <c:pt idx="2">
                  <c:v>4.81047994667352</c:v>
                </c:pt>
                <c:pt idx="3">
                  <c:v>3.7520978138714862</c:v>
                </c:pt>
                <c:pt idx="4">
                  <c:v>3.2422110334114635</c:v>
                </c:pt>
                <c:pt idx="5">
                  <c:v>3.5976592064915152</c:v>
                </c:pt>
                <c:pt idx="6">
                  <c:v>4.9905237743983326</c:v>
                </c:pt>
                <c:pt idx="7">
                  <c:v>5.9621753557151642</c:v>
                </c:pt>
                <c:pt idx="8">
                  <c:v>6.2301573653365265</c:v>
                </c:pt>
                <c:pt idx="9">
                  <c:v>5.7886893937374673</c:v>
                </c:pt>
                <c:pt idx="10">
                  <c:v>6.0257633873400449</c:v>
                </c:pt>
                <c:pt idx="11">
                  <c:v>5.9341651075399984</c:v>
                </c:pt>
                <c:pt idx="12">
                  <c:v>6.1897915545400002</c:v>
                </c:pt>
              </c:numCache>
            </c:numRef>
          </c:val>
          <c:smooth val="0"/>
        </c:ser>
        <c:ser>
          <c:idx val="2"/>
          <c:order val="2"/>
          <c:tx>
            <c:strRef>
              <c:f>'рисунки 66-68'!$A$18</c:f>
              <c:strCache>
                <c:ptCount val="1"/>
                <c:pt idx="0">
                  <c:v>Общее образование</c:v>
                </c:pt>
              </c:strCache>
            </c:strRef>
          </c:tx>
          <c:spPr>
            <a:ln w="27093" cap="rnd">
              <a:solidFill>
                <a:srgbClr val="9BBB59"/>
              </a:solidFill>
              <a:round/>
            </a:ln>
            <a:effectLst/>
          </c:spPr>
          <c:marker>
            <c:symbol val="none"/>
          </c:marker>
          <c:dLbls>
            <c:dLbl>
              <c:idx val="6"/>
              <c:layout>
                <c:manualLayout>
                  <c:x val="-3.5008101272215396E-2"/>
                  <c:y val="2.6167127063763458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3.5008101272215396E-2"/>
                  <c:y val="2.6167127063763458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8"/>
              <c:layout>
                <c:manualLayout>
                  <c:x val="-3.5008101272215451E-2"/>
                  <c:y val="2.0238566221907901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w="24082">
                <a:noFill/>
              </a:ln>
            </c:spPr>
            <c:txPr>
              <a:bodyPr rot="0" spcFirstLastPara="1" vertOverflow="ellipsis" vert="horz" wrap="square" anchor="ctr" anchorCtr="1"/>
              <a:lstStyle/>
              <a:p>
                <a:pPr>
                  <a:defRPr sz="853" b="0" i="0" u="none" strike="noStrike" kern="1200" baseline="0">
                    <a:solidFill>
                      <a:schemeClr val="tx1">
                        <a:lumMod val="75000"/>
                        <a:lumOff val="25000"/>
                      </a:schemeClr>
                    </a:solidFill>
                    <a:latin typeface="PT Astra Serif" pitchFamily="18" charset="-52"/>
                    <a:ea typeface="PT Astra Serif" pitchFamily="18" charset="-52"/>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'рисунки 66-68'!$B$3:$N$3</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'рисунки 66-68'!$B$18:$N$18</c:f>
              <c:numCache>
                <c:formatCode>0.00</c:formatCode>
                <c:ptCount val="13"/>
                <c:pt idx="0">
                  <c:v>6.6387080714205382</c:v>
                </c:pt>
                <c:pt idx="1">
                  <c:v>5.707044296391202</c:v>
                </c:pt>
                <c:pt idx="2">
                  <c:v>5.8461115182006171</c:v>
                </c:pt>
                <c:pt idx="3">
                  <c:v>4.988418505295046</c:v>
                </c:pt>
                <c:pt idx="4">
                  <c:v>5.3987598803964794</c:v>
                </c:pt>
                <c:pt idx="5">
                  <c:v>4.5433098846542546</c:v>
                </c:pt>
                <c:pt idx="6">
                  <c:v>4.9300759897862489</c:v>
                </c:pt>
                <c:pt idx="7">
                  <c:v>5.5217925910862444</c:v>
                </c:pt>
                <c:pt idx="8">
                  <c:v>6.0031798112794776</c:v>
                </c:pt>
                <c:pt idx="9">
                  <c:v>6.4801520140008089</c:v>
                </c:pt>
                <c:pt idx="10">
                  <c:v>7.9447935620895738</c:v>
                </c:pt>
                <c:pt idx="11">
                  <c:v>7.2693119628899989</c:v>
                </c:pt>
                <c:pt idx="12">
                  <c:v>7.7864207300799997</c:v>
                </c:pt>
              </c:numCache>
            </c:numRef>
          </c:val>
          <c:smooth val="0"/>
        </c:ser>
        <c:ser>
          <c:idx val="3"/>
          <c:order val="3"/>
          <c:tx>
            <c:strRef>
              <c:f>'рисунки 66-68'!$A$19</c:f>
              <c:strCache>
                <c:ptCount val="1"/>
                <c:pt idx="0">
                  <c:v>Дополнительное образование детей</c:v>
                </c:pt>
              </c:strCache>
            </c:strRef>
          </c:tx>
          <c:spPr>
            <a:ln w="27093" cap="rnd">
              <a:solidFill>
                <a:srgbClr val="8064A2"/>
              </a:solidFill>
              <a:round/>
            </a:ln>
            <a:effectLst/>
          </c:spPr>
          <c:marker>
            <c:symbol val="none"/>
          </c:marker>
          <c:dLbls>
            <c:spPr>
              <a:noFill/>
              <a:ln w="24082">
                <a:noFill/>
              </a:ln>
            </c:spPr>
            <c:txPr>
              <a:bodyPr rot="0" spcFirstLastPara="1" vertOverflow="ellipsis" vert="horz" wrap="square" anchor="ctr" anchorCtr="1"/>
              <a:lstStyle/>
              <a:p>
                <a:pPr>
                  <a:defRPr sz="853" b="0" i="0" u="none" strike="noStrike" kern="1200" baseline="0">
                    <a:solidFill>
                      <a:schemeClr val="tx1">
                        <a:lumMod val="75000"/>
                        <a:lumOff val="25000"/>
                      </a:schemeClr>
                    </a:solidFill>
                    <a:latin typeface="PT Astra Serif" pitchFamily="18" charset="-52"/>
                    <a:ea typeface="PT Astra Serif" pitchFamily="18" charset="-52"/>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'рисунки 66-68'!$B$3:$N$3</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'рисунки 66-68'!$B$19:$N$19</c:f>
              <c:numCache>
                <c:formatCode>General</c:formatCode>
                <c:ptCount val="13"/>
                <c:pt idx="5" formatCode="0.00">
                  <c:v>1.0164197568725764</c:v>
                </c:pt>
                <c:pt idx="6" formatCode="0.00">
                  <c:v>0.80598283323866782</c:v>
                </c:pt>
                <c:pt idx="7" formatCode="0.00">
                  <c:v>0.87599437742897102</c:v>
                </c:pt>
                <c:pt idx="8" formatCode="0.00">
                  <c:v>1.0753295317995926</c:v>
                </c:pt>
                <c:pt idx="9" formatCode="0.00">
                  <c:v>1.0178064721068498</c:v>
                </c:pt>
                <c:pt idx="10" formatCode="0.00">
                  <c:v>1.0884422006334449</c:v>
                </c:pt>
                <c:pt idx="11" formatCode="0.00">
                  <c:v>1.0535413253499997</c:v>
                </c:pt>
                <c:pt idx="12" formatCode="0.00">
                  <c:v>1.1015963784799998</c:v>
                </c:pt>
              </c:numCache>
            </c:numRef>
          </c:val>
          <c:smooth val="0"/>
        </c:ser>
        <c:dLbls>
          <c:showLegendKey val="0"/>
          <c:showVal val="1"/>
          <c:showCatName val="0"/>
          <c:showSerName val="0"/>
          <c:showPercent val="0"/>
          <c:showBubbleSize val="0"/>
        </c:dLbls>
        <c:smooth val="0"/>
        <c:axId val="504172072"/>
        <c:axId val="504172464"/>
      </c:lineChart>
      <c:catAx>
        <c:axId val="504172072"/>
        <c:scaling>
          <c:orientation val="minMax"/>
        </c:scaling>
        <c:delete val="0"/>
        <c:axPos val="b"/>
        <c:numFmt formatCode="General" sourceLinked="1"/>
        <c:majorTickMark val="none"/>
        <c:minorTickMark val="none"/>
        <c:tickLblPos val="nextTo"/>
        <c:spPr>
          <a:noFill/>
          <a:ln w="9031" cap="flat" cmpd="sng" algn="ctr">
            <a:solidFill>
              <a:schemeClr val="tx1">
                <a:lumMod val="15000"/>
                <a:lumOff val="85000"/>
              </a:schemeClr>
            </a:solidFill>
            <a:round/>
          </a:ln>
          <a:effectLst/>
        </c:spPr>
        <c:txPr>
          <a:bodyPr rot="-60000000" spcFirstLastPara="1" vertOverflow="ellipsis" vert="horz" wrap="square" anchor="ctr" anchorCtr="1"/>
          <a:lstStyle/>
          <a:p>
            <a:pPr>
              <a:defRPr sz="853" b="0" i="0" u="none" strike="noStrike" kern="1200" baseline="0">
                <a:solidFill>
                  <a:schemeClr val="tx1">
                    <a:lumMod val="65000"/>
                    <a:lumOff val="35000"/>
                  </a:schemeClr>
                </a:solidFill>
                <a:latin typeface="PT Astra Serif" pitchFamily="18" charset="-52"/>
                <a:ea typeface="PT Astra Serif" pitchFamily="18" charset="-52"/>
                <a:cs typeface="Times New Roman" panose="02020603050405020304" pitchFamily="18" charset="0"/>
              </a:defRPr>
            </a:pPr>
            <a:endParaRPr lang="ru-RU"/>
          </a:p>
        </c:txPr>
        <c:crossAx val="504172464"/>
        <c:crosses val="autoZero"/>
        <c:auto val="1"/>
        <c:lblAlgn val="ctr"/>
        <c:lblOffset val="100"/>
        <c:noMultiLvlLbl val="0"/>
      </c:catAx>
      <c:valAx>
        <c:axId val="504172464"/>
        <c:scaling>
          <c:orientation val="minMax"/>
        </c:scaling>
        <c:delete val="0"/>
        <c:axPos val="l"/>
        <c:majorGridlines>
          <c:spPr>
            <a:ln w="9031" cap="flat" cmpd="sng" algn="ctr">
              <a:solidFill>
                <a:schemeClr val="tx1">
                  <a:lumMod val="15000"/>
                  <a:lumOff val="85000"/>
                </a:schemeClr>
              </a:solidFill>
              <a:round/>
            </a:ln>
            <a:effectLst/>
          </c:spPr>
        </c:majorGridlines>
        <c:numFmt formatCode="0" sourceLinked="0"/>
        <c:majorTickMark val="none"/>
        <c:minorTickMark val="none"/>
        <c:tickLblPos val="nextTo"/>
        <c:spPr>
          <a:ln w="6021">
            <a:noFill/>
          </a:ln>
        </c:spPr>
        <c:txPr>
          <a:bodyPr rot="-60000000" spcFirstLastPara="1" vertOverflow="ellipsis" vert="horz" wrap="square" anchor="ctr" anchorCtr="1"/>
          <a:lstStyle/>
          <a:p>
            <a:pPr>
              <a:defRPr sz="853" b="0" i="0" u="none" strike="noStrike" kern="1200" baseline="0">
                <a:solidFill>
                  <a:schemeClr val="tx1">
                    <a:lumMod val="65000"/>
                    <a:lumOff val="35000"/>
                  </a:schemeClr>
                </a:solidFill>
                <a:latin typeface="PT Astra Serif" pitchFamily="18" charset="-52"/>
                <a:ea typeface="PT Astra Serif" pitchFamily="18" charset="-52"/>
                <a:cs typeface="Times New Roman" panose="02020603050405020304" pitchFamily="18" charset="0"/>
              </a:defRPr>
            </a:pPr>
            <a:endParaRPr lang="ru-RU"/>
          </a:p>
        </c:txPr>
        <c:crossAx val="504172072"/>
        <c:crosses val="autoZero"/>
        <c:crossBetween val="between"/>
      </c:valAx>
      <c:spPr>
        <a:noFill/>
        <a:ln w="24082">
          <a:noFill/>
        </a:ln>
      </c:spPr>
    </c:plotArea>
    <c:legend>
      <c:legendPos val="b"/>
      <c:layout/>
      <c:overlay val="0"/>
      <c:spPr>
        <a:noFill/>
        <a:ln w="24082">
          <a:noFill/>
        </a:ln>
      </c:spPr>
      <c:txPr>
        <a:bodyPr rot="0" spcFirstLastPara="1" vertOverflow="ellipsis" vert="horz" wrap="square" anchor="ctr" anchorCtr="1"/>
        <a:lstStyle/>
        <a:p>
          <a:pPr>
            <a:defRPr sz="853" b="0" i="0" u="none" strike="noStrike" kern="1200" baseline="0">
              <a:solidFill>
                <a:schemeClr val="tx1">
                  <a:lumMod val="65000"/>
                  <a:lumOff val="35000"/>
                </a:schemeClr>
              </a:solidFill>
              <a:latin typeface="PT Astra Serif" pitchFamily="18" charset="-52"/>
              <a:ea typeface="PT Astra Serif" pitchFamily="18" charset="-52"/>
              <a:cs typeface="Times New Roman" panose="02020603050405020304" pitchFamily="18" charset="0"/>
            </a:defRPr>
          </a:pPr>
          <a:endParaRPr lang="ru-RU"/>
        </a:p>
      </c:txPr>
    </c:legend>
    <c:plotVisOnly val="1"/>
    <c:dispBlanksAs val="gap"/>
    <c:showDLblsOverMax val="0"/>
  </c:chart>
  <c:spPr>
    <a:solidFill>
      <a:schemeClr val="bg1"/>
    </a:solid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'рисунок 69'!$E$5</c:f>
              <c:strCache>
                <c:ptCount val="1"/>
                <c:pt idx="0">
                  <c:v>Количество</c:v>
                </c:pt>
              </c:strCache>
            </c:strRef>
          </c:tx>
          <c:dPt>
            <c:idx val="0"/>
            <c:bubble3D val="0"/>
            <c:spPr>
              <a:solidFill>
                <a:srgbClr val="1F497D"/>
              </a:solidFill>
              <a:ln w="12700">
                <a:solidFill>
                  <a:srgbClr val="FFFFFF"/>
                </a:solidFill>
                <a:prstDash val="solid"/>
              </a:ln>
            </c:spPr>
          </c:dPt>
          <c:dPt>
            <c:idx val="1"/>
            <c:bubble3D val="0"/>
            <c:spPr>
              <a:solidFill>
                <a:srgbClr val="F79646">
                  <a:lumMod val="75000"/>
                </a:srgbClr>
              </a:solidFill>
              <a:ln w="19050">
                <a:solidFill>
                  <a:schemeClr val="lt1"/>
                </a:solidFill>
              </a:ln>
              <a:effectLst/>
            </c:spPr>
          </c:dPt>
          <c:dPt>
            <c:idx val="2"/>
            <c:bubble3D val="0"/>
            <c:spPr>
              <a:solidFill>
                <a:srgbClr val="A5A5A5"/>
              </a:solidFill>
              <a:ln w="12700">
                <a:solidFill>
                  <a:srgbClr val="FFFFFF"/>
                </a:solidFill>
                <a:prstDash val="solid"/>
              </a:ln>
            </c:spPr>
          </c:dPt>
          <c:dPt>
            <c:idx val="3"/>
            <c:bubble3D val="0"/>
            <c:spPr>
              <a:solidFill>
                <a:srgbClr val="FFC000"/>
              </a:solidFill>
              <a:ln w="12700">
                <a:solidFill>
                  <a:srgbClr val="FFFFFF"/>
                </a:solidFill>
                <a:prstDash val="solid"/>
              </a:ln>
            </c:spPr>
          </c:dPt>
          <c:dPt>
            <c:idx val="4"/>
            <c:bubble3D val="0"/>
            <c:spPr>
              <a:solidFill>
                <a:srgbClr val="4472C4"/>
              </a:solidFill>
              <a:ln w="12700">
                <a:solidFill>
                  <a:srgbClr val="FFFFFF"/>
                </a:solidFill>
                <a:prstDash val="solid"/>
              </a:ln>
            </c:spPr>
          </c:dPt>
          <c:dPt>
            <c:idx val="5"/>
            <c:bubble3D val="0"/>
            <c:spPr>
              <a:solidFill>
                <a:srgbClr val="70AD47"/>
              </a:solidFill>
              <a:ln w="12700">
                <a:solidFill>
                  <a:srgbClr val="FFFFFF"/>
                </a:solidFill>
                <a:prstDash val="solid"/>
              </a:ln>
            </c:spPr>
          </c:dPt>
          <c:dPt>
            <c:idx val="6"/>
            <c:bubble3D val="0"/>
            <c:spPr>
              <a:solidFill>
                <a:schemeClr val="accent1">
                  <a:lumMod val="60000"/>
                </a:schemeClr>
              </a:solidFill>
              <a:ln w="19050">
                <a:solidFill>
                  <a:schemeClr val="lt1"/>
                </a:solidFill>
              </a:ln>
              <a:effectLst/>
            </c:spPr>
          </c:dPt>
          <c:dPt>
            <c:idx val="7"/>
            <c:bubble3D val="0"/>
            <c:spPr>
              <a:solidFill>
                <a:schemeClr val="accent2">
                  <a:lumMod val="60000"/>
                </a:schemeClr>
              </a:solidFill>
              <a:ln w="19050">
                <a:solidFill>
                  <a:schemeClr val="lt1"/>
                </a:solidFill>
              </a:ln>
              <a:effectLst/>
            </c:spPr>
          </c:dPt>
          <c:dPt>
            <c:idx val="8"/>
            <c:bubble3D val="0"/>
            <c:spPr>
              <a:solidFill>
                <a:schemeClr val="accent3">
                  <a:lumMod val="60000"/>
                </a:schemeClr>
              </a:solidFill>
              <a:ln w="19050">
                <a:solidFill>
                  <a:schemeClr val="lt1"/>
                </a:solidFill>
              </a:ln>
              <a:effectLst/>
            </c:spPr>
          </c:dPt>
          <c:dPt>
            <c:idx val="9"/>
            <c:bubble3D val="0"/>
            <c:spPr>
              <a:solidFill>
                <a:schemeClr val="accent4">
                  <a:lumMod val="60000"/>
                </a:schemeClr>
              </a:solidFill>
              <a:ln w="19050">
                <a:solidFill>
                  <a:schemeClr val="lt1"/>
                </a:solidFill>
              </a:ln>
              <a:effectLst/>
            </c:spPr>
          </c:dPt>
          <c:dPt>
            <c:idx val="10"/>
            <c:bubble3D val="0"/>
            <c:spPr>
              <a:solidFill>
                <a:schemeClr val="accent5">
                  <a:lumMod val="60000"/>
                </a:schemeClr>
              </a:solidFill>
              <a:ln w="19050">
                <a:solidFill>
                  <a:schemeClr val="lt1"/>
                </a:solidFill>
              </a:ln>
              <a:effectLst/>
            </c:spPr>
          </c:dPt>
          <c:dPt>
            <c:idx val="11"/>
            <c:bubble3D val="0"/>
            <c:spPr>
              <a:solidFill>
                <a:schemeClr val="accent6">
                  <a:lumMod val="60000"/>
                </a:schemeClr>
              </a:solidFill>
              <a:ln w="19050">
                <a:solidFill>
                  <a:schemeClr val="lt1"/>
                </a:solidFill>
              </a:ln>
              <a:effectLst/>
            </c:spPr>
          </c:dPt>
          <c:dPt>
            <c:idx val="12"/>
            <c:bubble3D val="0"/>
            <c:spPr>
              <a:solidFill>
                <a:schemeClr val="accent1">
                  <a:lumMod val="80000"/>
                  <a:lumOff val="20000"/>
                </a:schemeClr>
              </a:solidFill>
              <a:ln w="19050">
                <a:solidFill>
                  <a:schemeClr val="lt1"/>
                </a:solidFill>
              </a:ln>
              <a:effectLst/>
            </c:spPr>
          </c:dPt>
          <c:dPt>
            <c:idx val="13"/>
            <c:bubble3D val="0"/>
            <c:spPr>
              <a:solidFill>
                <a:schemeClr val="accent2">
                  <a:lumMod val="80000"/>
                  <a:lumOff val="20000"/>
                </a:schemeClr>
              </a:solidFill>
              <a:ln w="19050">
                <a:solidFill>
                  <a:schemeClr val="lt1"/>
                </a:solidFill>
              </a:ln>
              <a:effectLst/>
            </c:spPr>
          </c:dPt>
          <c:dLbls>
            <c:dLbl>
              <c:idx val="8"/>
              <c:layout>
                <c:manualLayout>
                  <c:x val="-3.9194273752108616E-17"/>
                  <c:y val="-2.3088023088023085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9"/>
              <c:layout>
                <c:manualLayout>
                  <c:x val="2.3516835916622132E-2"/>
                  <c:y val="-4.3290043290043295E-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10"/>
              <c:delete val="1"/>
              <c:extLst>
                <c:ext xmlns:c15="http://schemas.microsoft.com/office/drawing/2012/chart" uri="{CE6537A1-D6FC-4f65-9D91-7224C49458BB}"/>
              </c:extLst>
            </c:dLbl>
            <c:dLbl>
              <c:idx val="11"/>
              <c:delete val="1"/>
              <c:extLst>
                <c:ext xmlns:c15="http://schemas.microsoft.com/office/drawing/2012/chart" uri="{CE6537A1-D6FC-4f65-9D91-7224C49458BB}"/>
              </c:extLst>
            </c:dLbl>
            <c:dLbl>
              <c:idx val="12"/>
              <c:delete val="1"/>
              <c:extLst>
                <c:ext xmlns:c15="http://schemas.microsoft.com/office/drawing/2012/chart" uri="{CE6537A1-D6FC-4f65-9D91-7224C49458BB}"/>
              </c:extLst>
            </c:dLbl>
            <c:dLbl>
              <c:idx val="13"/>
              <c:delete val="1"/>
              <c:extLst>
                <c:ext xmlns:c15="http://schemas.microsoft.com/office/drawing/2012/chart" uri="{CE6537A1-D6FC-4f65-9D91-7224C49458BB}"/>
              </c:extLst>
            </c:dLbl>
            <c:spPr>
              <a:noFill/>
              <a:ln w="25400">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'рисунок 69'!$D$6:$D$19</c:f>
              <c:strCache>
                <c:ptCount val="14"/>
                <c:pt idx="0">
                  <c:v>Коммуникации</c:v>
                </c:pt>
                <c:pt idx="1">
                  <c:v>Земли населенных пунктов</c:v>
                </c:pt>
                <c:pt idx="2">
                  <c:v>Помещения</c:v>
                </c:pt>
                <c:pt idx="3">
                  <c:v>Иное</c:v>
                </c:pt>
                <c:pt idx="4">
                  <c:v>Нежилые здания</c:v>
                </c:pt>
                <c:pt idx="5">
                  <c:v>Сооружения</c:v>
                </c:pt>
                <c:pt idx="6">
                  <c:v>Нежилые комплексы помещений</c:v>
                </c:pt>
                <c:pt idx="7">
                  <c:v>Комнаты</c:v>
                </c:pt>
                <c:pt idx="8">
                  <c:v>Прочее недвижимое имущество</c:v>
                </c:pt>
                <c:pt idx="9">
                  <c:v>Жилые комплексы помещений</c:v>
                </c:pt>
                <c:pt idx="10">
                  <c:v>Сооружение</c:v>
                </c:pt>
                <c:pt idx="11">
                  <c:v>Жилые здания</c:v>
                </c:pt>
                <c:pt idx="12">
                  <c:v>Незавершенное строительство</c:v>
                </c:pt>
                <c:pt idx="13">
                  <c:v>Сети</c:v>
                </c:pt>
              </c:strCache>
            </c:strRef>
          </c:cat>
          <c:val>
            <c:numRef>
              <c:f>'рисунок 69'!$E$6:$E$19</c:f>
              <c:numCache>
                <c:formatCode>General</c:formatCode>
                <c:ptCount val="14"/>
                <c:pt idx="0">
                  <c:v>15656</c:v>
                </c:pt>
                <c:pt idx="1">
                  <c:v>3839</c:v>
                </c:pt>
                <c:pt idx="2">
                  <c:v>3676</c:v>
                </c:pt>
                <c:pt idx="3">
                  <c:v>1559</c:v>
                </c:pt>
                <c:pt idx="4">
                  <c:v>1549</c:v>
                </c:pt>
                <c:pt idx="5">
                  <c:v>1057</c:v>
                </c:pt>
                <c:pt idx="6">
                  <c:v>435</c:v>
                </c:pt>
                <c:pt idx="7">
                  <c:v>352</c:v>
                </c:pt>
                <c:pt idx="8">
                  <c:v>176</c:v>
                </c:pt>
                <c:pt idx="9">
                  <c:v>139</c:v>
                </c:pt>
                <c:pt idx="10">
                  <c:v>113</c:v>
                </c:pt>
                <c:pt idx="11">
                  <c:v>103</c:v>
                </c:pt>
                <c:pt idx="12">
                  <c:v>8</c:v>
                </c:pt>
                <c:pt idx="13">
                  <c:v>1</c:v>
                </c:pt>
              </c:numCache>
            </c:numRef>
          </c:val>
        </c:ser>
        <c:dLbls>
          <c:showLegendKey val="0"/>
          <c:showVal val="0"/>
          <c:showCatName val="0"/>
          <c:showSerName val="0"/>
          <c:showPercent val="0"/>
          <c:showBubbleSize val="0"/>
          <c:showLeaderLines val="1"/>
        </c:dLbls>
        <c:firstSliceAng val="0"/>
      </c:pieChart>
      <c:spPr>
        <a:noFill/>
        <a:ln w="25400">
          <a:noFill/>
        </a:ln>
      </c:spPr>
    </c:plotArea>
    <c:legend>
      <c:legendPos val="r"/>
      <c:layout/>
      <c:overlay val="0"/>
      <c:spPr>
        <a:noFill/>
        <a:ln w="25400">
          <a:noFill/>
        </a:ln>
      </c:spPr>
      <c:txPr>
        <a:bodyPr rot="0" spcFirstLastPara="1" vertOverflow="ellipsis" vert="horz" wrap="square" anchor="ctr" anchorCtr="1"/>
        <a:lstStyle/>
        <a:p>
          <a:pPr>
            <a:defRPr sz="900" b="0" i="0" u="none" strike="noStrike" kern="1200" baseline="0">
              <a:solidFill>
                <a:sysClr val="windowText" lastClr="000000"/>
              </a:solidFill>
              <a:latin typeface="PT Astra Serif" pitchFamily="18" charset="-52"/>
              <a:ea typeface="PT Astra Serif" pitchFamily="18" charset="-52"/>
              <a:cs typeface="Times New Roman" panose="02020603050405020304" pitchFamily="18" charset="0"/>
            </a:defRPr>
          </a:pPr>
          <a:endParaRPr lang="ru-RU"/>
        </a:p>
      </c:txPr>
    </c:legend>
    <c:plotVisOnly val="1"/>
    <c:dispBlanksAs val="zero"/>
    <c:showDLblsOverMax val="0"/>
  </c:chart>
  <c:spPr>
    <a:solidFill>
      <a:schemeClr val="bg1"/>
    </a:solidFill>
    <a:ln>
      <a:noFill/>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0"/>
          <c:tx>
            <c:strRef>
              <c:f>'Рисунок 70'!$E$10</c:f>
              <c:strCache>
                <c:ptCount val="1"/>
                <c:pt idx="0">
                  <c:v>273 171,00</c:v>
                </c:pt>
              </c:strCache>
            </c:strRef>
          </c:tx>
          <c:spPr>
            <a:ln w="25363" cap="rnd">
              <a:solidFill>
                <a:srgbClr val="6F94C0"/>
              </a:solidFill>
              <a:round/>
            </a:ln>
            <a:effectLst/>
          </c:spPr>
          <c:marker>
            <c:symbol val="none"/>
          </c:marker>
          <c:cat>
            <c:strRef>
              <c:f>'Рисунок 70'!$D$11:$D$17</c:f>
              <c:strCache>
                <c:ptCount val="7"/>
                <c:pt idx="0">
                  <c:v>2018 г.</c:v>
                </c:pt>
                <c:pt idx="1">
                  <c:v>2019 г.</c:v>
                </c:pt>
                <c:pt idx="2">
                  <c:v>2020 г.</c:v>
                </c:pt>
                <c:pt idx="3">
                  <c:v>2021 г.</c:v>
                </c:pt>
                <c:pt idx="4">
                  <c:v>2022 г.</c:v>
                </c:pt>
                <c:pt idx="5">
                  <c:v>2023 г.</c:v>
                </c:pt>
                <c:pt idx="6">
                  <c:v>2024 г.</c:v>
                </c:pt>
              </c:strCache>
            </c:strRef>
          </c:cat>
          <c:val>
            <c:numRef>
              <c:f>'Рисунок 70'!$E$11:$E$17</c:f>
              <c:numCache>
                <c:formatCode>#,##0.00</c:formatCode>
                <c:ptCount val="7"/>
                <c:pt idx="0">
                  <c:v>207399.9</c:v>
                </c:pt>
                <c:pt idx="1">
                  <c:v>212381.3</c:v>
                </c:pt>
                <c:pt idx="2">
                  <c:v>203869</c:v>
                </c:pt>
                <c:pt idx="3">
                  <c:v>220313.5</c:v>
                </c:pt>
                <c:pt idx="4">
                  <c:v>217665.3</c:v>
                </c:pt>
                <c:pt idx="5">
                  <c:v>170074.7</c:v>
                </c:pt>
                <c:pt idx="6">
                  <c:v>165250.20000000001</c:v>
                </c:pt>
              </c:numCache>
            </c:numRef>
          </c:val>
          <c:smooth val="0"/>
        </c:ser>
        <c:dLbls>
          <c:showLegendKey val="0"/>
          <c:showVal val="0"/>
          <c:showCatName val="0"/>
          <c:showSerName val="0"/>
          <c:showPercent val="0"/>
          <c:showBubbleSize val="0"/>
        </c:dLbls>
        <c:smooth val="0"/>
        <c:axId val="504173640"/>
        <c:axId val="504174032"/>
      </c:lineChart>
      <c:catAx>
        <c:axId val="504173640"/>
        <c:scaling>
          <c:orientation val="minMax"/>
        </c:scaling>
        <c:delete val="0"/>
        <c:axPos val="b"/>
        <c:numFmt formatCode="General" sourceLinked="1"/>
        <c:majorTickMark val="none"/>
        <c:minorTickMark val="none"/>
        <c:tickLblPos val="nextTo"/>
        <c:spPr>
          <a:noFill/>
          <a:ln w="8454" cap="flat" cmpd="sng" algn="ctr">
            <a:solidFill>
              <a:schemeClr val="tx1">
                <a:lumMod val="15000"/>
                <a:lumOff val="85000"/>
              </a:schemeClr>
            </a:solidFill>
            <a:round/>
          </a:ln>
          <a:effectLst/>
        </c:spPr>
        <c:txPr>
          <a:bodyPr rot="-60000000" spcFirstLastPara="1" vertOverflow="ellipsis" vert="horz" wrap="square" anchor="ctr" anchorCtr="1"/>
          <a:lstStyle/>
          <a:p>
            <a:pPr>
              <a:defRPr sz="7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04174032"/>
        <c:crosses val="autoZero"/>
        <c:auto val="1"/>
        <c:lblAlgn val="ctr"/>
        <c:lblOffset val="100"/>
        <c:noMultiLvlLbl val="0"/>
      </c:catAx>
      <c:valAx>
        <c:axId val="504174032"/>
        <c:scaling>
          <c:orientation val="minMax"/>
          <c:min val="150000"/>
        </c:scaling>
        <c:delete val="0"/>
        <c:axPos val="l"/>
        <c:majorGridlines>
          <c:spPr>
            <a:ln w="8454" cap="flat" cmpd="sng" algn="ctr">
              <a:solidFill>
                <a:schemeClr val="tx1">
                  <a:lumMod val="15000"/>
                  <a:lumOff val="85000"/>
                </a:schemeClr>
              </a:solidFill>
              <a:round/>
            </a:ln>
            <a:effectLst/>
          </c:spPr>
        </c:majorGridlines>
        <c:numFmt formatCode="#,##0" sourceLinked="0"/>
        <c:majorTickMark val="none"/>
        <c:minorTickMark val="none"/>
        <c:tickLblPos val="nextTo"/>
        <c:spPr>
          <a:ln w="5636">
            <a:noFill/>
          </a:ln>
        </c:spPr>
        <c:txPr>
          <a:bodyPr rot="-60000000" spcFirstLastPara="1" vertOverflow="ellipsis" vert="horz" wrap="square" anchor="ctr" anchorCtr="1"/>
          <a:lstStyle/>
          <a:p>
            <a:pPr>
              <a:defRPr sz="7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04173640"/>
        <c:crosses val="autoZero"/>
        <c:crossBetween val="between"/>
      </c:valAx>
      <c:spPr>
        <a:noFill/>
        <a:ln w="22545">
          <a:noFill/>
        </a:ln>
      </c:spPr>
    </c:plotArea>
    <c:plotVisOnly val="1"/>
    <c:dispBlanksAs val="gap"/>
    <c:showDLblsOverMax val="0"/>
  </c:chart>
  <c:spPr>
    <a:solidFill>
      <a:schemeClr val="bg1"/>
    </a:solidFill>
    <a:ln>
      <a:noFill/>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spPr>
            <a:solidFill>
              <a:srgbClr val="002060"/>
            </a:solidFill>
            <a:ln w="25395">
              <a:noFill/>
            </a:ln>
          </c:spPr>
          <c:invertIfNegative val="0"/>
          <c:dPt>
            <c:idx val="0"/>
            <c:invertIfNegative val="0"/>
            <c:bubble3D val="0"/>
            <c:spPr>
              <a:solidFill>
                <a:srgbClr val="E36729"/>
              </a:solidFill>
              <a:ln w="25395">
                <a:noFill/>
              </a:ln>
            </c:spPr>
          </c:dPt>
          <c:dLbls>
            <c:spPr>
              <a:noFill/>
              <a:ln w="25395">
                <a:noFill/>
              </a:ln>
            </c:spPr>
            <c:txPr>
              <a:bodyPr rot="0" vert="horz"/>
              <a:lstStyle/>
              <a:p>
                <a:pPr>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'Сравнение городов'!$B$4:$B$11</c:f>
              <c:strCache>
                <c:ptCount val="8"/>
                <c:pt idx="0">
                  <c:v>Барнаул</c:v>
                </c:pt>
                <c:pt idx="1">
                  <c:v>Иркутск</c:v>
                </c:pt>
                <c:pt idx="2">
                  <c:v>Кемерово</c:v>
                </c:pt>
                <c:pt idx="3">
                  <c:v>Красноярск</c:v>
                </c:pt>
                <c:pt idx="4">
                  <c:v>Новосибирск</c:v>
                </c:pt>
                <c:pt idx="5">
                  <c:v>Омск</c:v>
                </c:pt>
                <c:pt idx="6">
                  <c:v>Томск</c:v>
                </c:pt>
                <c:pt idx="7">
                  <c:v>Бийск</c:v>
                </c:pt>
              </c:strCache>
            </c:strRef>
          </c:cat>
          <c:val>
            <c:numRef>
              <c:f>'Сравнение городов'!$C$4:$C$11</c:f>
              <c:numCache>
                <c:formatCode>0%</c:formatCode>
                <c:ptCount val="8"/>
                <c:pt idx="0">
                  <c:v>0.25641008883083127</c:v>
                </c:pt>
                <c:pt idx="1">
                  <c:v>0.10430743867869352</c:v>
                </c:pt>
                <c:pt idx="2">
                  <c:v>0.13224083162178954</c:v>
                </c:pt>
                <c:pt idx="3">
                  <c:v>0.12810820789749019</c:v>
                </c:pt>
                <c:pt idx="4">
                  <c:v>0.16262120314429715</c:v>
                </c:pt>
                <c:pt idx="5">
                  <c:v>0.20858598592354363</c:v>
                </c:pt>
                <c:pt idx="6">
                  <c:v>0.21404770357640196</c:v>
                </c:pt>
                <c:pt idx="7">
                  <c:v>0.33324159427824607</c:v>
                </c:pt>
              </c:numCache>
            </c:numRef>
          </c:val>
        </c:ser>
        <c:dLbls>
          <c:showLegendKey val="0"/>
          <c:showVal val="0"/>
          <c:showCatName val="0"/>
          <c:showSerName val="0"/>
          <c:showPercent val="0"/>
          <c:showBubbleSize val="0"/>
        </c:dLbls>
        <c:gapWidth val="219"/>
        <c:overlap val="-27"/>
        <c:axId val="607415176"/>
        <c:axId val="607415568"/>
      </c:barChart>
      <c:catAx>
        <c:axId val="607415176"/>
        <c:scaling>
          <c:orientation val="minMax"/>
        </c:scaling>
        <c:delete val="0"/>
        <c:axPos val="b"/>
        <c:numFmt formatCode="General" sourceLinked="1"/>
        <c:majorTickMark val="none"/>
        <c:minorTickMark val="none"/>
        <c:tickLblPos val="nextTo"/>
        <c:spPr>
          <a:noFill/>
          <a:ln w="9523" cap="flat" cmpd="sng" algn="ctr">
            <a:solidFill>
              <a:schemeClr val="tx1">
                <a:lumMod val="15000"/>
                <a:lumOff val="85000"/>
              </a:schemeClr>
            </a:solidFill>
            <a:round/>
          </a:ln>
          <a:effectLst/>
        </c:spPr>
        <c:txPr>
          <a:bodyPr rot="-60000000" vert="horz"/>
          <a:lstStyle/>
          <a:p>
            <a:pPr>
              <a:defRPr/>
            </a:pPr>
            <a:endParaRPr lang="ru-RU"/>
          </a:p>
        </c:txPr>
        <c:crossAx val="607415568"/>
        <c:crosses val="autoZero"/>
        <c:auto val="1"/>
        <c:lblAlgn val="ctr"/>
        <c:lblOffset val="100"/>
        <c:noMultiLvlLbl val="0"/>
      </c:catAx>
      <c:valAx>
        <c:axId val="607415568"/>
        <c:scaling>
          <c:orientation val="minMax"/>
        </c:scaling>
        <c:delete val="0"/>
        <c:axPos val="l"/>
        <c:majorGridlines>
          <c:spPr>
            <a:ln w="9523" cap="flat" cmpd="sng" algn="ctr">
              <a:solidFill>
                <a:schemeClr val="tx1">
                  <a:lumMod val="15000"/>
                  <a:lumOff val="85000"/>
                </a:schemeClr>
              </a:solidFill>
              <a:round/>
            </a:ln>
            <a:effectLst/>
          </c:spPr>
        </c:majorGridlines>
        <c:numFmt formatCode="0%" sourceLinked="1"/>
        <c:majorTickMark val="none"/>
        <c:minorTickMark val="none"/>
        <c:tickLblPos val="nextTo"/>
        <c:spPr>
          <a:ln w="12697">
            <a:noFill/>
          </a:ln>
        </c:spPr>
        <c:txPr>
          <a:bodyPr rot="-60000000" vert="horz"/>
          <a:lstStyle/>
          <a:p>
            <a:pPr>
              <a:defRPr/>
            </a:pPr>
            <a:endParaRPr lang="ru-RU"/>
          </a:p>
        </c:txPr>
        <c:crossAx val="607415176"/>
        <c:crosses val="autoZero"/>
        <c:crossBetween val="between"/>
      </c:valAx>
      <c:spPr>
        <a:noFill/>
        <a:ln w="25395">
          <a:noFill/>
        </a:ln>
      </c:spPr>
    </c:plotArea>
    <c:plotVisOnly val="1"/>
    <c:dispBlanksAs val="gap"/>
    <c:showDLblsOverMax val="0"/>
  </c:chart>
  <c:spPr>
    <a:solidFill>
      <a:schemeClr val="bg1"/>
    </a:solidFill>
    <a:ln>
      <a:noFill/>
    </a:ln>
    <a:effectLst/>
  </c:spPr>
  <c:txPr>
    <a:bodyPr/>
    <a:lstStyle/>
    <a:p>
      <a:pPr>
        <a:defRPr sz="900">
          <a:solidFill>
            <a:sysClr val="windowText" lastClr="000000"/>
          </a:solidFill>
          <a:latin typeface="Times New Roman"/>
          <a:cs typeface="Times New Roman"/>
        </a:defRPr>
      </a:pPr>
      <a:endParaRPr lang="ru-RU"/>
    </a:p>
  </c:txPr>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'Сравнение городов'!$A$25</c:f>
              <c:strCache>
                <c:ptCount val="1"/>
                <c:pt idx="0">
                  <c:v>Среднедушевой денежный доход (оценка), руб.</c:v>
                </c:pt>
              </c:strCache>
            </c:strRef>
          </c:tx>
          <c:spPr>
            <a:solidFill>
              <a:srgbClr val="002060"/>
            </a:solidFill>
            <a:ln w="25428">
              <a:noFill/>
            </a:ln>
          </c:spPr>
          <c:invertIfNegative val="0"/>
          <c:dPt>
            <c:idx val="0"/>
            <c:invertIfNegative val="0"/>
            <c:bubble3D val="0"/>
            <c:spPr>
              <a:solidFill>
                <a:srgbClr val="E36729"/>
              </a:solidFill>
              <a:ln w="25428">
                <a:noFill/>
              </a:ln>
            </c:spPr>
          </c:dPt>
          <c:cat>
            <c:strRef>
              <c:f>'Сравнение городов'!$B$24:$I$24</c:f>
              <c:strCache>
                <c:ptCount val="8"/>
                <c:pt idx="0">
                  <c:v>Барнаул</c:v>
                </c:pt>
                <c:pt idx="1">
                  <c:v>Иркутск</c:v>
                </c:pt>
                <c:pt idx="2">
                  <c:v>Кемерово</c:v>
                </c:pt>
                <c:pt idx="3">
                  <c:v>Красноярск</c:v>
                </c:pt>
                <c:pt idx="4">
                  <c:v>Новосибирск</c:v>
                </c:pt>
                <c:pt idx="5">
                  <c:v>Омск</c:v>
                </c:pt>
                <c:pt idx="6">
                  <c:v>Томск</c:v>
                </c:pt>
                <c:pt idx="7">
                  <c:v>Бийск</c:v>
                </c:pt>
              </c:strCache>
            </c:strRef>
          </c:cat>
          <c:val>
            <c:numRef>
              <c:f>'Сравнение городов'!$B$25:$I$25</c:f>
              <c:numCache>
                <c:formatCode>0</c:formatCode>
                <c:ptCount val="8"/>
                <c:pt idx="0">
                  <c:v>49057.956226992748</c:v>
                </c:pt>
                <c:pt idx="1">
                  <c:v>52419.445506021133</c:v>
                </c:pt>
                <c:pt idx="2">
                  <c:v>49646.017661757171</c:v>
                </c:pt>
                <c:pt idx="3">
                  <c:v>56588.872858278388</c:v>
                </c:pt>
                <c:pt idx="4">
                  <c:v>63423.484543417588</c:v>
                </c:pt>
                <c:pt idx="5">
                  <c:v>53311.791532141186</c:v>
                </c:pt>
                <c:pt idx="6">
                  <c:v>49628.651697967187</c:v>
                </c:pt>
                <c:pt idx="7">
                  <c:v>44577.624975563835</c:v>
                </c:pt>
              </c:numCache>
            </c:numRef>
          </c:val>
        </c:ser>
        <c:dLbls>
          <c:showLegendKey val="0"/>
          <c:showVal val="0"/>
          <c:showCatName val="0"/>
          <c:showSerName val="0"/>
          <c:showPercent val="0"/>
          <c:showBubbleSize val="0"/>
        </c:dLbls>
        <c:gapWidth val="150"/>
        <c:axId val="607416352"/>
        <c:axId val="607416744"/>
      </c:barChart>
      <c:lineChart>
        <c:grouping val="standard"/>
        <c:varyColors val="0"/>
        <c:ser>
          <c:idx val="1"/>
          <c:order val="1"/>
          <c:tx>
            <c:strRef>
              <c:f>'Сравнение городов'!$A$26</c:f>
              <c:strCache>
                <c:ptCount val="1"/>
                <c:pt idx="0">
                  <c:v>Коэффициент доступности жилья (оценка)</c:v>
                </c:pt>
              </c:strCache>
            </c:strRef>
          </c:tx>
          <c:spPr>
            <a:ln w="28606" cap="rnd">
              <a:solidFill>
                <a:srgbClr val="6F94C0"/>
              </a:solidFill>
              <a:round/>
            </a:ln>
            <a:effectLst/>
          </c:spPr>
          <c:marker>
            <c:symbol val="none"/>
          </c:marker>
          <c:dLbls>
            <c:dLbl>
              <c:idx val="0"/>
              <c:layout>
                <c:manualLayout>
                  <c:x val="-1.4862999999999999E-2"/>
                  <c:y val="-4.7893000000000012E-2"/>
                </c:manualLayout>
              </c:layout>
              <c:spPr>
                <a:noFill/>
                <a:ln w="25428">
                  <a:noFill/>
                </a:ln>
              </c:spPr>
              <c:txPr>
                <a:bodyPr/>
                <a:lstStyle/>
                <a:p>
                  <a:pPr>
                    <a:defRPr sz="901"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8.9180000000000006E-3"/>
                  <c:y val="-4.7893000000000012E-2"/>
                </c:manualLayout>
              </c:layout>
              <c:spPr>
                <a:noFill/>
                <a:ln w="25428">
                  <a:noFill/>
                </a:ln>
              </c:spPr>
              <c:txPr>
                <a:bodyPr/>
                <a:lstStyle/>
                <a:p>
                  <a:pPr>
                    <a:defRPr sz="901"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8.9180000000000006E-3"/>
                  <c:y val="-2.8735000000000004E-2"/>
                </c:manualLayout>
              </c:layout>
              <c:spPr>
                <a:noFill/>
                <a:ln w="25428">
                  <a:noFill/>
                </a:ln>
              </c:spPr>
              <c:txPr>
                <a:bodyPr/>
                <a:lstStyle/>
                <a:p>
                  <a:pPr>
                    <a:defRPr sz="901"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2.9729999999999999E-3"/>
                  <c:y val="-5.9866000000000016E-2"/>
                </c:manualLayout>
              </c:layout>
              <c:spPr>
                <a:noFill/>
                <a:ln w="25428">
                  <a:noFill/>
                </a:ln>
              </c:spPr>
              <c:txPr>
                <a:bodyPr/>
                <a:lstStyle/>
                <a:p>
                  <a:pPr>
                    <a:defRPr sz="901"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1.4859999999999997E-3"/>
                  <c:y val="-4.0709000000000002E-2"/>
                </c:manualLayout>
              </c:layout>
              <c:spPr>
                <a:noFill/>
                <a:ln w="25428">
                  <a:noFill/>
                </a:ln>
              </c:spPr>
              <c:txPr>
                <a:bodyPr/>
                <a:lstStyle/>
                <a:p>
                  <a:pPr>
                    <a:defRPr sz="901"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1.1891000000000002E-2"/>
                  <c:y val="-2.6341000000000003E-2"/>
                </c:manualLayout>
              </c:layout>
              <c:spPr>
                <a:noFill/>
                <a:ln w="25428">
                  <a:noFill/>
                </a:ln>
              </c:spPr>
              <c:txPr>
                <a:bodyPr/>
                <a:lstStyle/>
                <a:p>
                  <a:pPr>
                    <a:defRPr sz="901"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spPr>
              <a:noFill/>
              <a:ln w="25428">
                <a:noFill/>
              </a:ln>
            </c:spPr>
            <c:txPr>
              <a:bodyPr wrap="square" lIns="38100" tIns="19050" rIns="38100" bIns="19050" anchor="ctr">
                <a:spAutoFit/>
              </a:bodyPr>
              <a:lstStyle/>
              <a:p>
                <a:pPr>
                  <a:defRPr sz="901"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'Сравнение городов'!$B$24:$I$24</c:f>
              <c:strCache>
                <c:ptCount val="8"/>
                <c:pt idx="0">
                  <c:v>Барнаул</c:v>
                </c:pt>
                <c:pt idx="1">
                  <c:v>Иркутск</c:v>
                </c:pt>
                <c:pt idx="2">
                  <c:v>Кемерово</c:v>
                </c:pt>
                <c:pt idx="3">
                  <c:v>Красноярск</c:v>
                </c:pt>
                <c:pt idx="4">
                  <c:v>Новосибирск</c:v>
                </c:pt>
                <c:pt idx="5">
                  <c:v>Омск</c:v>
                </c:pt>
                <c:pt idx="6">
                  <c:v>Томск</c:v>
                </c:pt>
                <c:pt idx="7">
                  <c:v>Бийск</c:v>
                </c:pt>
              </c:strCache>
            </c:strRef>
          </c:cat>
          <c:val>
            <c:numRef>
              <c:f>'Сравнение городов'!$B$26:$I$26</c:f>
              <c:numCache>
                <c:formatCode>0.0</c:formatCode>
                <c:ptCount val="8"/>
                <c:pt idx="0">
                  <c:v>3.4216468216350266</c:v>
                </c:pt>
                <c:pt idx="1">
                  <c:v>3.5349668088098238</c:v>
                </c:pt>
                <c:pt idx="2">
                  <c:v>3.2935874356334551</c:v>
                </c:pt>
                <c:pt idx="3">
                  <c:v>2.937291230667868</c:v>
                </c:pt>
                <c:pt idx="4">
                  <c:v>2.6926145926765219</c:v>
                </c:pt>
                <c:pt idx="5">
                  <c:v>2.76338490540468</c:v>
                </c:pt>
                <c:pt idx="6">
                  <c:v>3.5797869561561559</c:v>
                </c:pt>
                <c:pt idx="7">
                  <c:v>3.1658483393263133</c:v>
                </c:pt>
              </c:numCache>
            </c:numRef>
          </c:val>
          <c:smooth val="0"/>
        </c:ser>
        <c:dLbls>
          <c:showLegendKey val="0"/>
          <c:showVal val="0"/>
          <c:showCatName val="0"/>
          <c:showSerName val="0"/>
          <c:showPercent val="0"/>
          <c:showBubbleSize val="0"/>
        </c:dLbls>
        <c:marker val="1"/>
        <c:smooth val="0"/>
        <c:axId val="607417136"/>
        <c:axId val="607417528"/>
      </c:lineChart>
      <c:catAx>
        <c:axId val="607416352"/>
        <c:scaling>
          <c:orientation val="minMax"/>
        </c:scaling>
        <c:delete val="0"/>
        <c:axPos val="b"/>
        <c:numFmt formatCode="General" sourceLinked="1"/>
        <c:majorTickMark val="none"/>
        <c:minorTickMark val="none"/>
        <c:tickLblPos val="nextTo"/>
        <c:spPr>
          <a:noFill/>
          <a:ln w="9535" cap="flat" cmpd="sng" algn="ctr">
            <a:solidFill>
              <a:schemeClr val="tx1">
                <a:lumMod val="15000"/>
                <a:lumOff val="85000"/>
              </a:schemeClr>
            </a:solidFill>
            <a:round/>
          </a:ln>
          <a:effectLst/>
        </c:spPr>
        <c:txPr>
          <a:bodyPr rot="-2700000" vert="horz"/>
          <a:lstStyle/>
          <a:p>
            <a:pPr>
              <a:defRPr sz="901" b="0" i="0" u="none" strike="noStrike" baseline="0">
                <a:solidFill>
                  <a:srgbClr val="000000"/>
                </a:solidFill>
                <a:latin typeface="Times New Roman"/>
                <a:ea typeface="Times New Roman"/>
                <a:cs typeface="Times New Roman"/>
              </a:defRPr>
            </a:pPr>
            <a:endParaRPr lang="ru-RU"/>
          </a:p>
        </c:txPr>
        <c:crossAx val="607416744"/>
        <c:crosses val="autoZero"/>
        <c:auto val="1"/>
        <c:lblAlgn val="ctr"/>
        <c:lblOffset val="100"/>
        <c:noMultiLvlLbl val="0"/>
      </c:catAx>
      <c:valAx>
        <c:axId val="607416744"/>
        <c:scaling>
          <c:orientation val="minMax"/>
        </c:scaling>
        <c:delete val="0"/>
        <c:axPos val="l"/>
        <c:majorGridlines>
          <c:spPr>
            <a:ln w="9535" cap="flat" cmpd="sng" algn="ctr">
              <a:solidFill>
                <a:schemeClr val="tx1">
                  <a:lumMod val="15000"/>
                  <a:lumOff val="85000"/>
                </a:schemeClr>
              </a:solidFill>
              <a:round/>
            </a:ln>
            <a:effectLst/>
          </c:spPr>
        </c:majorGridlines>
        <c:numFmt formatCode="#,##0" sourceLinked="0"/>
        <c:majorTickMark val="none"/>
        <c:minorTickMark val="none"/>
        <c:tickLblPos val="nextTo"/>
        <c:spPr>
          <a:ln w="12714">
            <a:noFill/>
          </a:ln>
        </c:spPr>
        <c:txPr>
          <a:bodyPr rot="0" vert="horz"/>
          <a:lstStyle/>
          <a:p>
            <a:pPr>
              <a:defRPr sz="901" b="0" i="0" u="none" strike="noStrike" baseline="0">
                <a:solidFill>
                  <a:srgbClr val="000000"/>
                </a:solidFill>
                <a:latin typeface="Times New Roman"/>
                <a:ea typeface="Times New Roman"/>
                <a:cs typeface="Times New Roman"/>
              </a:defRPr>
            </a:pPr>
            <a:endParaRPr lang="ru-RU"/>
          </a:p>
        </c:txPr>
        <c:crossAx val="607416352"/>
        <c:crosses val="autoZero"/>
        <c:crossBetween val="between"/>
      </c:valAx>
      <c:catAx>
        <c:axId val="607417136"/>
        <c:scaling>
          <c:orientation val="minMax"/>
        </c:scaling>
        <c:delete val="1"/>
        <c:axPos val="b"/>
        <c:numFmt formatCode="General" sourceLinked="1"/>
        <c:majorTickMark val="out"/>
        <c:minorTickMark val="none"/>
        <c:tickLblPos val="none"/>
        <c:crossAx val="607417528"/>
        <c:crosses val="autoZero"/>
        <c:auto val="1"/>
        <c:lblAlgn val="ctr"/>
        <c:lblOffset val="100"/>
        <c:noMultiLvlLbl val="0"/>
      </c:catAx>
      <c:valAx>
        <c:axId val="607417528"/>
        <c:scaling>
          <c:orientation val="minMax"/>
        </c:scaling>
        <c:delete val="0"/>
        <c:axPos val="r"/>
        <c:numFmt formatCode="0.0" sourceLinked="1"/>
        <c:majorTickMark val="none"/>
        <c:minorTickMark val="none"/>
        <c:tickLblPos val="nextTo"/>
        <c:spPr>
          <a:ln w="12714">
            <a:noFill/>
          </a:ln>
        </c:spPr>
        <c:txPr>
          <a:bodyPr rot="0" vert="horz"/>
          <a:lstStyle/>
          <a:p>
            <a:pPr>
              <a:defRPr sz="901" b="0" i="0" u="none" strike="noStrike" baseline="0">
                <a:solidFill>
                  <a:srgbClr val="000000"/>
                </a:solidFill>
                <a:latin typeface="Times New Roman"/>
                <a:ea typeface="Times New Roman"/>
                <a:cs typeface="Times New Roman"/>
              </a:defRPr>
            </a:pPr>
            <a:endParaRPr lang="ru-RU"/>
          </a:p>
        </c:txPr>
        <c:crossAx val="607417136"/>
        <c:crosses val="max"/>
        <c:crossBetween val="between"/>
      </c:valAx>
      <c:spPr>
        <a:noFill/>
        <a:ln w="25428">
          <a:noFill/>
        </a:ln>
      </c:spPr>
    </c:plotArea>
    <c:legend>
      <c:legendPos val="b"/>
      <c:layout/>
      <c:overlay val="0"/>
      <c:spPr>
        <a:noFill/>
        <a:ln w="25428">
          <a:noFill/>
        </a:ln>
      </c:spPr>
      <c:txPr>
        <a:bodyPr/>
        <a:lstStyle/>
        <a:p>
          <a:pPr>
            <a:defRPr sz="826"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solidFill>
      <a:schemeClr val="bg1"/>
    </a:solidFill>
    <a:ln>
      <a:noFill/>
    </a:ln>
    <a:effectLst/>
  </c:spPr>
  <c:txPr>
    <a:bodyPr/>
    <a:lstStyle/>
    <a:p>
      <a:pPr>
        <a:defRPr sz="901" b="0" i="0" u="none" strike="noStrike" baseline="0">
          <a:solidFill>
            <a:srgbClr val="000000"/>
          </a:solidFill>
          <a:latin typeface="Times New Roman"/>
          <a:ea typeface="Times New Roman"/>
          <a:cs typeface="Times New Roman"/>
        </a:defRPr>
      </a:pPr>
      <a:endParaRPr lang="ru-RU"/>
    </a:p>
  </c:txPr>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'Сравнение городов'!$B$43</c:f>
              <c:strCache>
                <c:ptCount val="1"/>
                <c:pt idx="0">
                  <c:v>Доходы бюджета, млн руб.</c:v>
                </c:pt>
              </c:strCache>
            </c:strRef>
          </c:tx>
          <c:spPr>
            <a:solidFill>
              <a:srgbClr val="002060"/>
            </a:solidFill>
            <a:ln w="25380">
              <a:noFill/>
            </a:ln>
          </c:spPr>
          <c:invertIfNegative val="0"/>
          <c:cat>
            <c:strRef>
              <c:f>'Сравнение городов'!$C$42:$J$42</c:f>
              <c:strCache>
                <c:ptCount val="8"/>
                <c:pt idx="0">
                  <c:v>Барнаул</c:v>
                </c:pt>
                <c:pt idx="1">
                  <c:v>Иркутск</c:v>
                </c:pt>
                <c:pt idx="2">
                  <c:v>Кемерово</c:v>
                </c:pt>
                <c:pt idx="3">
                  <c:v>Красноярск</c:v>
                </c:pt>
                <c:pt idx="4">
                  <c:v>Новосибирск</c:v>
                </c:pt>
                <c:pt idx="5">
                  <c:v>Омск</c:v>
                </c:pt>
                <c:pt idx="6">
                  <c:v>Томск</c:v>
                </c:pt>
                <c:pt idx="7">
                  <c:v>Бийск</c:v>
                </c:pt>
              </c:strCache>
            </c:strRef>
          </c:cat>
          <c:val>
            <c:numRef>
              <c:f>'Сравнение городов'!$C$43:$J$43</c:f>
              <c:numCache>
                <c:formatCode>0</c:formatCode>
                <c:ptCount val="8"/>
                <c:pt idx="0">
                  <c:v>30448.569152379998</c:v>
                </c:pt>
                <c:pt idx="1">
                  <c:v>41964.179300000003</c:v>
                </c:pt>
                <c:pt idx="2">
                  <c:v>42896.529501440011</c:v>
                </c:pt>
                <c:pt idx="3">
                  <c:v>63420.663143419995</c:v>
                </c:pt>
                <c:pt idx="4">
                  <c:v>100506.1373</c:v>
                </c:pt>
                <c:pt idx="5">
                  <c:v>45142.165870099998</c:v>
                </c:pt>
                <c:pt idx="6">
                  <c:v>28966.855716090002</c:v>
                </c:pt>
                <c:pt idx="7">
                  <c:v>6443.8388000000004</c:v>
                </c:pt>
              </c:numCache>
            </c:numRef>
          </c:val>
        </c:ser>
        <c:ser>
          <c:idx val="1"/>
          <c:order val="1"/>
          <c:tx>
            <c:strRef>
              <c:f>'Сравнение городов'!$B$44</c:f>
              <c:strCache>
                <c:ptCount val="1"/>
                <c:pt idx="0">
                  <c:v>Расходы бюджета, млн руб.</c:v>
                </c:pt>
              </c:strCache>
            </c:strRef>
          </c:tx>
          <c:spPr>
            <a:solidFill>
              <a:srgbClr val="6F94C0"/>
            </a:solidFill>
            <a:ln w="25380">
              <a:noFill/>
            </a:ln>
          </c:spPr>
          <c:invertIfNegative val="0"/>
          <c:cat>
            <c:strRef>
              <c:f>'Сравнение городов'!$C$42:$J$42</c:f>
              <c:strCache>
                <c:ptCount val="8"/>
                <c:pt idx="0">
                  <c:v>Барнаул</c:v>
                </c:pt>
                <c:pt idx="1">
                  <c:v>Иркутск</c:v>
                </c:pt>
                <c:pt idx="2">
                  <c:v>Кемерово</c:v>
                </c:pt>
                <c:pt idx="3">
                  <c:v>Красноярск</c:v>
                </c:pt>
                <c:pt idx="4">
                  <c:v>Новосибирск</c:v>
                </c:pt>
                <c:pt idx="5">
                  <c:v>Омск</c:v>
                </c:pt>
                <c:pt idx="6">
                  <c:v>Томск</c:v>
                </c:pt>
                <c:pt idx="7">
                  <c:v>Бийск</c:v>
                </c:pt>
              </c:strCache>
            </c:strRef>
          </c:cat>
          <c:val>
            <c:numRef>
              <c:f>'Сравнение городов'!$C$44:$J$44</c:f>
              <c:numCache>
                <c:formatCode>0</c:formatCode>
                <c:ptCount val="8"/>
                <c:pt idx="0">
                  <c:v>29425.716402940001</c:v>
                </c:pt>
                <c:pt idx="1">
                  <c:v>41732.674900000005</c:v>
                </c:pt>
                <c:pt idx="2">
                  <c:v>42651.527597840002</c:v>
                </c:pt>
                <c:pt idx="3">
                  <c:v>61343.651592470007</c:v>
                </c:pt>
                <c:pt idx="4">
                  <c:v>99017.979599999991</c:v>
                </c:pt>
                <c:pt idx="5">
                  <c:v>45243.67207398</c:v>
                </c:pt>
                <c:pt idx="6">
                  <c:v>28451.136433649997</c:v>
                </c:pt>
                <c:pt idx="7">
                  <c:v>6466.4018000000005</c:v>
                </c:pt>
              </c:numCache>
            </c:numRef>
          </c:val>
        </c:ser>
        <c:dLbls>
          <c:showLegendKey val="0"/>
          <c:showVal val="0"/>
          <c:showCatName val="0"/>
          <c:showSerName val="0"/>
          <c:showPercent val="0"/>
          <c:showBubbleSize val="0"/>
        </c:dLbls>
        <c:gapWidth val="219"/>
        <c:overlap val="-27"/>
        <c:axId val="607418312"/>
        <c:axId val="608219104"/>
      </c:barChart>
      <c:catAx>
        <c:axId val="607418312"/>
        <c:scaling>
          <c:orientation val="minMax"/>
        </c:scaling>
        <c:delete val="0"/>
        <c:axPos val="b"/>
        <c:numFmt formatCode="General" sourceLinked="1"/>
        <c:majorTickMark val="none"/>
        <c:minorTickMark val="none"/>
        <c:tickLblPos val="nextTo"/>
        <c:spPr>
          <a:noFill/>
          <a:ln w="9517"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baseline="0">
                <a:solidFill>
                  <a:sysClr val="windowText" lastClr="000000"/>
                </a:solidFill>
                <a:latin typeface="Times New Roman"/>
                <a:ea typeface="+mn-ea"/>
                <a:cs typeface="Times New Roman"/>
              </a:defRPr>
            </a:pPr>
            <a:endParaRPr lang="ru-RU"/>
          </a:p>
        </c:txPr>
        <c:crossAx val="608219104"/>
        <c:crosses val="autoZero"/>
        <c:auto val="1"/>
        <c:lblAlgn val="ctr"/>
        <c:lblOffset val="100"/>
        <c:noMultiLvlLbl val="0"/>
      </c:catAx>
      <c:valAx>
        <c:axId val="608219104"/>
        <c:scaling>
          <c:orientation val="minMax"/>
        </c:scaling>
        <c:delete val="0"/>
        <c:axPos val="l"/>
        <c:majorGridlines>
          <c:spPr>
            <a:ln w="9517" cap="flat" cmpd="sng" algn="ctr">
              <a:solidFill>
                <a:schemeClr val="tx1">
                  <a:lumMod val="15000"/>
                  <a:lumOff val="85000"/>
                </a:schemeClr>
              </a:solidFill>
              <a:round/>
            </a:ln>
            <a:effectLst/>
          </c:spPr>
        </c:majorGridlines>
        <c:numFmt formatCode="#,##0" sourceLinked="0"/>
        <c:majorTickMark val="none"/>
        <c:minorTickMark val="none"/>
        <c:tickLblPos val="nextTo"/>
        <c:spPr>
          <a:ln w="6345">
            <a:noFill/>
          </a:ln>
        </c:spPr>
        <c:txPr>
          <a:bodyPr rot="-60000000" spcFirstLastPara="1" vertOverflow="ellipsis" vert="horz" wrap="square" anchor="ctr" anchorCtr="1"/>
          <a:lstStyle/>
          <a:p>
            <a:pPr>
              <a:defRPr sz="899" b="0" i="0" u="none" strike="noStrike" baseline="0">
                <a:solidFill>
                  <a:sysClr val="windowText" lastClr="000000"/>
                </a:solidFill>
                <a:latin typeface="Times New Roman"/>
                <a:ea typeface="+mn-ea"/>
                <a:cs typeface="Times New Roman"/>
              </a:defRPr>
            </a:pPr>
            <a:endParaRPr lang="ru-RU"/>
          </a:p>
        </c:txPr>
        <c:crossAx val="607418312"/>
        <c:crosses val="autoZero"/>
        <c:crossBetween val="between"/>
      </c:valAx>
      <c:spPr>
        <a:noFill/>
        <a:ln w="25380">
          <a:noFill/>
        </a:ln>
      </c:spPr>
    </c:plotArea>
    <c:legend>
      <c:legendPos val="b"/>
      <c:layout/>
      <c:overlay val="0"/>
      <c:spPr>
        <a:noFill/>
        <a:ln w="25380">
          <a:noFill/>
        </a:ln>
      </c:spPr>
      <c:txPr>
        <a:bodyPr rot="0" spcFirstLastPara="1" vertOverflow="ellipsis" vert="horz" wrap="square" anchor="ctr" anchorCtr="1"/>
        <a:lstStyle/>
        <a:p>
          <a:pPr>
            <a:defRPr sz="899" b="0" i="0" u="none" strike="noStrike" baseline="0">
              <a:solidFill>
                <a:sysClr val="windowText" lastClr="000000"/>
              </a:solidFill>
              <a:latin typeface="Times New Roman"/>
              <a:ea typeface="+mn-ea"/>
              <a:cs typeface="Times New Roman"/>
            </a:defRPr>
          </a:pPr>
          <a:endParaRPr lang="ru-RU"/>
        </a:p>
      </c:txPr>
    </c:legend>
    <c:plotVisOnly val="1"/>
    <c:dispBlanksAs val="gap"/>
    <c:showDLblsOverMax val="0"/>
  </c:chart>
  <c:spPr>
    <a:solidFill>
      <a:schemeClr val="bg1"/>
    </a:solidFill>
    <a:ln>
      <a:noFill/>
    </a:ln>
    <a:effectLst/>
  </c:spPr>
  <c:txPr>
    <a:bodyPr/>
    <a:lstStyle/>
    <a:p>
      <a:pPr>
        <a:defRPr>
          <a:solidFill>
            <a:sysClr val="windowText" lastClr="000000"/>
          </a:solidFill>
          <a:latin typeface="Times New Roman"/>
          <a:cs typeface="Times New Roman"/>
        </a:defRPr>
      </a:pPr>
      <a:endParaRPr lang="ru-RU"/>
    </a:p>
  </c:txPr>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'Сравнение городов'!$B$45</c:f>
              <c:strCache>
                <c:ptCount val="1"/>
                <c:pt idx="0">
                  <c:v>Доходы бюджета на душу, руб.</c:v>
                </c:pt>
              </c:strCache>
            </c:strRef>
          </c:tx>
          <c:spPr>
            <a:solidFill>
              <a:srgbClr val="002060"/>
            </a:solidFill>
            <a:ln w="25436">
              <a:noFill/>
            </a:ln>
          </c:spPr>
          <c:invertIfNegative val="0"/>
          <c:cat>
            <c:strRef>
              <c:f>'Сравнение городов'!$C$42:$J$42</c:f>
              <c:strCache>
                <c:ptCount val="8"/>
                <c:pt idx="0">
                  <c:v>Барнаул</c:v>
                </c:pt>
                <c:pt idx="1">
                  <c:v>Иркутск</c:v>
                </c:pt>
                <c:pt idx="2">
                  <c:v>Кемерово</c:v>
                </c:pt>
                <c:pt idx="3">
                  <c:v>Красноярск</c:v>
                </c:pt>
                <c:pt idx="4">
                  <c:v>Новосибирск</c:v>
                </c:pt>
                <c:pt idx="5">
                  <c:v>Омск</c:v>
                </c:pt>
                <c:pt idx="6">
                  <c:v>Томск</c:v>
                </c:pt>
                <c:pt idx="7">
                  <c:v>Бийск</c:v>
                </c:pt>
              </c:strCache>
            </c:strRef>
          </c:cat>
          <c:val>
            <c:numRef>
              <c:f>'Сравнение городов'!$C$45:$J$45</c:f>
              <c:numCache>
                <c:formatCode>0</c:formatCode>
                <c:ptCount val="8"/>
                <c:pt idx="0">
                  <c:v>44204.0846092582</c:v>
                </c:pt>
                <c:pt idx="1">
                  <c:v>69281.203649283139</c:v>
                </c:pt>
                <c:pt idx="2">
                  <c:v>79009.609932514082</c:v>
                </c:pt>
                <c:pt idx="3">
                  <c:v>52302.207558439397</c:v>
                </c:pt>
                <c:pt idx="4">
                  <c:v>61386.56595812775</c:v>
                </c:pt>
                <c:pt idx="5">
                  <c:v>40987.396453770627</c:v>
                </c:pt>
                <c:pt idx="6">
                  <c:v>51275.396141607671</c:v>
                </c:pt>
                <c:pt idx="7">
                  <c:v>34447.241585767428</c:v>
                </c:pt>
              </c:numCache>
            </c:numRef>
          </c:val>
        </c:ser>
        <c:ser>
          <c:idx val="1"/>
          <c:order val="1"/>
          <c:tx>
            <c:strRef>
              <c:f>'Сравнение городов'!$B$46</c:f>
              <c:strCache>
                <c:ptCount val="1"/>
                <c:pt idx="0">
                  <c:v>Расходы бюджета на душу, руб.</c:v>
                </c:pt>
              </c:strCache>
            </c:strRef>
          </c:tx>
          <c:spPr>
            <a:solidFill>
              <a:srgbClr val="6F94C0"/>
            </a:solidFill>
            <a:ln w="25436">
              <a:noFill/>
            </a:ln>
          </c:spPr>
          <c:invertIfNegative val="0"/>
          <c:cat>
            <c:strRef>
              <c:f>'Сравнение городов'!$C$42:$J$42</c:f>
              <c:strCache>
                <c:ptCount val="8"/>
                <c:pt idx="0">
                  <c:v>Барнаул</c:v>
                </c:pt>
                <c:pt idx="1">
                  <c:v>Иркутск</c:v>
                </c:pt>
                <c:pt idx="2">
                  <c:v>Кемерово</c:v>
                </c:pt>
                <c:pt idx="3">
                  <c:v>Красноярск</c:v>
                </c:pt>
                <c:pt idx="4">
                  <c:v>Новосибирск</c:v>
                </c:pt>
                <c:pt idx="5">
                  <c:v>Омск</c:v>
                </c:pt>
                <c:pt idx="6">
                  <c:v>Томск</c:v>
                </c:pt>
                <c:pt idx="7">
                  <c:v>Бийск</c:v>
                </c:pt>
              </c:strCache>
            </c:strRef>
          </c:cat>
          <c:val>
            <c:numRef>
              <c:f>'Сравнение городов'!$C$46:$J$46</c:f>
              <c:numCache>
                <c:formatCode>0</c:formatCode>
                <c:ptCount val="8"/>
                <c:pt idx="0">
                  <c:v>42719.145555052281</c:v>
                </c:pt>
                <c:pt idx="1">
                  <c:v>68898.999022631397</c:v>
                </c:pt>
                <c:pt idx="2">
                  <c:v>78558.349537765593</c:v>
                </c:pt>
                <c:pt idx="3">
                  <c:v>50589.322768928432</c:v>
                </c:pt>
                <c:pt idx="4">
                  <c:v>60477.637476133976</c:v>
                </c:pt>
                <c:pt idx="5">
                  <c:v>41079.560286425884</c:v>
                </c:pt>
                <c:pt idx="6">
                  <c:v>50362.500701241035</c:v>
                </c:pt>
                <c:pt idx="7">
                  <c:v>34567.858059273844</c:v>
                </c:pt>
              </c:numCache>
            </c:numRef>
          </c:val>
        </c:ser>
        <c:dLbls>
          <c:showLegendKey val="0"/>
          <c:showVal val="0"/>
          <c:showCatName val="0"/>
          <c:showSerName val="0"/>
          <c:showPercent val="0"/>
          <c:showBubbleSize val="0"/>
        </c:dLbls>
        <c:gapWidth val="219"/>
        <c:overlap val="-27"/>
        <c:axId val="608219888"/>
        <c:axId val="608220280"/>
      </c:barChart>
      <c:catAx>
        <c:axId val="608219888"/>
        <c:scaling>
          <c:orientation val="minMax"/>
        </c:scaling>
        <c:delete val="0"/>
        <c:axPos val="b"/>
        <c:numFmt formatCode="General" sourceLinked="1"/>
        <c:majorTickMark val="none"/>
        <c:minorTickMark val="none"/>
        <c:tickLblPos val="nextTo"/>
        <c:spPr>
          <a:noFill/>
          <a:ln w="9539" cap="flat" cmpd="sng" algn="ctr">
            <a:solidFill>
              <a:schemeClr val="tx1">
                <a:lumMod val="15000"/>
                <a:lumOff val="85000"/>
              </a:schemeClr>
            </a:solidFill>
            <a:round/>
          </a:ln>
          <a:effectLst/>
        </c:spPr>
        <c:txPr>
          <a:bodyPr rot="-2700000" vert="horz"/>
          <a:lstStyle/>
          <a:p>
            <a:pPr>
              <a:defRPr sz="901" b="0" i="0" u="none" strike="noStrike" baseline="0">
                <a:solidFill>
                  <a:srgbClr val="000000"/>
                </a:solidFill>
                <a:latin typeface="Times New Roman"/>
                <a:ea typeface="Times New Roman"/>
                <a:cs typeface="Times New Roman"/>
              </a:defRPr>
            </a:pPr>
            <a:endParaRPr lang="ru-RU"/>
          </a:p>
        </c:txPr>
        <c:crossAx val="608220280"/>
        <c:crosses val="autoZero"/>
        <c:auto val="1"/>
        <c:lblAlgn val="ctr"/>
        <c:lblOffset val="100"/>
        <c:noMultiLvlLbl val="0"/>
      </c:catAx>
      <c:valAx>
        <c:axId val="608220280"/>
        <c:scaling>
          <c:orientation val="minMax"/>
        </c:scaling>
        <c:delete val="0"/>
        <c:axPos val="l"/>
        <c:majorGridlines>
          <c:spPr>
            <a:ln w="9539" cap="flat" cmpd="sng" algn="ctr">
              <a:solidFill>
                <a:schemeClr val="tx1">
                  <a:lumMod val="15000"/>
                  <a:lumOff val="85000"/>
                </a:schemeClr>
              </a:solidFill>
              <a:round/>
            </a:ln>
            <a:effectLst/>
          </c:spPr>
        </c:majorGridlines>
        <c:numFmt formatCode="#,##0" sourceLinked="0"/>
        <c:majorTickMark val="none"/>
        <c:minorTickMark val="none"/>
        <c:tickLblPos val="nextTo"/>
        <c:spPr>
          <a:ln w="12718">
            <a:noFill/>
          </a:ln>
        </c:spPr>
        <c:txPr>
          <a:bodyPr rot="0" vert="horz"/>
          <a:lstStyle/>
          <a:p>
            <a:pPr>
              <a:defRPr sz="901" b="0" i="0" u="none" strike="noStrike" baseline="0">
                <a:solidFill>
                  <a:srgbClr val="000000"/>
                </a:solidFill>
                <a:latin typeface="Times New Roman"/>
                <a:ea typeface="Times New Roman"/>
                <a:cs typeface="Times New Roman"/>
              </a:defRPr>
            </a:pPr>
            <a:endParaRPr lang="ru-RU"/>
          </a:p>
        </c:txPr>
        <c:crossAx val="608219888"/>
        <c:crosses val="autoZero"/>
        <c:crossBetween val="between"/>
      </c:valAx>
      <c:spPr>
        <a:noFill/>
        <a:ln w="25436">
          <a:noFill/>
        </a:ln>
      </c:spPr>
    </c:plotArea>
    <c:legend>
      <c:legendPos val="b"/>
      <c:layout/>
      <c:overlay val="0"/>
      <c:spPr>
        <a:noFill/>
        <a:ln w="25436">
          <a:noFill/>
        </a:ln>
      </c:spPr>
      <c:txPr>
        <a:bodyPr/>
        <a:lstStyle/>
        <a:p>
          <a:pPr>
            <a:defRPr sz="826"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solidFill>
      <a:schemeClr val="bg1"/>
    </a:solidFill>
    <a:ln>
      <a:noFill/>
    </a:ln>
    <a:effectLst/>
  </c:spPr>
  <c:txPr>
    <a:bodyPr/>
    <a:lstStyle/>
    <a:p>
      <a:pPr>
        <a:defRPr sz="1001" b="0" i="0" u="none" strike="noStrike" baseline="0">
          <a:solidFill>
            <a:srgbClr val="000000"/>
          </a:solidFill>
          <a:latin typeface="Times New Roman"/>
          <a:ea typeface="Times New Roman"/>
          <a:cs typeface="Times New Roman"/>
        </a:defRPr>
      </a:pPr>
      <a:endParaRPr lang="ru-RU"/>
    </a:p>
  </c:txPr>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'Место и роль в регионе и РФ'!$B$6</c:f>
              <c:strCache>
                <c:ptCount val="1"/>
                <c:pt idx="0">
                  <c:v>Алтайский край</c:v>
                </c:pt>
              </c:strCache>
            </c:strRef>
          </c:tx>
          <c:spPr>
            <a:solidFill>
              <a:srgbClr val="002060"/>
            </a:solidFill>
            <a:ln w="23169">
              <a:noFill/>
            </a:ln>
          </c:spPr>
          <c:invertIfNegative val="0"/>
          <c:cat>
            <c:strRef>
              <c:f>'Место и роль в регионе и РФ'!$C$5:$J$5</c:f>
              <c:strCache>
                <c:ptCount val="8"/>
                <c:pt idx="0">
                  <c:v>2017 г.</c:v>
                </c:pt>
                <c:pt idx="1">
                  <c:v>2018 г.</c:v>
                </c:pt>
                <c:pt idx="2">
                  <c:v>2019 г.</c:v>
                </c:pt>
                <c:pt idx="3">
                  <c:v>2020 г.</c:v>
                </c:pt>
                <c:pt idx="4">
                  <c:v>2021 г.</c:v>
                </c:pt>
                <c:pt idx="5">
                  <c:v>2022 г.</c:v>
                </c:pt>
                <c:pt idx="6">
                  <c:v>2023 г.</c:v>
                </c:pt>
                <c:pt idx="7">
                  <c:v>2024 г.</c:v>
                </c:pt>
              </c:strCache>
            </c:strRef>
          </c:cat>
          <c:val>
            <c:numRef>
              <c:f>'Место и роль в регионе и РФ'!$C$6:$J$6</c:f>
              <c:numCache>
                <c:formatCode>#,##0</c:formatCode>
                <c:ptCount val="8"/>
                <c:pt idx="0">
                  <c:v>280306.21399999998</c:v>
                </c:pt>
                <c:pt idx="1">
                  <c:v>291504.13209999999</c:v>
                </c:pt>
                <c:pt idx="2">
                  <c:v>302934.81050000002</c:v>
                </c:pt>
                <c:pt idx="3">
                  <c:v>306998.88170000003</c:v>
                </c:pt>
                <c:pt idx="4">
                  <c:v>433940.94460000005</c:v>
                </c:pt>
                <c:pt idx="5">
                  <c:v>464898.6434</c:v>
                </c:pt>
                <c:pt idx="6">
                  <c:v>524351.45079999999</c:v>
                </c:pt>
                <c:pt idx="7">
                  <c:v>642748.23939999985</c:v>
                </c:pt>
              </c:numCache>
            </c:numRef>
          </c:val>
        </c:ser>
        <c:ser>
          <c:idx val="1"/>
          <c:order val="1"/>
          <c:tx>
            <c:strRef>
              <c:f>'Место и роль в регионе и РФ'!$B$7</c:f>
              <c:strCache>
                <c:ptCount val="1"/>
                <c:pt idx="0">
                  <c:v>Барнаул</c:v>
                </c:pt>
              </c:strCache>
            </c:strRef>
          </c:tx>
          <c:spPr>
            <a:solidFill>
              <a:srgbClr val="E36729"/>
            </a:solidFill>
            <a:ln w="23169">
              <a:noFill/>
            </a:ln>
          </c:spPr>
          <c:invertIfNegative val="0"/>
          <c:cat>
            <c:strRef>
              <c:f>'Место и роль в регионе и РФ'!$C$5:$J$5</c:f>
              <c:strCache>
                <c:ptCount val="8"/>
                <c:pt idx="0">
                  <c:v>2017 г.</c:v>
                </c:pt>
                <c:pt idx="1">
                  <c:v>2018 г.</c:v>
                </c:pt>
                <c:pt idx="2">
                  <c:v>2019 г.</c:v>
                </c:pt>
                <c:pt idx="3">
                  <c:v>2020 г.</c:v>
                </c:pt>
                <c:pt idx="4">
                  <c:v>2021 г.</c:v>
                </c:pt>
                <c:pt idx="5">
                  <c:v>2022 г.</c:v>
                </c:pt>
                <c:pt idx="6">
                  <c:v>2023 г.</c:v>
                </c:pt>
                <c:pt idx="7">
                  <c:v>2024 г.</c:v>
                </c:pt>
              </c:strCache>
            </c:strRef>
          </c:cat>
          <c:val>
            <c:numRef>
              <c:f>'Место и роль в регионе и РФ'!$C$7:$J$7</c:f>
              <c:numCache>
                <c:formatCode>#,##0</c:formatCode>
                <c:ptCount val="8"/>
                <c:pt idx="0">
                  <c:v>81660.412299999967</c:v>
                </c:pt>
                <c:pt idx="1">
                  <c:v>94265.460099999982</c:v>
                </c:pt>
                <c:pt idx="2">
                  <c:v>99986.079300000012</c:v>
                </c:pt>
                <c:pt idx="3">
                  <c:v>101113.38400000002</c:v>
                </c:pt>
                <c:pt idx="4">
                  <c:v>132186.32799999998</c:v>
                </c:pt>
                <c:pt idx="5">
                  <c:v>133612.62399999998</c:v>
                </c:pt>
                <c:pt idx="6">
                  <c:v>168168.231</c:v>
                </c:pt>
                <c:pt idx="7">
                  <c:v>212165.40099999998</c:v>
                </c:pt>
              </c:numCache>
            </c:numRef>
          </c:val>
        </c:ser>
        <c:dLbls>
          <c:showLegendKey val="0"/>
          <c:showVal val="0"/>
          <c:showCatName val="0"/>
          <c:showSerName val="0"/>
          <c:showPercent val="0"/>
          <c:showBubbleSize val="0"/>
        </c:dLbls>
        <c:gapWidth val="150"/>
        <c:axId val="608221064"/>
        <c:axId val="608221456"/>
      </c:barChart>
      <c:lineChart>
        <c:grouping val="standard"/>
        <c:varyColors val="0"/>
        <c:ser>
          <c:idx val="2"/>
          <c:order val="2"/>
          <c:tx>
            <c:strRef>
              <c:f>'Место и роль в регионе и РФ'!$B$8</c:f>
              <c:strCache>
                <c:ptCount val="1"/>
                <c:pt idx="0">
                  <c:v>Доля Барнаула от уровня Алтайского края, %</c:v>
                </c:pt>
              </c:strCache>
            </c:strRef>
          </c:tx>
          <c:spPr>
            <a:ln w="26065" cap="rnd">
              <a:solidFill>
                <a:srgbClr val="6F94C0"/>
              </a:solidFill>
              <a:round/>
            </a:ln>
            <a:effectLst/>
          </c:spPr>
          <c:marker>
            <c:symbol val="none"/>
          </c:marker>
          <c:dLbls>
            <c:dLbl>
              <c:idx val="0"/>
              <c:layout>
                <c:manualLayout>
                  <c:x val="-2.1552000000000002E-2"/>
                  <c:y val="2.7778000000000011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8.6210000000000002E-3"/>
                  <c:y val="2.7778000000000011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1.0776000000000001E-2"/>
                  <c:y val="-3.4722000000000003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1.7240999999999999E-2"/>
                  <c:y val="-1.7361000000000001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1.7240999999999999E-2"/>
                  <c:y val="1.7361000000000001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6.0345000000000003E-2"/>
                  <c:y val="-4.5138999999999999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2.9856233563822599E-2"/>
                  <c:y val="-5.6592235672033531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w="23169">
                <a:noFill/>
              </a:ln>
            </c:spPr>
            <c:txPr>
              <a:bodyPr rot="0" vert="horz"/>
              <a:lstStyle/>
              <a:p>
                <a:pPr>
                  <a:defRPr>
                    <a:latin typeface="PT Astra Serif" pitchFamily="18" charset="-52"/>
                    <a:ea typeface="PT Astra Serif" pitchFamily="18" charset="-52"/>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'Место и роль в регионе и РФ'!$C$5:$J$5</c:f>
              <c:strCache>
                <c:ptCount val="8"/>
                <c:pt idx="0">
                  <c:v>2017 г.</c:v>
                </c:pt>
                <c:pt idx="1">
                  <c:v>2018 г.</c:v>
                </c:pt>
                <c:pt idx="2">
                  <c:v>2019 г.</c:v>
                </c:pt>
                <c:pt idx="3">
                  <c:v>2020 г.</c:v>
                </c:pt>
                <c:pt idx="4">
                  <c:v>2021 г.</c:v>
                </c:pt>
                <c:pt idx="5">
                  <c:v>2022 г.</c:v>
                </c:pt>
                <c:pt idx="6">
                  <c:v>2023 г.</c:v>
                </c:pt>
                <c:pt idx="7">
                  <c:v>2024 г.</c:v>
                </c:pt>
              </c:strCache>
            </c:strRef>
          </c:cat>
          <c:val>
            <c:numRef>
              <c:f>'Место и роль в регионе и РФ'!$C$8:$J$8</c:f>
              <c:numCache>
                <c:formatCode>0.0%</c:formatCode>
                <c:ptCount val="8"/>
                <c:pt idx="0">
                  <c:v>0.29132572958229186</c:v>
                </c:pt>
                <c:pt idx="1">
                  <c:v>0.32337606819124753</c:v>
                </c:pt>
                <c:pt idx="2">
                  <c:v>0.33005807135525628</c:v>
                </c:pt>
                <c:pt idx="3">
                  <c:v>0.32936075675613768</c:v>
                </c:pt>
                <c:pt idx="4">
                  <c:v>0.30461824274694183</c:v>
                </c:pt>
                <c:pt idx="5">
                  <c:v>0.28740162161548705</c:v>
                </c:pt>
                <c:pt idx="6">
                  <c:v>0.32071663145668183</c:v>
                </c:pt>
                <c:pt idx="7">
                  <c:v>0.33009098741064569</c:v>
                </c:pt>
              </c:numCache>
            </c:numRef>
          </c:val>
          <c:smooth val="0"/>
        </c:ser>
        <c:dLbls>
          <c:showLegendKey val="0"/>
          <c:showVal val="0"/>
          <c:showCatName val="0"/>
          <c:showSerName val="0"/>
          <c:showPercent val="0"/>
          <c:showBubbleSize val="0"/>
        </c:dLbls>
        <c:marker val="1"/>
        <c:smooth val="0"/>
        <c:axId val="608221848"/>
        <c:axId val="608222240"/>
      </c:lineChart>
      <c:catAx>
        <c:axId val="608221064"/>
        <c:scaling>
          <c:orientation val="minMax"/>
        </c:scaling>
        <c:delete val="0"/>
        <c:axPos val="b"/>
        <c:numFmt formatCode="General" sourceLinked="1"/>
        <c:majorTickMark val="none"/>
        <c:minorTickMark val="none"/>
        <c:tickLblPos val="nextTo"/>
        <c:spPr>
          <a:noFill/>
          <a:ln w="8688" cap="flat" cmpd="sng" algn="ctr">
            <a:solidFill>
              <a:schemeClr val="tx1">
                <a:lumMod val="15000"/>
                <a:lumOff val="85000"/>
              </a:schemeClr>
            </a:solidFill>
            <a:round/>
          </a:ln>
          <a:effectLst/>
        </c:spPr>
        <c:txPr>
          <a:bodyPr rot="-60000000" vert="horz"/>
          <a:lstStyle/>
          <a:p>
            <a:pPr>
              <a:defRPr>
                <a:latin typeface="PT Astra Serif" pitchFamily="18" charset="-52"/>
                <a:ea typeface="PT Astra Serif" pitchFamily="18" charset="-52"/>
              </a:defRPr>
            </a:pPr>
            <a:endParaRPr lang="ru-RU"/>
          </a:p>
        </c:txPr>
        <c:crossAx val="608221456"/>
        <c:crosses val="autoZero"/>
        <c:auto val="1"/>
        <c:lblAlgn val="ctr"/>
        <c:lblOffset val="100"/>
        <c:noMultiLvlLbl val="0"/>
      </c:catAx>
      <c:valAx>
        <c:axId val="608221456"/>
        <c:scaling>
          <c:orientation val="minMax"/>
        </c:scaling>
        <c:delete val="0"/>
        <c:axPos val="l"/>
        <c:majorGridlines>
          <c:spPr>
            <a:ln w="8688" cap="flat" cmpd="sng" algn="ctr">
              <a:solidFill>
                <a:schemeClr val="tx1">
                  <a:lumMod val="15000"/>
                  <a:lumOff val="85000"/>
                </a:schemeClr>
              </a:solidFill>
              <a:round/>
            </a:ln>
            <a:effectLst/>
          </c:spPr>
        </c:majorGridlines>
        <c:numFmt formatCode="#,##0" sourceLinked="1"/>
        <c:majorTickMark val="none"/>
        <c:minorTickMark val="none"/>
        <c:tickLblPos val="nextTo"/>
        <c:spPr>
          <a:ln w="11584">
            <a:noFill/>
          </a:ln>
        </c:spPr>
        <c:txPr>
          <a:bodyPr rot="-60000000" vert="horz"/>
          <a:lstStyle/>
          <a:p>
            <a:pPr>
              <a:defRPr>
                <a:latin typeface="PT Astra Serif" pitchFamily="18" charset="-52"/>
                <a:ea typeface="PT Astra Serif" pitchFamily="18" charset="-52"/>
              </a:defRPr>
            </a:pPr>
            <a:endParaRPr lang="ru-RU"/>
          </a:p>
        </c:txPr>
        <c:crossAx val="608221064"/>
        <c:crosses val="autoZero"/>
        <c:crossBetween val="between"/>
      </c:valAx>
      <c:catAx>
        <c:axId val="608221848"/>
        <c:scaling>
          <c:orientation val="minMax"/>
        </c:scaling>
        <c:delete val="1"/>
        <c:axPos val="b"/>
        <c:numFmt formatCode="General" sourceLinked="1"/>
        <c:majorTickMark val="out"/>
        <c:minorTickMark val="none"/>
        <c:tickLblPos val="none"/>
        <c:crossAx val="608222240"/>
        <c:crosses val="autoZero"/>
        <c:auto val="1"/>
        <c:lblAlgn val="ctr"/>
        <c:lblOffset val="100"/>
        <c:noMultiLvlLbl val="0"/>
      </c:catAx>
      <c:valAx>
        <c:axId val="608222240"/>
        <c:scaling>
          <c:orientation val="minMax"/>
        </c:scaling>
        <c:delete val="0"/>
        <c:axPos val="r"/>
        <c:numFmt formatCode="0.0%" sourceLinked="1"/>
        <c:majorTickMark val="none"/>
        <c:minorTickMark val="none"/>
        <c:tickLblPos val="nextTo"/>
        <c:spPr>
          <a:ln w="11584">
            <a:noFill/>
          </a:ln>
        </c:spPr>
        <c:txPr>
          <a:bodyPr rot="-60000000" vert="horz"/>
          <a:lstStyle/>
          <a:p>
            <a:pPr>
              <a:defRPr/>
            </a:pPr>
            <a:endParaRPr lang="ru-RU"/>
          </a:p>
        </c:txPr>
        <c:crossAx val="608221848"/>
        <c:crosses val="max"/>
        <c:crossBetween val="between"/>
      </c:valAx>
      <c:spPr>
        <a:noFill/>
        <a:ln w="23169">
          <a:noFill/>
        </a:ln>
      </c:spPr>
    </c:plotArea>
    <c:legend>
      <c:legendPos val="b"/>
      <c:layout/>
      <c:overlay val="0"/>
      <c:spPr>
        <a:noFill/>
        <a:ln w="23169">
          <a:noFill/>
        </a:ln>
      </c:spPr>
      <c:txPr>
        <a:bodyPr rot="0" vert="horz"/>
        <a:lstStyle/>
        <a:p>
          <a:pPr>
            <a:defRPr>
              <a:latin typeface="PT Astra Serif" pitchFamily="18" charset="-52"/>
              <a:ea typeface="PT Astra Serif" pitchFamily="18" charset="-52"/>
            </a:defRPr>
          </a:pPr>
          <a:endParaRPr lang="ru-RU"/>
        </a:p>
      </c:txPr>
    </c:legend>
    <c:plotVisOnly val="1"/>
    <c:dispBlanksAs val="gap"/>
    <c:showDLblsOverMax val="0"/>
  </c:chart>
  <c:spPr>
    <a:solidFill>
      <a:schemeClr val="bg1"/>
    </a:solidFill>
    <a:ln>
      <a:noFill/>
    </a:ln>
    <a:effectLst/>
  </c:spPr>
  <c:txPr>
    <a:bodyPr/>
    <a:lstStyle/>
    <a:p>
      <a:pPr>
        <a:defRPr sz="821">
          <a:solidFill>
            <a:sysClr val="windowText" lastClr="000000"/>
          </a:solidFill>
          <a:latin typeface="Times New Roman"/>
          <a:cs typeface="Times New Roman"/>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1"/>
          <c:order val="0"/>
          <c:tx>
            <c:strRef>
              <c:f>Лист3!$A$53</c:f>
              <c:strCache>
                <c:ptCount val="1"/>
                <c:pt idx="0">
                  <c:v>г. Барнаул</c:v>
                </c:pt>
              </c:strCache>
            </c:strRef>
          </c:tx>
          <c:spPr>
            <a:ln w="28516" cap="rnd">
              <a:solidFill>
                <a:srgbClr val="C0504D"/>
              </a:solidFill>
              <a:round/>
            </a:ln>
            <a:effectLst/>
          </c:spPr>
          <c:marker>
            <c:symbol val="none"/>
          </c:marker>
          <c:dLbls>
            <c:spPr>
              <a:noFill/>
              <a:ln w="25347">
                <a:noFill/>
              </a:ln>
            </c:spPr>
            <c:txPr>
              <a:bodyPr rot="0" vert="horz"/>
              <a:lstStyle/>
              <a:p>
                <a:pPr>
                  <a:defRPr>
                    <a:latin typeface="PT Astra Serif" pitchFamily="18" charset="-52"/>
                    <a:ea typeface="PT Astra Serif" pitchFamily="18" charset="-52"/>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Лист3!$C$52:$O$52</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Лист3!$C$53:$O$53</c:f>
              <c:numCache>
                <c:formatCode>0.0</c:formatCode>
                <c:ptCount val="13"/>
                <c:pt idx="0">
                  <c:v>1.0476376426841671</c:v>
                </c:pt>
                <c:pt idx="1">
                  <c:v>1.8963428703276417</c:v>
                </c:pt>
                <c:pt idx="2">
                  <c:v>2.0095921473968463</c:v>
                </c:pt>
                <c:pt idx="3">
                  <c:v>2.0001528688264045</c:v>
                </c:pt>
                <c:pt idx="4">
                  <c:v>2.1896875869313828</c:v>
                </c:pt>
                <c:pt idx="5">
                  <c:v>0.73721614847590544</c:v>
                </c:pt>
                <c:pt idx="6">
                  <c:v>-0.82261812214802355</c:v>
                </c:pt>
                <c:pt idx="7">
                  <c:v>-1.6100783442310185</c:v>
                </c:pt>
                <c:pt idx="8">
                  <c:v>-5.7176670309925974</c:v>
                </c:pt>
                <c:pt idx="9">
                  <c:v>-6.9107753327837393</c:v>
                </c:pt>
                <c:pt idx="10">
                  <c:v>-4.0874615489236596</c:v>
                </c:pt>
                <c:pt idx="11">
                  <c:v>-3.2575346820746311</c:v>
                </c:pt>
                <c:pt idx="12">
                  <c:v>-3.8898039041890575</c:v>
                </c:pt>
              </c:numCache>
            </c:numRef>
          </c:val>
          <c:smooth val="0"/>
        </c:ser>
        <c:ser>
          <c:idx val="2"/>
          <c:order val="1"/>
          <c:tx>
            <c:strRef>
              <c:f>Лист3!$A$54</c:f>
              <c:strCache>
                <c:ptCount val="1"/>
                <c:pt idx="0">
                  <c:v>Алтайский край</c:v>
                </c:pt>
              </c:strCache>
            </c:strRef>
          </c:tx>
          <c:spPr>
            <a:ln w="28516" cap="rnd">
              <a:solidFill>
                <a:srgbClr val="6F94C0"/>
              </a:solidFill>
              <a:round/>
            </a:ln>
            <a:effectLst/>
          </c:spPr>
          <c:marker>
            <c:symbol val="none"/>
          </c:marker>
          <c:dLbls>
            <c:dLbl>
              <c:idx val="9"/>
              <c:layout>
                <c:manualLayout>
                  <c:x val="-3.5092000000000005E-2"/>
                  <c:y val="4.7699000000000012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w="25347">
                <a:noFill/>
              </a:ln>
            </c:spPr>
            <c:txPr>
              <a:bodyPr rot="0" vert="horz"/>
              <a:lstStyle/>
              <a:p>
                <a:pPr>
                  <a:defRPr>
                    <a:latin typeface="PT Astra Serif" pitchFamily="18" charset="-52"/>
                    <a:ea typeface="PT Astra Serif" pitchFamily="18" charset="-52"/>
                  </a:defRPr>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Лист3!$C$52:$O$52</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Лист3!$C$54:$O$54</c:f>
              <c:numCache>
                <c:formatCode>0.0</c:formatCode>
                <c:ptCount val="13"/>
                <c:pt idx="0">
                  <c:v>-0.79999999999999893</c:v>
                </c:pt>
                <c:pt idx="1">
                  <c:v>-0.59999999999999964</c:v>
                </c:pt>
                <c:pt idx="2">
                  <c:v>-0.79999999999999893</c:v>
                </c:pt>
                <c:pt idx="3">
                  <c:v>-1.1999999999999993</c:v>
                </c:pt>
                <c:pt idx="4">
                  <c:v>-1.6999999999999993</c:v>
                </c:pt>
                <c:pt idx="5">
                  <c:v>-2.8000000000000007</c:v>
                </c:pt>
                <c:pt idx="6">
                  <c:v>-4</c:v>
                </c:pt>
                <c:pt idx="7">
                  <c:v>-4.5999999999999996</c:v>
                </c:pt>
                <c:pt idx="8">
                  <c:v>-7.5</c:v>
                </c:pt>
                <c:pt idx="9">
                  <c:v>-10.400000000000002</c:v>
                </c:pt>
                <c:pt idx="10">
                  <c:v>-7.6000000000000014</c:v>
                </c:pt>
                <c:pt idx="11">
                  <c:v>-6.5000000000000009</c:v>
                </c:pt>
                <c:pt idx="12">
                  <c:v>-8</c:v>
                </c:pt>
              </c:numCache>
            </c:numRef>
          </c:val>
          <c:smooth val="0"/>
        </c:ser>
        <c:ser>
          <c:idx val="3"/>
          <c:order val="2"/>
          <c:tx>
            <c:strRef>
              <c:f>Лист3!$A$55</c:f>
              <c:strCache>
                <c:ptCount val="1"/>
                <c:pt idx="0">
                  <c:v>Россия</c:v>
                </c:pt>
              </c:strCache>
            </c:strRef>
          </c:tx>
          <c:spPr>
            <a:ln w="28516" cap="rnd">
              <a:solidFill>
                <a:srgbClr val="002060"/>
              </a:solidFill>
              <a:round/>
            </a:ln>
            <a:effectLst/>
          </c:spPr>
          <c:marker>
            <c:symbol val="none"/>
          </c:marker>
          <c:cat>
            <c:strRef>
              <c:f>Лист3!$C$52:$O$52</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Лист3!$C$55:$O$55</c:f>
              <c:numCache>
                <c:formatCode>0.0</c:formatCode>
                <c:ptCount val="13"/>
                <c:pt idx="0">
                  <c:v>0</c:v>
                </c:pt>
                <c:pt idx="1">
                  <c:v>0.2</c:v>
                </c:pt>
                <c:pt idx="2">
                  <c:v>0.2</c:v>
                </c:pt>
                <c:pt idx="3">
                  <c:v>0.3</c:v>
                </c:pt>
                <c:pt idx="4">
                  <c:v>-0.01</c:v>
                </c:pt>
                <c:pt idx="5">
                  <c:v>-0.9</c:v>
                </c:pt>
                <c:pt idx="6">
                  <c:v>-1.6</c:v>
                </c:pt>
                <c:pt idx="7">
                  <c:v>-2.2000000000000002</c:v>
                </c:pt>
                <c:pt idx="8">
                  <c:v>-4.8</c:v>
                </c:pt>
                <c:pt idx="9">
                  <c:v>-7.1</c:v>
                </c:pt>
                <c:pt idx="10">
                  <c:v>-4.0999999999999996</c:v>
                </c:pt>
                <c:pt idx="11">
                  <c:v>-3.3</c:v>
                </c:pt>
                <c:pt idx="12">
                  <c:v>-4.0999999999999996</c:v>
                </c:pt>
              </c:numCache>
            </c:numRef>
          </c:val>
          <c:smooth val="0"/>
        </c:ser>
        <c:dLbls>
          <c:showLegendKey val="0"/>
          <c:showVal val="0"/>
          <c:showCatName val="0"/>
          <c:showSerName val="0"/>
          <c:showPercent val="0"/>
          <c:showBubbleSize val="0"/>
        </c:dLbls>
        <c:smooth val="0"/>
        <c:axId val="507161576"/>
        <c:axId val="507161960"/>
      </c:lineChart>
      <c:catAx>
        <c:axId val="507161576"/>
        <c:scaling>
          <c:orientation val="minMax"/>
        </c:scaling>
        <c:delete val="0"/>
        <c:axPos val="b"/>
        <c:numFmt formatCode="General" sourceLinked="1"/>
        <c:majorTickMark val="none"/>
        <c:minorTickMark val="none"/>
        <c:tickLblPos val="low"/>
        <c:spPr>
          <a:noFill/>
          <a:ln w="9505" cap="flat" cmpd="sng" algn="ctr">
            <a:solidFill>
              <a:schemeClr val="tx1">
                <a:lumMod val="15000"/>
                <a:lumOff val="85000"/>
              </a:schemeClr>
            </a:solidFill>
            <a:round/>
          </a:ln>
          <a:effectLst/>
        </c:spPr>
        <c:txPr>
          <a:bodyPr rot="-60000000" vert="horz"/>
          <a:lstStyle/>
          <a:p>
            <a:pPr>
              <a:defRPr>
                <a:latin typeface="PT Astra Serif" pitchFamily="18" charset="-52"/>
                <a:ea typeface="PT Astra Serif" pitchFamily="18" charset="-52"/>
              </a:defRPr>
            </a:pPr>
            <a:endParaRPr lang="ru-RU"/>
          </a:p>
        </c:txPr>
        <c:crossAx val="507161960"/>
        <c:crosses val="autoZero"/>
        <c:auto val="1"/>
        <c:lblAlgn val="ctr"/>
        <c:lblOffset val="100"/>
        <c:noMultiLvlLbl val="0"/>
      </c:catAx>
      <c:valAx>
        <c:axId val="507161960"/>
        <c:scaling>
          <c:orientation val="minMax"/>
          <c:max val="4"/>
          <c:min val="-12"/>
        </c:scaling>
        <c:delete val="0"/>
        <c:axPos val="l"/>
        <c:majorGridlines>
          <c:spPr>
            <a:ln w="9505" cap="flat" cmpd="sng" algn="ctr">
              <a:solidFill>
                <a:schemeClr val="tx1">
                  <a:lumMod val="15000"/>
                  <a:lumOff val="85000"/>
                </a:schemeClr>
              </a:solidFill>
              <a:round/>
            </a:ln>
            <a:effectLst/>
          </c:spPr>
        </c:majorGridlines>
        <c:numFmt formatCode="0" sourceLinked="0"/>
        <c:majorTickMark val="none"/>
        <c:minorTickMark val="none"/>
        <c:tickLblPos val="nextTo"/>
        <c:spPr>
          <a:ln w="6337">
            <a:noFill/>
          </a:ln>
        </c:spPr>
        <c:txPr>
          <a:bodyPr rot="-60000000" vert="horz"/>
          <a:lstStyle/>
          <a:p>
            <a:pPr>
              <a:defRPr>
                <a:latin typeface="PT Astra Serif" pitchFamily="18" charset="-52"/>
                <a:ea typeface="PT Astra Serif" pitchFamily="18" charset="-52"/>
              </a:defRPr>
            </a:pPr>
            <a:endParaRPr lang="ru-RU"/>
          </a:p>
        </c:txPr>
        <c:crossAx val="507161576"/>
        <c:crosses val="autoZero"/>
        <c:crossBetween val="between"/>
        <c:majorUnit val="2"/>
      </c:valAx>
      <c:spPr>
        <a:noFill/>
        <a:ln w="25347">
          <a:noFill/>
        </a:ln>
      </c:spPr>
    </c:plotArea>
    <c:legend>
      <c:legendPos val="b"/>
      <c:layout/>
      <c:overlay val="0"/>
      <c:spPr>
        <a:noFill/>
        <a:ln w="25347">
          <a:noFill/>
        </a:ln>
      </c:spPr>
      <c:txPr>
        <a:bodyPr rot="0" vert="horz"/>
        <a:lstStyle/>
        <a:p>
          <a:pPr>
            <a:defRPr>
              <a:latin typeface="PT Astra Serif" pitchFamily="18" charset="-52"/>
              <a:ea typeface="PT Astra Serif" pitchFamily="18" charset="-52"/>
            </a:defRPr>
          </a:pPr>
          <a:endParaRPr lang="ru-RU"/>
        </a:p>
      </c:txPr>
    </c:legend>
    <c:plotVisOnly val="1"/>
    <c:dispBlanksAs val="gap"/>
    <c:showDLblsOverMax val="0"/>
  </c:chart>
  <c:spPr>
    <a:solidFill>
      <a:schemeClr val="bg1"/>
    </a:solid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'Место и роль в регионе и РФ'!$B$28</c:f>
              <c:strCache>
                <c:ptCount val="1"/>
                <c:pt idx="0">
                  <c:v>Россия</c:v>
                </c:pt>
              </c:strCache>
            </c:strRef>
          </c:tx>
          <c:spPr>
            <a:ln w="25682" cap="rnd">
              <a:solidFill>
                <a:srgbClr val="002060"/>
              </a:solidFill>
              <a:round/>
            </a:ln>
            <a:effectLst/>
          </c:spPr>
          <c:marker>
            <c:symbol val="none"/>
          </c:marker>
          <c:cat>
            <c:strRef>
              <c:f>'Место и роль в регионе и РФ'!$C$27:$L$27</c:f>
              <c:strCache>
                <c:ptCount val="10"/>
                <c:pt idx="0">
                  <c:v>2015 г.</c:v>
                </c:pt>
                <c:pt idx="1">
                  <c:v>2016 г.</c:v>
                </c:pt>
                <c:pt idx="2">
                  <c:v>2017 г.</c:v>
                </c:pt>
                <c:pt idx="3">
                  <c:v>2018 г.</c:v>
                </c:pt>
                <c:pt idx="4">
                  <c:v>2019 г.</c:v>
                </c:pt>
                <c:pt idx="5">
                  <c:v>2020 г.</c:v>
                </c:pt>
                <c:pt idx="6">
                  <c:v>2021 г.</c:v>
                </c:pt>
                <c:pt idx="7">
                  <c:v>2022 г.</c:v>
                </c:pt>
                <c:pt idx="8">
                  <c:v>2023 г.</c:v>
                </c:pt>
                <c:pt idx="9">
                  <c:v>2024 г.</c:v>
                </c:pt>
              </c:strCache>
            </c:strRef>
          </c:cat>
          <c:val>
            <c:numRef>
              <c:f>'Место и роль в регионе и РФ'!$C$28:$L$28</c:f>
              <c:numCache>
                <c:formatCode>General</c:formatCode>
                <c:ptCount val="10"/>
                <c:pt idx="0">
                  <c:v>100.2</c:v>
                </c:pt>
                <c:pt idx="1">
                  <c:v>101.8</c:v>
                </c:pt>
                <c:pt idx="2">
                  <c:v>103.7</c:v>
                </c:pt>
                <c:pt idx="3">
                  <c:v>103.5</c:v>
                </c:pt>
                <c:pt idx="4">
                  <c:v>103.4</c:v>
                </c:pt>
                <c:pt idx="5">
                  <c:v>97.9</c:v>
                </c:pt>
                <c:pt idx="6">
                  <c:v>106.3</c:v>
                </c:pt>
                <c:pt idx="7">
                  <c:v>100.7</c:v>
                </c:pt>
                <c:pt idx="8">
                  <c:v>104.3</c:v>
                </c:pt>
                <c:pt idx="9">
                  <c:v>104.6</c:v>
                </c:pt>
              </c:numCache>
            </c:numRef>
          </c:val>
          <c:smooth val="0"/>
        </c:ser>
        <c:ser>
          <c:idx val="1"/>
          <c:order val="1"/>
          <c:tx>
            <c:strRef>
              <c:f>'Место и роль в регионе и РФ'!$B$29</c:f>
              <c:strCache>
                <c:ptCount val="1"/>
                <c:pt idx="0">
                  <c:v>Алтайский край</c:v>
                </c:pt>
              </c:strCache>
            </c:strRef>
          </c:tx>
          <c:spPr>
            <a:ln w="25682" cap="rnd">
              <a:solidFill>
                <a:srgbClr val="6F94C0"/>
              </a:solidFill>
              <a:round/>
            </a:ln>
            <a:effectLst/>
          </c:spPr>
          <c:marker>
            <c:symbol val="none"/>
          </c:marker>
          <c:cat>
            <c:strRef>
              <c:f>'Место и роль в регионе и РФ'!$C$27:$L$27</c:f>
              <c:strCache>
                <c:ptCount val="10"/>
                <c:pt idx="0">
                  <c:v>2015 г.</c:v>
                </c:pt>
                <c:pt idx="1">
                  <c:v>2016 г.</c:v>
                </c:pt>
                <c:pt idx="2">
                  <c:v>2017 г.</c:v>
                </c:pt>
                <c:pt idx="3">
                  <c:v>2018 г.</c:v>
                </c:pt>
                <c:pt idx="4">
                  <c:v>2019 г.</c:v>
                </c:pt>
                <c:pt idx="5">
                  <c:v>2020 г.</c:v>
                </c:pt>
                <c:pt idx="6">
                  <c:v>2021 г.</c:v>
                </c:pt>
                <c:pt idx="7">
                  <c:v>2022 г.</c:v>
                </c:pt>
                <c:pt idx="8">
                  <c:v>2023 г.</c:v>
                </c:pt>
                <c:pt idx="9">
                  <c:v>2024 г.</c:v>
                </c:pt>
              </c:strCache>
            </c:strRef>
          </c:cat>
          <c:val>
            <c:numRef>
              <c:f>'Место и роль в регионе и РФ'!$C$29:$L$29</c:f>
              <c:numCache>
                <c:formatCode>General</c:formatCode>
                <c:ptCount val="10"/>
                <c:pt idx="0">
                  <c:v>101.9</c:v>
                </c:pt>
                <c:pt idx="1">
                  <c:v>100.1</c:v>
                </c:pt>
                <c:pt idx="2">
                  <c:v>103.7</c:v>
                </c:pt>
                <c:pt idx="3">
                  <c:v>100.8</c:v>
                </c:pt>
                <c:pt idx="4">
                  <c:v>101.9</c:v>
                </c:pt>
                <c:pt idx="5">
                  <c:v>101.1</c:v>
                </c:pt>
                <c:pt idx="6">
                  <c:v>101.7</c:v>
                </c:pt>
                <c:pt idx="7">
                  <c:v>103.2</c:v>
                </c:pt>
                <c:pt idx="8">
                  <c:v>107.1</c:v>
                </c:pt>
                <c:pt idx="9">
                  <c:v>105.8</c:v>
                </c:pt>
              </c:numCache>
            </c:numRef>
          </c:val>
          <c:smooth val="0"/>
        </c:ser>
        <c:ser>
          <c:idx val="2"/>
          <c:order val="2"/>
          <c:tx>
            <c:strRef>
              <c:f>'Место и роль в регионе и РФ'!$B$30</c:f>
              <c:strCache>
                <c:ptCount val="1"/>
                <c:pt idx="0">
                  <c:v>Барнаул</c:v>
                </c:pt>
              </c:strCache>
            </c:strRef>
          </c:tx>
          <c:spPr>
            <a:ln w="25682" cap="rnd">
              <a:solidFill>
                <a:srgbClr val="E36729"/>
              </a:solidFill>
              <a:round/>
            </a:ln>
            <a:effectLst/>
          </c:spPr>
          <c:marker>
            <c:symbol val="none"/>
          </c:marker>
          <c:cat>
            <c:strRef>
              <c:f>'Место и роль в регионе и РФ'!$C$27:$L$27</c:f>
              <c:strCache>
                <c:ptCount val="10"/>
                <c:pt idx="0">
                  <c:v>2015 г.</c:v>
                </c:pt>
                <c:pt idx="1">
                  <c:v>2016 г.</c:v>
                </c:pt>
                <c:pt idx="2">
                  <c:v>2017 г.</c:v>
                </c:pt>
                <c:pt idx="3">
                  <c:v>2018 г.</c:v>
                </c:pt>
                <c:pt idx="4">
                  <c:v>2019 г.</c:v>
                </c:pt>
                <c:pt idx="5">
                  <c:v>2020 г.</c:v>
                </c:pt>
                <c:pt idx="6">
                  <c:v>2021 г.</c:v>
                </c:pt>
                <c:pt idx="7">
                  <c:v>2022 г.</c:v>
                </c:pt>
                <c:pt idx="8">
                  <c:v>2023 г.</c:v>
                </c:pt>
                <c:pt idx="9">
                  <c:v>2024 г.</c:v>
                </c:pt>
              </c:strCache>
            </c:strRef>
          </c:cat>
          <c:val>
            <c:numRef>
              <c:f>'Место и роль в регионе и РФ'!$C$30:$L$30</c:f>
              <c:numCache>
                <c:formatCode>General</c:formatCode>
                <c:ptCount val="10"/>
                <c:pt idx="0">
                  <c:v>100</c:v>
                </c:pt>
                <c:pt idx="1">
                  <c:v>100.3</c:v>
                </c:pt>
                <c:pt idx="2">
                  <c:v>105.5</c:v>
                </c:pt>
                <c:pt idx="3">
                  <c:v>101.9</c:v>
                </c:pt>
                <c:pt idx="4">
                  <c:v>101.1</c:v>
                </c:pt>
                <c:pt idx="5">
                  <c:v>97.9</c:v>
                </c:pt>
                <c:pt idx="6">
                  <c:v>105.6</c:v>
                </c:pt>
                <c:pt idx="7">
                  <c:v>107.6</c:v>
                </c:pt>
                <c:pt idx="8">
                  <c:v>103.8</c:v>
                </c:pt>
                <c:pt idx="9">
                  <c:v>105.3</c:v>
                </c:pt>
              </c:numCache>
            </c:numRef>
          </c:val>
          <c:smooth val="0"/>
        </c:ser>
        <c:dLbls>
          <c:showLegendKey val="0"/>
          <c:showVal val="0"/>
          <c:showCatName val="0"/>
          <c:showSerName val="0"/>
          <c:showPercent val="0"/>
          <c:showBubbleSize val="0"/>
        </c:dLbls>
        <c:smooth val="0"/>
        <c:axId val="608423216"/>
        <c:axId val="608423608"/>
      </c:lineChart>
      <c:catAx>
        <c:axId val="608423216"/>
        <c:scaling>
          <c:orientation val="minMax"/>
        </c:scaling>
        <c:delete val="0"/>
        <c:axPos val="b"/>
        <c:numFmt formatCode="General" sourceLinked="1"/>
        <c:majorTickMark val="none"/>
        <c:minorTickMark val="none"/>
        <c:tickLblPos val="nextTo"/>
        <c:spPr>
          <a:noFill/>
          <a:ln w="8561" cap="flat" cmpd="sng" algn="ctr">
            <a:solidFill>
              <a:schemeClr val="tx1">
                <a:lumMod val="15000"/>
                <a:lumOff val="85000"/>
              </a:schemeClr>
            </a:solidFill>
            <a:round/>
          </a:ln>
          <a:effectLst/>
        </c:spPr>
        <c:txPr>
          <a:bodyPr rot="-60000000" spcFirstLastPara="1" vertOverflow="ellipsis" vert="horz" wrap="square" anchor="ctr" anchorCtr="1"/>
          <a:lstStyle/>
          <a:p>
            <a:pPr>
              <a:defRPr sz="809" b="0" i="0" u="none" strike="noStrike" baseline="0">
                <a:solidFill>
                  <a:sysClr val="windowText" lastClr="000000"/>
                </a:solidFill>
                <a:latin typeface="PT Astra Serif" pitchFamily="18" charset="-52"/>
                <a:ea typeface="PT Astra Serif" pitchFamily="18" charset="-52"/>
                <a:cs typeface="Times New Roman"/>
              </a:defRPr>
            </a:pPr>
            <a:endParaRPr lang="ru-RU"/>
          </a:p>
        </c:txPr>
        <c:crossAx val="608423608"/>
        <c:crosses val="autoZero"/>
        <c:auto val="1"/>
        <c:lblAlgn val="ctr"/>
        <c:lblOffset val="100"/>
        <c:noMultiLvlLbl val="0"/>
      </c:catAx>
      <c:valAx>
        <c:axId val="608423608"/>
        <c:scaling>
          <c:orientation val="minMax"/>
        </c:scaling>
        <c:delete val="0"/>
        <c:axPos val="l"/>
        <c:majorGridlines>
          <c:spPr>
            <a:ln w="8561" cap="flat" cmpd="sng" algn="ctr">
              <a:solidFill>
                <a:schemeClr val="tx1">
                  <a:lumMod val="15000"/>
                  <a:lumOff val="85000"/>
                </a:schemeClr>
              </a:solidFill>
              <a:round/>
            </a:ln>
            <a:effectLst/>
          </c:spPr>
        </c:majorGridlines>
        <c:numFmt formatCode="General" sourceLinked="1"/>
        <c:majorTickMark val="none"/>
        <c:minorTickMark val="none"/>
        <c:tickLblPos val="nextTo"/>
        <c:spPr>
          <a:ln w="11414">
            <a:noFill/>
          </a:ln>
        </c:spPr>
        <c:txPr>
          <a:bodyPr rot="-60000000" spcFirstLastPara="1" vertOverflow="ellipsis" vert="horz" wrap="square" anchor="ctr" anchorCtr="1"/>
          <a:lstStyle/>
          <a:p>
            <a:pPr>
              <a:defRPr sz="809" b="0" i="0" u="none" strike="noStrike" baseline="0">
                <a:solidFill>
                  <a:sysClr val="windowText" lastClr="000000"/>
                </a:solidFill>
                <a:latin typeface="PT Astra Serif" pitchFamily="18" charset="-52"/>
                <a:ea typeface="PT Astra Serif" pitchFamily="18" charset="-52"/>
                <a:cs typeface="Times New Roman"/>
              </a:defRPr>
            </a:pPr>
            <a:endParaRPr lang="ru-RU"/>
          </a:p>
        </c:txPr>
        <c:crossAx val="608423216"/>
        <c:crosses val="autoZero"/>
        <c:crossBetween val="between"/>
      </c:valAx>
      <c:spPr>
        <a:noFill/>
        <a:ln w="22829">
          <a:noFill/>
        </a:ln>
      </c:spPr>
    </c:plotArea>
    <c:legend>
      <c:legendPos val="b"/>
      <c:layout>
        <c:manualLayout>
          <c:xMode val="edge"/>
          <c:yMode val="edge"/>
          <c:x val="5.5034676956771146E-2"/>
          <c:y val="0.8801243621371363"/>
          <c:w val="0.9029571882984827"/>
          <c:h val="8.698095141540782E-2"/>
        </c:manualLayout>
      </c:layout>
      <c:overlay val="0"/>
      <c:spPr>
        <a:noFill/>
        <a:ln w="22829">
          <a:noFill/>
        </a:ln>
      </c:spPr>
      <c:txPr>
        <a:bodyPr rot="0" spcFirstLastPara="1" vertOverflow="ellipsis" vert="horz" wrap="square" anchor="ctr" anchorCtr="1"/>
        <a:lstStyle/>
        <a:p>
          <a:pPr>
            <a:defRPr sz="809" b="0" i="0" u="none" strike="noStrike" baseline="0">
              <a:solidFill>
                <a:sysClr val="windowText" lastClr="000000"/>
              </a:solidFill>
              <a:latin typeface="PT Astra Serif" pitchFamily="18" charset="-52"/>
              <a:ea typeface="PT Astra Serif" pitchFamily="18" charset="-52"/>
              <a:cs typeface="Times New Roman"/>
            </a:defRPr>
          </a:pPr>
          <a:endParaRPr lang="ru-RU"/>
        </a:p>
      </c:txPr>
    </c:legend>
    <c:plotVisOnly val="1"/>
    <c:dispBlanksAs val="gap"/>
    <c:showDLblsOverMax val="0"/>
  </c:chart>
  <c:spPr>
    <a:solidFill>
      <a:schemeClr val="bg1"/>
    </a:solidFill>
    <a:ln>
      <a:noFill/>
    </a:ln>
    <a:effectLst/>
  </c:spPr>
  <c:txPr>
    <a:bodyPr/>
    <a:lstStyle/>
    <a:p>
      <a:pPr>
        <a:defRPr>
          <a:solidFill>
            <a:sysClr val="windowText" lastClr="000000"/>
          </a:solidFill>
          <a:latin typeface="Times New Roman"/>
          <a:cs typeface="Times New Roman"/>
        </a:defRPr>
      </a:pPr>
      <a:endParaRPr lang="ru-RU"/>
    </a:p>
  </c:txPr>
  <c:externalData r:id="rId2">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6425019065130231E-2"/>
          <c:y val="3.621399176954735E-2"/>
          <c:w val="0.85072700137081836"/>
          <c:h val="0.61715978095330681"/>
        </c:manualLayout>
      </c:layout>
      <c:barChart>
        <c:barDir val="col"/>
        <c:grouping val="clustered"/>
        <c:varyColors val="0"/>
        <c:ser>
          <c:idx val="0"/>
          <c:order val="0"/>
          <c:tx>
            <c:strRef>
              <c:f>'Место и роль в регионе и РФ'!$A$44</c:f>
              <c:strCache>
                <c:ptCount val="1"/>
                <c:pt idx="0">
                  <c:v>Ввод жилья в Алтайском крае, тыс. кв. м</c:v>
                </c:pt>
              </c:strCache>
            </c:strRef>
          </c:tx>
          <c:spPr>
            <a:solidFill>
              <a:srgbClr val="002060"/>
            </a:solidFill>
            <a:ln w="23376">
              <a:noFill/>
            </a:ln>
          </c:spPr>
          <c:invertIfNegative val="0"/>
          <c:cat>
            <c:strRef>
              <c:f>'Место и роль в регионе и РФ'!$B$43:$K$43</c:f>
              <c:strCache>
                <c:ptCount val="10"/>
                <c:pt idx="0">
                  <c:v>2015 г.</c:v>
                </c:pt>
                <c:pt idx="1">
                  <c:v>2016 г.</c:v>
                </c:pt>
                <c:pt idx="2">
                  <c:v>2017 г.</c:v>
                </c:pt>
                <c:pt idx="3">
                  <c:v>2018 г.</c:v>
                </c:pt>
                <c:pt idx="4">
                  <c:v>2019 г.</c:v>
                </c:pt>
                <c:pt idx="5">
                  <c:v>2020 г.</c:v>
                </c:pt>
                <c:pt idx="6">
                  <c:v>2021 г.</c:v>
                </c:pt>
                <c:pt idx="7">
                  <c:v>2022 г.</c:v>
                </c:pt>
                <c:pt idx="8">
                  <c:v>2023 г.</c:v>
                </c:pt>
                <c:pt idx="9">
                  <c:v>2024 г.</c:v>
                </c:pt>
              </c:strCache>
            </c:strRef>
          </c:cat>
          <c:val>
            <c:numRef>
              <c:f>'Место и роль в регионе и РФ'!$B$44:$K$44</c:f>
              <c:numCache>
                <c:formatCode>General</c:formatCode>
                <c:ptCount val="10"/>
                <c:pt idx="0">
                  <c:v>890</c:v>
                </c:pt>
                <c:pt idx="1">
                  <c:v>754.4</c:v>
                </c:pt>
                <c:pt idx="2">
                  <c:v>629.9</c:v>
                </c:pt>
                <c:pt idx="3">
                  <c:v>786.1</c:v>
                </c:pt>
                <c:pt idx="4">
                  <c:v>757.7</c:v>
                </c:pt>
                <c:pt idx="5">
                  <c:v>826.3</c:v>
                </c:pt>
                <c:pt idx="6">
                  <c:v>988.7</c:v>
                </c:pt>
                <c:pt idx="7">
                  <c:v>923.3</c:v>
                </c:pt>
                <c:pt idx="8">
                  <c:v>945.8</c:v>
                </c:pt>
                <c:pt idx="9">
                  <c:v>875.4</c:v>
                </c:pt>
              </c:numCache>
            </c:numRef>
          </c:val>
        </c:ser>
        <c:ser>
          <c:idx val="1"/>
          <c:order val="1"/>
          <c:tx>
            <c:strRef>
              <c:f>'Место и роль в регионе и РФ'!$A$45</c:f>
              <c:strCache>
                <c:ptCount val="1"/>
                <c:pt idx="0">
                  <c:v>Ввод жилья в г. Барнауле, тыс. кв. м</c:v>
                </c:pt>
              </c:strCache>
            </c:strRef>
          </c:tx>
          <c:spPr>
            <a:solidFill>
              <a:srgbClr val="E36729"/>
            </a:solidFill>
            <a:ln w="23376">
              <a:noFill/>
            </a:ln>
          </c:spPr>
          <c:invertIfNegative val="0"/>
          <c:cat>
            <c:strRef>
              <c:f>'Место и роль в регионе и РФ'!$B$43:$K$43</c:f>
              <c:strCache>
                <c:ptCount val="10"/>
                <c:pt idx="0">
                  <c:v>2015 г.</c:v>
                </c:pt>
                <c:pt idx="1">
                  <c:v>2016 г.</c:v>
                </c:pt>
                <c:pt idx="2">
                  <c:v>2017 г.</c:v>
                </c:pt>
                <c:pt idx="3">
                  <c:v>2018 г.</c:v>
                </c:pt>
                <c:pt idx="4">
                  <c:v>2019 г.</c:v>
                </c:pt>
                <c:pt idx="5">
                  <c:v>2020 г.</c:v>
                </c:pt>
                <c:pt idx="6">
                  <c:v>2021 г.</c:v>
                </c:pt>
                <c:pt idx="7">
                  <c:v>2022 г.</c:v>
                </c:pt>
                <c:pt idx="8">
                  <c:v>2023 г.</c:v>
                </c:pt>
                <c:pt idx="9">
                  <c:v>2024 г.</c:v>
                </c:pt>
              </c:strCache>
            </c:strRef>
          </c:cat>
          <c:val>
            <c:numRef>
              <c:f>'Место и роль в регионе и РФ'!$B$45:$K$45</c:f>
              <c:numCache>
                <c:formatCode>General</c:formatCode>
                <c:ptCount val="10"/>
                <c:pt idx="0">
                  <c:v>608.6</c:v>
                </c:pt>
                <c:pt idx="1">
                  <c:v>480.8</c:v>
                </c:pt>
                <c:pt idx="2">
                  <c:v>381.8</c:v>
                </c:pt>
                <c:pt idx="3" formatCode="0.0">
                  <c:v>520.32099999999991</c:v>
                </c:pt>
                <c:pt idx="4" formatCode="0.0">
                  <c:v>482.245</c:v>
                </c:pt>
                <c:pt idx="5" formatCode="0.0">
                  <c:v>547.22</c:v>
                </c:pt>
                <c:pt idx="6" formatCode="0.0">
                  <c:v>685.70799999999997</c:v>
                </c:pt>
                <c:pt idx="7" formatCode="0.0">
                  <c:v>567.51300000000003</c:v>
                </c:pt>
                <c:pt idx="8">
                  <c:v>520.79999999999995</c:v>
                </c:pt>
                <c:pt idx="9">
                  <c:v>460.7</c:v>
                </c:pt>
              </c:numCache>
            </c:numRef>
          </c:val>
        </c:ser>
        <c:dLbls>
          <c:showLegendKey val="0"/>
          <c:showVal val="0"/>
          <c:showCatName val="0"/>
          <c:showSerName val="0"/>
          <c:showPercent val="0"/>
          <c:showBubbleSize val="0"/>
        </c:dLbls>
        <c:gapWidth val="150"/>
        <c:axId val="608424392"/>
        <c:axId val="608424784"/>
      </c:barChart>
      <c:lineChart>
        <c:grouping val="standard"/>
        <c:varyColors val="0"/>
        <c:ser>
          <c:idx val="2"/>
          <c:order val="2"/>
          <c:tx>
            <c:strRef>
              <c:f>'Место и роль в регионе и РФ'!$A$46</c:f>
              <c:strCache>
                <c:ptCount val="1"/>
                <c:pt idx="0">
                  <c:v>Доля г. Барнаула от уровня Алтайского края, %</c:v>
                </c:pt>
              </c:strCache>
            </c:strRef>
          </c:tx>
          <c:spPr>
            <a:ln w="26298" cap="rnd">
              <a:solidFill>
                <a:srgbClr val="6F94C0"/>
              </a:solidFill>
              <a:round/>
            </a:ln>
            <a:effectLst/>
          </c:spPr>
          <c:marker>
            <c:symbol val="none"/>
          </c:marker>
          <c:dLbls>
            <c:dLbl>
              <c:idx val="0"/>
              <c:layout>
                <c:manualLayout>
                  <c:x val="-3.6481000000000041E-2"/>
                  <c:y val="-4.5138999999999999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2.3605000000000011E-2"/>
                  <c:y val="-3.8193999999999999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3.0043000000000025E-2"/>
                  <c:y val="-4.5138999999999999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2.7897000000000022E-2"/>
                  <c:y val="-4.1667000000000003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3.2189000000000002E-2"/>
                  <c:y val="-3.4722000000000003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3.8627000000000002E-2"/>
                  <c:y val="-4.1667000000000003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3.4334999999999997E-2"/>
                  <c:y val="-2.7778000000000011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3.4334999999999997E-2"/>
                  <c:y val="-4.1667000000000003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8"/>
              <c:layout>
                <c:manualLayout>
                  <c:x val="-1.9313000000000007E-2"/>
                  <c:y val="-2.7778000000000011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9"/>
              <c:layout>
                <c:manualLayout>
                  <c:x val="-1.5021000000000001E-2"/>
                  <c:y val="-2.4305999999999998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w="23376">
                <a:noFill/>
              </a:ln>
            </c:spPr>
            <c:txPr>
              <a:bodyPr rot="0" vert="horz"/>
              <a:lstStyle/>
              <a:p>
                <a:pPr>
                  <a:defRPr>
                    <a:latin typeface="PT Astra Serif" pitchFamily="18" charset="-52"/>
                    <a:ea typeface="PT Astra Serif" pitchFamily="18" charset="-52"/>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'Место и роль в регионе и РФ'!$B$43:$K$43</c:f>
              <c:strCache>
                <c:ptCount val="10"/>
                <c:pt idx="0">
                  <c:v>2015 г.</c:v>
                </c:pt>
                <c:pt idx="1">
                  <c:v>2016 г.</c:v>
                </c:pt>
                <c:pt idx="2">
                  <c:v>2017 г.</c:v>
                </c:pt>
                <c:pt idx="3">
                  <c:v>2018 г.</c:v>
                </c:pt>
                <c:pt idx="4">
                  <c:v>2019 г.</c:v>
                </c:pt>
                <c:pt idx="5">
                  <c:v>2020 г.</c:v>
                </c:pt>
                <c:pt idx="6">
                  <c:v>2021 г.</c:v>
                </c:pt>
                <c:pt idx="7">
                  <c:v>2022 г.</c:v>
                </c:pt>
                <c:pt idx="8">
                  <c:v>2023 г.</c:v>
                </c:pt>
                <c:pt idx="9">
                  <c:v>2024 г.</c:v>
                </c:pt>
              </c:strCache>
            </c:strRef>
          </c:cat>
          <c:val>
            <c:numRef>
              <c:f>'Место и роль в регионе и РФ'!$B$46:$K$46</c:f>
              <c:numCache>
                <c:formatCode>0%</c:formatCode>
                <c:ptCount val="10"/>
                <c:pt idx="0">
                  <c:v>0.68382022471910131</c:v>
                </c:pt>
                <c:pt idx="1">
                  <c:v>0.63732767762460263</c:v>
                </c:pt>
                <c:pt idx="2">
                  <c:v>0.60612795681854281</c:v>
                </c:pt>
                <c:pt idx="3">
                  <c:v>0.66190179366492841</c:v>
                </c:pt>
                <c:pt idx="4">
                  <c:v>0.63645902072060179</c:v>
                </c:pt>
                <c:pt idx="5">
                  <c:v>0.66225341885513755</c:v>
                </c:pt>
                <c:pt idx="6">
                  <c:v>0.69354505916860532</c:v>
                </c:pt>
                <c:pt idx="7">
                  <c:v>0.61465720784143851</c:v>
                </c:pt>
                <c:pt idx="8">
                  <c:v>0.55064495665045476</c:v>
                </c:pt>
                <c:pt idx="9">
                  <c:v>0.52627370344985158</c:v>
                </c:pt>
              </c:numCache>
            </c:numRef>
          </c:val>
          <c:smooth val="0"/>
        </c:ser>
        <c:dLbls>
          <c:showLegendKey val="0"/>
          <c:showVal val="0"/>
          <c:showCatName val="0"/>
          <c:showSerName val="0"/>
          <c:showPercent val="0"/>
          <c:showBubbleSize val="0"/>
        </c:dLbls>
        <c:marker val="1"/>
        <c:smooth val="0"/>
        <c:axId val="608425176"/>
        <c:axId val="608425568"/>
      </c:lineChart>
      <c:catAx>
        <c:axId val="608424392"/>
        <c:scaling>
          <c:orientation val="minMax"/>
        </c:scaling>
        <c:delete val="0"/>
        <c:axPos val="b"/>
        <c:numFmt formatCode="General" sourceLinked="1"/>
        <c:majorTickMark val="none"/>
        <c:minorTickMark val="none"/>
        <c:tickLblPos val="nextTo"/>
        <c:spPr>
          <a:noFill/>
          <a:ln w="8766" cap="flat" cmpd="sng" algn="ctr">
            <a:solidFill>
              <a:schemeClr val="tx1">
                <a:lumMod val="15000"/>
                <a:lumOff val="85000"/>
              </a:schemeClr>
            </a:solidFill>
            <a:round/>
          </a:ln>
          <a:effectLst/>
        </c:spPr>
        <c:txPr>
          <a:bodyPr rot="-60000000" vert="horz"/>
          <a:lstStyle/>
          <a:p>
            <a:pPr>
              <a:defRPr>
                <a:latin typeface="PT Astra Serif" pitchFamily="18" charset="-52"/>
                <a:ea typeface="PT Astra Serif" pitchFamily="18" charset="-52"/>
              </a:defRPr>
            </a:pPr>
            <a:endParaRPr lang="ru-RU"/>
          </a:p>
        </c:txPr>
        <c:crossAx val="608424784"/>
        <c:crosses val="autoZero"/>
        <c:auto val="1"/>
        <c:lblAlgn val="ctr"/>
        <c:lblOffset val="100"/>
        <c:noMultiLvlLbl val="0"/>
      </c:catAx>
      <c:valAx>
        <c:axId val="608424784"/>
        <c:scaling>
          <c:orientation val="minMax"/>
        </c:scaling>
        <c:delete val="0"/>
        <c:axPos val="l"/>
        <c:majorGridlines>
          <c:spPr>
            <a:ln w="8766" cap="flat" cmpd="sng" algn="ctr">
              <a:solidFill>
                <a:schemeClr val="tx1">
                  <a:lumMod val="15000"/>
                  <a:lumOff val="85000"/>
                </a:schemeClr>
              </a:solidFill>
              <a:round/>
            </a:ln>
            <a:effectLst/>
          </c:spPr>
        </c:majorGridlines>
        <c:numFmt formatCode="General" sourceLinked="1"/>
        <c:majorTickMark val="none"/>
        <c:minorTickMark val="none"/>
        <c:tickLblPos val="nextTo"/>
        <c:spPr>
          <a:ln w="11688">
            <a:noFill/>
          </a:ln>
        </c:spPr>
        <c:txPr>
          <a:bodyPr rot="-60000000" vert="horz"/>
          <a:lstStyle/>
          <a:p>
            <a:pPr>
              <a:defRPr>
                <a:latin typeface="PT Astra Serif" pitchFamily="18" charset="-52"/>
                <a:ea typeface="PT Astra Serif" pitchFamily="18" charset="-52"/>
              </a:defRPr>
            </a:pPr>
            <a:endParaRPr lang="ru-RU"/>
          </a:p>
        </c:txPr>
        <c:crossAx val="608424392"/>
        <c:crosses val="autoZero"/>
        <c:crossBetween val="between"/>
      </c:valAx>
      <c:catAx>
        <c:axId val="608425176"/>
        <c:scaling>
          <c:orientation val="minMax"/>
        </c:scaling>
        <c:delete val="1"/>
        <c:axPos val="b"/>
        <c:numFmt formatCode="General" sourceLinked="1"/>
        <c:majorTickMark val="out"/>
        <c:minorTickMark val="none"/>
        <c:tickLblPos val="none"/>
        <c:crossAx val="608425568"/>
        <c:crosses val="autoZero"/>
        <c:auto val="1"/>
        <c:lblAlgn val="ctr"/>
        <c:lblOffset val="100"/>
        <c:noMultiLvlLbl val="0"/>
      </c:catAx>
      <c:valAx>
        <c:axId val="608425568"/>
        <c:scaling>
          <c:orientation val="minMax"/>
        </c:scaling>
        <c:delete val="0"/>
        <c:axPos val="r"/>
        <c:numFmt formatCode="0%" sourceLinked="1"/>
        <c:majorTickMark val="none"/>
        <c:minorTickMark val="none"/>
        <c:tickLblPos val="nextTo"/>
        <c:spPr>
          <a:ln w="11688">
            <a:noFill/>
          </a:ln>
        </c:spPr>
        <c:txPr>
          <a:bodyPr rot="-60000000" vert="horz"/>
          <a:lstStyle/>
          <a:p>
            <a:pPr>
              <a:defRPr>
                <a:latin typeface="PT Astra Serif" pitchFamily="18" charset="-52"/>
                <a:ea typeface="PT Astra Serif" pitchFamily="18" charset="-52"/>
              </a:defRPr>
            </a:pPr>
            <a:endParaRPr lang="ru-RU"/>
          </a:p>
        </c:txPr>
        <c:crossAx val="608425176"/>
        <c:crosses val="max"/>
        <c:crossBetween val="between"/>
      </c:valAx>
      <c:spPr>
        <a:noFill/>
        <a:ln w="23376">
          <a:noFill/>
        </a:ln>
      </c:spPr>
    </c:plotArea>
    <c:legend>
      <c:legendPos val="b"/>
      <c:layout>
        <c:manualLayout>
          <c:xMode val="edge"/>
          <c:yMode val="edge"/>
          <c:x val="3.0506213946487181E-2"/>
          <c:y val="0.75426372969201627"/>
          <c:w val="0.94374037183646053"/>
          <c:h val="0.21743420047177647"/>
        </c:manualLayout>
      </c:layout>
      <c:overlay val="0"/>
      <c:spPr>
        <a:noFill/>
        <a:ln w="23376">
          <a:noFill/>
        </a:ln>
      </c:spPr>
      <c:txPr>
        <a:bodyPr rot="0" vert="horz"/>
        <a:lstStyle/>
        <a:p>
          <a:pPr>
            <a:defRPr>
              <a:latin typeface="PT Astra Serif" pitchFamily="18" charset="-52"/>
              <a:ea typeface="PT Astra Serif" pitchFamily="18" charset="-52"/>
            </a:defRPr>
          </a:pPr>
          <a:endParaRPr lang="ru-RU"/>
        </a:p>
      </c:txPr>
    </c:legend>
    <c:plotVisOnly val="1"/>
    <c:dispBlanksAs val="gap"/>
    <c:showDLblsOverMax val="0"/>
  </c:chart>
  <c:spPr>
    <a:solidFill>
      <a:schemeClr val="bg1"/>
    </a:solidFill>
    <a:ln>
      <a:noFill/>
    </a:ln>
    <a:effectLst/>
  </c:spPr>
  <c:txPr>
    <a:bodyPr/>
    <a:lstStyle/>
    <a:p>
      <a:pPr>
        <a:defRPr sz="828">
          <a:solidFill>
            <a:sysClr val="windowText" lastClr="000000"/>
          </a:solidFill>
          <a:latin typeface="Times New Roman"/>
          <a:cs typeface="Times New Roman"/>
        </a:defRPr>
      </a:pPr>
      <a:endParaRPr lang="ru-RU"/>
    </a:p>
  </c:txPr>
  <c:externalData r:id="rId2">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1763495938156692E-2"/>
          <c:y val="6.25E-2"/>
          <c:w val="0.82484546876931242"/>
          <c:h val="0.75420978627671564"/>
        </c:manualLayout>
      </c:layout>
      <c:barChart>
        <c:barDir val="col"/>
        <c:grouping val="clustered"/>
        <c:varyColors val="0"/>
        <c:ser>
          <c:idx val="0"/>
          <c:order val="0"/>
          <c:tx>
            <c:strRef>
              <c:f>'Место и роль в регионе и РФ'!$A$64</c:f>
              <c:strCache>
                <c:ptCount val="1"/>
                <c:pt idx="0">
                  <c:v>Алтайский край</c:v>
                </c:pt>
              </c:strCache>
            </c:strRef>
          </c:tx>
          <c:spPr>
            <a:solidFill>
              <a:srgbClr val="002060"/>
            </a:solidFill>
            <a:ln w="23121">
              <a:noFill/>
            </a:ln>
          </c:spPr>
          <c:invertIfNegative val="0"/>
          <c:cat>
            <c:strRef>
              <c:f>'Место и роль в регионе и РФ'!$B$63:$I$63</c:f>
              <c:strCache>
                <c:ptCount val="8"/>
                <c:pt idx="0">
                  <c:v>2017 г.</c:v>
                </c:pt>
                <c:pt idx="1">
                  <c:v>2018 г.</c:v>
                </c:pt>
                <c:pt idx="2">
                  <c:v>2019 г.</c:v>
                </c:pt>
                <c:pt idx="3">
                  <c:v>2020 г.</c:v>
                </c:pt>
                <c:pt idx="4">
                  <c:v>2021 г.</c:v>
                </c:pt>
                <c:pt idx="5">
                  <c:v>2022 г.</c:v>
                </c:pt>
                <c:pt idx="6">
                  <c:v>2023 г.</c:v>
                </c:pt>
                <c:pt idx="7">
                  <c:v>2024 г.</c:v>
                </c:pt>
              </c:strCache>
            </c:strRef>
          </c:cat>
          <c:val>
            <c:numRef>
              <c:f>'Место и роль в регионе и РФ'!$B$64:$I$64</c:f>
              <c:numCache>
                <c:formatCode>0</c:formatCode>
                <c:ptCount val="8"/>
                <c:pt idx="0">
                  <c:v>47046.061999999998</c:v>
                </c:pt>
                <c:pt idx="1">
                  <c:v>60825.273999999998</c:v>
                </c:pt>
                <c:pt idx="2">
                  <c:v>63739.557000000001</c:v>
                </c:pt>
                <c:pt idx="3">
                  <c:v>69959.199999999997</c:v>
                </c:pt>
                <c:pt idx="4">
                  <c:v>68657.955000000002</c:v>
                </c:pt>
                <c:pt idx="5">
                  <c:v>81568.225000000006</c:v>
                </c:pt>
                <c:pt idx="6">
                  <c:v>100667.731</c:v>
                </c:pt>
                <c:pt idx="7">
                  <c:v>129298.985</c:v>
                </c:pt>
              </c:numCache>
            </c:numRef>
          </c:val>
        </c:ser>
        <c:ser>
          <c:idx val="1"/>
          <c:order val="1"/>
          <c:tx>
            <c:strRef>
              <c:f>'Место и роль в регионе и РФ'!$A$65</c:f>
              <c:strCache>
                <c:ptCount val="1"/>
                <c:pt idx="0">
                  <c:v>г. Барнаул</c:v>
                </c:pt>
              </c:strCache>
            </c:strRef>
          </c:tx>
          <c:spPr>
            <a:solidFill>
              <a:srgbClr val="E36729"/>
            </a:solidFill>
            <a:ln w="23121">
              <a:noFill/>
            </a:ln>
          </c:spPr>
          <c:invertIfNegative val="0"/>
          <c:cat>
            <c:strRef>
              <c:f>'Место и роль в регионе и РФ'!$B$63:$I$63</c:f>
              <c:strCache>
                <c:ptCount val="8"/>
                <c:pt idx="0">
                  <c:v>2017 г.</c:v>
                </c:pt>
                <c:pt idx="1">
                  <c:v>2018 г.</c:v>
                </c:pt>
                <c:pt idx="2">
                  <c:v>2019 г.</c:v>
                </c:pt>
                <c:pt idx="3">
                  <c:v>2020 г.</c:v>
                </c:pt>
                <c:pt idx="4">
                  <c:v>2021 г.</c:v>
                </c:pt>
                <c:pt idx="5">
                  <c:v>2022 г.</c:v>
                </c:pt>
                <c:pt idx="6">
                  <c:v>2023 г.</c:v>
                </c:pt>
                <c:pt idx="7">
                  <c:v>2024 г.</c:v>
                </c:pt>
              </c:strCache>
            </c:strRef>
          </c:cat>
          <c:val>
            <c:numRef>
              <c:f>'Место и роль в регионе и РФ'!$B$65:$I$65</c:f>
              <c:numCache>
                <c:formatCode>0</c:formatCode>
                <c:ptCount val="8"/>
                <c:pt idx="0">
                  <c:v>19929.03</c:v>
                </c:pt>
                <c:pt idx="1">
                  <c:v>30257.88</c:v>
                </c:pt>
                <c:pt idx="2">
                  <c:v>31269.58</c:v>
                </c:pt>
                <c:pt idx="3">
                  <c:v>34735.300000000003</c:v>
                </c:pt>
                <c:pt idx="4">
                  <c:v>31939.980000000003</c:v>
                </c:pt>
                <c:pt idx="5">
                  <c:v>33083.550000000003</c:v>
                </c:pt>
                <c:pt idx="6">
                  <c:v>44387.94</c:v>
                </c:pt>
                <c:pt idx="7">
                  <c:v>61610.123999999996</c:v>
                </c:pt>
              </c:numCache>
            </c:numRef>
          </c:val>
        </c:ser>
        <c:dLbls>
          <c:showLegendKey val="0"/>
          <c:showVal val="0"/>
          <c:showCatName val="0"/>
          <c:showSerName val="0"/>
          <c:showPercent val="0"/>
          <c:showBubbleSize val="0"/>
        </c:dLbls>
        <c:gapWidth val="150"/>
        <c:axId val="608426352"/>
        <c:axId val="608426744"/>
      </c:barChart>
      <c:lineChart>
        <c:grouping val="standard"/>
        <c:varyColors val="0"/>
        <c:ser>
          <c:idx val="2"/>
          <c:order val="2"/>
          <c:tx>
            <c:strRef>
              <c:f>'Место и роль в регионе и РФ'!$A$66</c:f>
              <c:strCache>
                <c:ptCount val="1"/>
                <c:pt idx="0">
                  <c:v>Доля г. Барнаула от уровня Алтайского края, %</c:v>
                </c:pt>
              </c:strCache>
            </c:strRef>
          </c:tx>
          <c:spPr>
            <a:ln w="26011" cap="rnd">
              <a:solidFill>
                <a:srgbClr val="6F94C0"/>
              </a:solidFill>
              <a:round/>
            </a:ln>
            <a:effectLst/>
          </c:spPr>
          <c:marker>
            <c:symbol val="none"/>
          </c:marker>
          <c:dLbls>
            <c:dLbl>
              <c:idx val="0"/>
              <c:layout>
                <c:manualLayout>
                  <c:x val="-3.7158000000000004E-2"/>
                  <c:y val="-5.5077000000000001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2.3781E-2"/>
                  <c:y val="-4.5498000000000031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5.9450000000000058E-3"/>
                  <c:y val="-5.0287000000000012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1.4862999999999999E-2"/>
                  <c:y val="-3.3524999999999978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1.6350000000000003E-2"/>
                  <c:y val="-3.8314000000000001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5.0535000000000004E-2"/>
                  <c:y val="-4.7893000000000061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5.499400000000005E-2"/>
                  <c:y val="-4.3103000000000002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1.9322000000000016E-2"/>
                  <c:y val="-4.0709000000000002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w="23121">
                <a:noFill/>
              </a:ln>
            </c:spPr>
            <c:txPr>
              <a:bodyPr rot="0" vert="horz"/>
              <a:lstStyle/>
              <a:p>
                <a:pPr>
                  <a:defRPr>
                    <a:latin typeface="PT Astra Serif" pitchFamily="18" charset="-52"/>
                    <a:ea typeface="PT Astra Serif" pitchFamily="18" charset="-52"/>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'Место и роль в регионе и РФ'!$B$63:$I$63</c:f>
              <c:strCache>
                <c:ptCount val="8"/>
                <c:pt idx="0">
                  <c:v>2017 г.</c:v>
                </c:pt>
                <c:pt idx="1">
                  <c:v>2018 г.</c:v>
                </c:pt>
                <c:pt idx="2">
                  <c:v>2019 г.</c:v>
                </c:pt>
                <c:pt idx="3">
                  <c:v>2020 г.</c:v>
                </c:pt>
                <c:pt idx="4">
                  <c:v>2021 г.</c:v>
                </c:pt>
                <c:pt idx="5">
                  <c:v>2022 г.</c:v>
                </c:pt>
                <c:pt idx="6">
                  <c:v>2023 г.</c:v>
                </c:pt>
                <c:pt idx="7">
                  <c:v>2024 г.</c:v>
                </c:pt>
              </c:strCache>
            </c:strRef>
          </c:cat>
          <c:val>
            <c:numRef>
              <c:f>'Место и роль в регионе и РФ'!$B$66:$I$66</c:f>
              <c:numCache>
                <c:formatCode>0.0%</c:formatCode>
                <c:ptCount val="8"/>
                <c:pt idx="0">
                  <c:v>0.42360676224080146</c:v>
                </c:pt>
                <c:pt idx="1">
                  <c:v>0.49745571224224994</c:v>
                </c:pt>
                <c:pt idx="2">
                  <c:v>0.49058357904809424</c:v>
                </c:pt>
                <c:pt idx="3">
                  <c:v>0.49650796464224878</c:v>
                </c:pt>
                <c:pt idx="4">
                  <c:v>0.46520435978613106</c:v>
                </c:pt>
                <c:pt idx="5">
                  <c:v>0.40559359971361397</c:v>
                </c:pt>
                <c:pt idx="6">
                  <c:v>0.4409351393844369</c:v>
                </c:pt>
                <c:pt idx="7">
                  <c:v>0.47649348523501567</c:v>
                </c:pt>
              </c:numCache>
            </c:numRef>
          </c:val>
          <c:smooth val="0"/>
        </c:ser>
        <c:dLbls>
          <c:showLegendKey val="0"/>
          <c:showVal val="0"/>
          <c:showCatName val="0"/>
          <c:showSerName val="0"/>
          <c:showPercent val="0"/>
          <c:showBubbleSize val="0"/>
        </c:dLbls>
        <c:marker val="1"/>
        <c:smooth val="0"/>
        <c:axId val="608427136"/>
        <c:axId val="608427528"/>
      </c:lineChart>
      <c:catAx>
        <c:axId val="608426352"/>
        <c:scaling>
          <c:orientation val="minMax"/>
        </c:scaling>
        <c:delete val="0"/>
        <c:axPos val="b"/>
        <c:numFmt formatCode="General" sourceLinked="1"/>
        <c:majorTickMark val="none"/>
        <c:minorTickMark val="none"/>
        <c:tickLblPos val="nextTo"/>
        <c:spPr>
          <a:noFill/>
          <a:ln w="8670" cap="flat" cmpd="sng" algn="ctr">
            <a:solidFill>
              <a:schemeClr val="tx1">
                <a:lumMod val="15000"/>
                <a:lumOff val="85000"/>
              </a:schemeClr>
            </a:solidFill>
            <a:round/>
          </a:ln>
          <a:effectLst/>
        </c:spPr>
        <c:txPr>
          <a:bodyPr rot="-60000000" vert="horz"/>
          <a:lstStyle/>
          <a:p>
            <a:pPr>
              <a:defRPr>
                <a:latin typeface="PT Astra Serif" pitchFamily="18" charset="-52"/>
                <a:ea typeface="PT Astra Serif" pitchFamily="18" charset="-52"/>
              </a:defRPr>
            </a:pPr>
            <a:endParaRPr lang="ru-RU"/>
          </a:p>
        </c:txPr>
        <c:crossAx val="608426744"/>
        <c:crosses val="autoZero"/>
        <c:auto val="1"/>
        <c:lblAlgn val="ctr"/>
        <c:lblOffset val="100"/>
        <c:noMultiLvlLbl val="0"/>
      </c:catAx>
      <c:valAx>
        <c:axId val="608426744"/>
        <c:scaling>
          <c:orientation val="minMax"/>
        </c:scaling>
        <c:delete val="0"/>
        <c:axPos val="l"/>
        <c:majorGridlines>
          <c:spPr>
            <a:ln w="8670" cap="flat" cmpd="sng" algn="ctr">
              <a:solidFill>
                <a:schemeClr val="tx1">
                  <a:lumMod val="15000"/>
                  <a:lumOff val="85000"/>
                </a:schemeClr>
              </a:solidFill>
              <a:round/>
            </a:ln>
            <a:effectLst/>
          </c:spPr>
        </c:majorGridlines>
        <c:numFmt formatCode="0" sourceLinked="1"/>
        <c:majorTickMark val="none"/>
        <c:minorTickMark val="none"/>
        <c:tickLblPos val="nextTo"/>
        <c:spPr>
          <a:ln w="11560">
            <a:noFill/>
          </a:ln>
        </c:spPr>
        <c:txPr>
          <a:bodyPr rot="-60000000" vert="horz"/>
          <a:lstStyle/>
          <a:p>
            <a:pPr>
              <a:defRPr>
                <a:latin typeface="PT Astra Serif" pitchFamily="18" charset="-52"/>
                <a:ea typeface="PT Astra Serif" pitchFamily="18" charset="-52"/>
              </a:defRPr>
            </a:pPr>
            <a:endParaRPr lang="ru-RU"/>
          </a:p>
        </c:txPr>
        <c:crossAx val="608426352"/>
        <c:crosses val="autoZero"/>
        <c:crossBetween val="between"/>
      </c:valAx>
      <c:catAx>
        <c:axId val="608427136"/>
        <c:scaling>
          <c:orientation val="minMax"/>
        </c:scaling>
        <c:delete val="1"/>
        <c:axPos val="b"/>
        <c:numFmt formatCode="General" sourceLinked="1"/>
        <c:majorTickMark val="out"/>
        <c:minorTickMark val="none"/>
        <c:tickLblPos val="none"/>
        <c:crossAx val="608427528"/>
        <c:crosses val="autoZero"/>
        <c:auto val="1"/>
        <c:lblAlgn val="ctr"/>
        <c:lblOffset val="100"/>
        <c:noMultiLvlLbl val="0"/>
      </c:catAx>
      <c:valAx>
        <c:axId val="608427528"/>
        <c:scaling>
          <c:orientation val="minMax"/>
        </c:scaling>
        <c:delete val="0"/>
        <c:axPos val="r"/>
        <c:numFmt formatCode="0.0%" sourceLinked="1"/>
        <c:majorTickMark val="none"/>
        <c:minorTickMark val="none"/>
        <c:tickLblPos val="nextTo"/>
        <c:spPr>
          <a:ln w="11560">
            <a:noFill/>
          </a:ln>
        </c:spPr>
        <c:txPr>
          <a:bodyPr rot="-60000000" vert="horz"/>
          <a:lstStyle/>
          <a:p>
            <a:pPr>
              <a:defRPr>
                <a:latin typeface="PT Astra Serif" pitchFamily="18" charset="-52"/>
                <a:ea typeface="PT Astra Serif" pitchFamily="18" charset="-52"/>
              </a:defRPr>
            </a:pPr>
            <a:endParaRPr lang="ru-RU"/>
          </a:p>
        </c:txPr>
        <c:crossAx val="608427136"/>
        <c:crosses val="max"/>
        <c:crossBetween val="between"/>
      </c:valAx>
      <c:spPr>
        <a:noFill/>
        <a:ln w="23121">
          <a:noFill/>
        </a:ln>
      </c:spPr>
    </c:plotArea>
    <c:legend>
      <c:legendPos val="b"/>
      <c:layout/>
      <c:overlay val="0"/>
      <c:spPr>
        <a:noFill/>
        <a:ln w="23121">
          <a:noFill/>
        </a:ln>
      </c:spPr>
      <c:txPr>
        <a:bodyPr rot="0" vert="horz"/>
        <a:lstStyle/>
        <a:p>
          <a:pPr>
            <a:defRPr>
              <a:latin typeface="PT Astra Serif" pitchFamily="18" charset="-52"/>
              <a:ea typeface="PT Astra Serif" pitchFamily="18" charset="-52"/>
            </a:defRPr>
          </a:pPr>
          <a:endParaRPr lang="ru-RU"/>
        </a:p>
      </c:txPr>
    </c:legend>
    <c:plotVisOnly val="1"/>
    <c:dispBlanksAs val="gap"/>
    <c:showDLblsOverMax val="0"/>
  </c:chart>
  <c:spPr>
    <a:solidFill>
      <a:schemeClr val="bg1"/>
    </a:solidFill>
    <a:ln>
      <a:noFill/>
    </a:ln>
    <a:effectLst/>
  </c:spPr>
  <c:txPr>
    <a:bodyPr/>
    <a:lstStyle/>
    <a:p>
      <a:pPr>
        <a:defRPr sz="819">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Лист6!$B$194</c:f>
              <c:strCache>
                <c:ptCount val="1"/>
                <c:pt idx="0">
                  <c:v>Внутрирегиональная</c:v>
                </c:pt>
              </c:strCache>
            </c:strRef>
          </c:tx>
          <c:spPr>
            <a:solidFill>
              <a:srgbClr val="002060"/>
            </a:solidFill>
            <a:ln>
              <a:noFill/>
            </a:ln>
            <a:effectLst/>
          </c:spPr>
          <c:invertIfNegative val="0"/>
          <c:cat>
            <c:strRef>
              <c:f>Лист6!$A$195:$A$211</c:f>
              <c:strCache>
                <c:ptCount val="17"/>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c:v>
                </c:pt>
              </c:strCache>
            </c:strRef>
          </c:cat>
          <c:val>
            <c:numRef>
              <c:f>Лист6!$B$195:$B$211</c:f>
              <c:numCache>
                <c:formatCode>General</c:formatCode>
                <c:ptCount val="17"/>
                <c:pt idx="0">
                  <c:v>-149</c:v>
                </c:pt>
                <c:pt idx="1">
                  <c:v>330</c:v>
                </c:pt>
                <c:pt idx="2">
                  <c:v>310</c:v>
                </c:pt>
                <c:pt idx="3">
                  <c:v>4481</c:v>
                </c:pt>
                <c:pt idx="4">
                  <c:v>-2795</c:v>
                </c:pt>
                <c:pt idx="5">
                  <c:v>1325</c:v>
                </c:pt>
                <c:pt idx="6">
                  <c:v>639</c:v>
                </c:pt>
                <c:pt idx="7">
                  <c:v>-18</c:v>
                </c:pt>
                <c:pt idx="8">
                  <c:v>-14</c:v>
                </c:pt>
                <c:pt idx="9">
                  <c:v>-89</c:v>
                </c:pt>
                <c:pt idx="10">
                  <c:v>-168</c:v>
                </c:pt>
                <c:pt idx="11">
                  <c:v>-123</c:v>
                </c:pt>
                <c:pt idx="12">
                  <c:v>35</c:v>
                </c:pt>
                <c:pt idx="13">
                  <c:v>129</c:v>
                </c:pt>
                <c:pt idx="14">
                  <c:v>158</c:v>
                </c:pt>
                <c:pt idx="15">
                  <c:v>83</c:v>
                </c:pt>
                <c:pt idx="16">
                  <c:v>169</c:v>
                </c:pt>
              </c:numCache>
            </c:numRef>
          </c:val>
        </c:ser>
        <c:ser>
          <c:idx val="1"/>
          <c:order val="1"/>
          <c:tx>
            <c:strRef>
              <c:f>Лист6!$C$194</c:f>
              <c:strCache>
                <c:ptCount val="1"/>
                <c:pt idx="0">
                  <c:v>Межрегиональная</c:v>
                </c:pt>
              </c:strCache>
            </c:strRef>
          </c:tx>
          <c:spPr>
            <a:solidFill>
              <a:srgbClr val="6F94C0"/>
            </a:solidFill>
            <a:ln>
              <a:noFill/>
            </a:ln>
            <a:effectLst/>
          </c:spPr>
          <c:invertIfNegative val="0"/>
          <c:cat>
            <c:strRef>
              <c:f>Лист6!$A$195:$A$211</c:f>
              <c:strCache>
                <c:ptCount val="17"/>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c:v>
                </c:pt>
              </c:strCache>
            </c:strRef>
          </c:cat>
          <c:val>
            <c:numRef>
              <c:f>Лист6!$C$195:$C$211</c:f>
              <c:numCache>
                <c:formatCode>General</c:formatCode>
                <c:ptCount val="17"/>
                <c:pt idx="0">
                  <c:v>-862</c:v>
                </c:pt>
                <c:pt idx="1">
                  <c:v>-819</c:v>
                </c:pt>
                <c:pt idx="2">
                  <c:v>-581</c:v>
                </c:pt>
                <c:pt idx="3">
                  <c:v>-1028</c:v>
                </c:pt>
                <c:pt idx="4">
                  <c:v>-665</c:v>
                </c:pt>
                <c:pt idx="5">
                  <c:v>-1282</c:v>
                </c:pt>
                <c:pt idx="6">
                  <c:v>-1489</c:v>
                </c:pt>
                <c:pt idx="7">
                  <c:v>-1082</c:v>
                </c:pt>
                <c:pt idx="8">
                  <c:v>-696</c:v>
                </c:pt>
                <c:pt idx="9">
                  <c:v>-573</c:v>
                </c:pt>
                <c:pt idx="10">
                  <c:v>-433</c:v>
                </c:pt>
                <c:pt idx="11">
                  <c:v>-294</c:v>
                </c:pt>
                <c:pt idx="12">
                  <c:v>-172</c:v>
                </c:pt>
                <c:pt idx="13">
                  <c:v>-155</c:v>
                </c:pt>
                <c:pt idx="14">
                  <c:v>-81</c:v>
                </c:pt>
                <c:pt idx="15">
                  <c:v>-56</c:v>
                </c:pt>
                <c:pt idx="16">
                  <c:v>-44</c:v>
                </c:pt>
              </c:numCache>
            </c:numRef>
          </c:val>
        </c:ser>
        <c:ser>
          <c:idx val="2"/>
          <c:order val="2"/>
          <c:tx>
            <c:strRef>
              <c:f>Лист6!$D$194</c:f>
              <c:strCache>
                <c:ptCount val="1"/>
                <c:pt idx="0">
                  <c:v>Международная</c:v>
                </c:pt>
              </c:strCache>
            </c:strRef>
          </c:tx>
          <c:spPr>
            <a:solidFill>
              <a:schemeClr val="accent5">
                <a:lumMod val="20000"/>
                <a:lumOff val="80000"/>
              </a:schemeClr>
            </a:solidFill>
            <a:ln>
              <a:solidFill>
                <a:srgbClr val="6F94C0"/>
              </a:solidFill>
            </a:ln>
            <a:effectLst/>
          </c:spPr>
          <c:invertIfNegative val="0"/>
          <c:cat>
            <c:strRef>
              <c:f>Лист6!$A$195:$A$211</c:f>
              <c:strCache>
                <c:ptCount val="17"/>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c:v>
                </c:pt>
              </c:strCache>
            </c:strRef>
          </c:cat>
          <c:val>
            <c:numRef>
              <c:f>Лист6!$D$195:$D$211</c:f>
              <c:numCache>
                <c:formatCode>General</c:formatCode>
                <c:ptCount val="17"/>
                <c:pt idx="0">
                  <c:v>385</c:v>
                </c:pt>
                <c:pt idx="1">
                  <c:v>384</c:v>
                </c:pt>
                <c:pt idx="2">
                  <c:v>275</c:v>
                </c:pt>
                <c:pt idx="3">
                  <c:v>836</c:v>
                </c:pt>
                <c:pt idx="4">
                  <c:v>-277</c:v>
                </c:pt>
                <c:pt idx="5">
                  <c:v>25</c:v>
                </c:pt>
                <c:pt idx="6">
                  <c:v>109</c:v>
                </c:pt>
                <c:pt idx="7">
                  <c:v>191</c:v>
                </c:pt>
                <c:pt idx="8">
                  <c:v>68</c:v>
                </c:pt>
                <c:pt idx="9">
                  <c:v>171</c:v>
                </c:pt>
                <c:pt idx="10">
                  <c:v>64</c:v>
                </c:pt>
                <c:pt idx="11">
                  <c:v>96</c:v>
                </c:pt>
                <c:pt idx="12">
                  <c:v>119</c:v>
                </c:pt>
                <c:pt idx="13">
                  <c:v>88</c:v>
                </c:pt>
                <c:pt idx="14">
                  <c:v>-14</c:v>
                </c:pt>
                <c:pt idx="15">
                  <c:v>23</c:v>
                </c:pt>
                <c:pt idx="16">
                  <c:v>3</c:v>
                </c:pt>
              </c:numCache>
            </c:numRef>
          </c:val>
        </c:ser>
        <c:dLbls>
          <c:showLegendKey val="0"/>
          <c:showVal val="0"/>
          <c:showCatName val="0"/>
          <c:showSerName val="0"/>
          <c:showPercent val="0"/>
          <c:showBubbleSize val="0"/>
        </c:dLbls>
        <c:gapWidth val="35"/>
        <c:overlap val="100"/>
        <c:axId val="504625352"/>
        <c:axId val="504625744"/>
      </c:barChart>
      <c:catAx>
        <c:axId val="504625352"/>
        <c:scaling>
          <c:orientation val="minMax"/>
        </c:scaling>
        <c:delete val="0"/>
        <c:axPos val="b"/>
        <c:numFmt formatCode="General" sourceLinked="1"/>
        <c:majorTickMark val="none"/>
        <c:minorTickMark val="none"/>
        <c:tickLblPos val="nextTo"/>
        <c:spPr>
          <a:noFill/>
          <a:ln w="9524"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baseline="0">
                <a:solidFill>
                  <a:schemeClr val="tx1">
                    <a:lumMod val="65000"/>
                    <a:lumOff val="35000"/>
                  </a:schemeClr>
                </a:solidFill>
                <a:latin typeface="Times New Roman"/>
                <a:ea typeface="+mn-ea"/>
                <a:cs typeface="Times New Roman"/>
              </a:defRPr>
            </a:pPr>
            <a:endParaRPr lang="ru-RU"/>
          </a:p>
        </c:txPr>
        <c:crossAx val="504625744"/>
        <c:crosses val="autoZero"/>
        <c:auto val="1"/>
        <c:lblAlgn val="ctr"/>
        <c:lblOffset val="100"/>
        <c:noMultiLvlLbl val="0"/>
      </c:catAx>
      <c:valAx>
        <c:axId val="504625744"/>
        <c:scaling>
          <c:orientation val="minMax"/>
        </c:scaling>
        <c:delete val="0"/>
        <c:axPos val="l"/>
        <c:majorGridlines>
          <c:spPr>
            <a:ln w="9524"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baseline="0">
                <a:solidFill>
                  <a:schemeClr val="tx1">
                    <a:lumMod val="65000"/>
                    <a:lumOff val="35000"/>
                  </a:schemeClr>
                </a:solidFill>
                <a:latin typeface="Times New Roman"/>
                <a:ea typeface="+mn-ea"/>
                <a:cs typeface="Times New Roman"/>
              </a:defRPr>
            </a:pPr>
            <a:endParaRPr lang="ru-RU"/>
          </a:p>
        </c:txPr>
        <c:crossAx val="504625352"/>
        <c:crosses val="autoZero"/>
        <c:crossBetween val="between"/>
      </c:valAx>
      <c:spPr>
        <a:noFill/>
        <a:ln w="25398">
          <a:noFill/>
        </a:ln>
      </c:spPr>
    </c:plotArea>
    <c:legend>
      <c:legendPos val="b"/>
      <c:layout/>
      <c:overlay val="0"/>
      <c:spPr>
        <a:noFill/>
        <a:ln>
          <a:noFill/>
        </a:ln>
        <a:effectLst/>
      </c:spPr>
      <c:txPr>
        <a:bodyPr rot="0" spcFirstLastPara="1" vertOverflow="ellipsis" vert="horz" wrap="square" anchor="ctr" anchorCtr="1"/>
        <a:lstStyle/>
        <a:p>
          <a:pPr>
            <a:defRPr sz="800" b="0" i="0" u="none" strike="noStrike" baseline="0">
              <a:solidFill>
                <a:schemeClr val="tx1">
                  <a:lumMod val="65000"/>
                  <a:lumOff val="35000"/>
                </a:schemeClr>
              </a:solidFill>
              <a:latin typeface="Times New Roman"/>
              <a:ea typeface="+mn-ea"/>
              <a:cs typeface="Times New Roman"/>
            </a:defRPr>
          </a:pPr>
          <a:endParaRPr lang="ru-RU"/>
        </a:p>
      </c:txPr>
    </c:legend>
    <c:plotVisOnly val="1"/>
    <c:dispBlanksAs val="gap"/>
    <c:showDLblsOverMax val="0"/>
  </c:chart>
  <c:spPr>
    <a:solidFill>
      <a:schemeClr val="bg1"/>
    </a:solidFill>
    <a:ln>
      <a:noFill/>
    </a:ln>
    <a:effectLst/>
  </c:spPr>
  <c:txPr>
    <a:bodyPr/>
    <a:lstStyle/>
    <a:p>
      <a:pPr>
        <a:defRPr sz="800">
          <a:latin typeface="Times New Roman"/>
          <a:cs typeface="Times New Roman"/>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Лист6!$B$214</c:f>
              <c:strCache>
                <c:ptCount val="1"/>
                <c:pt idx="0">
                  <c:v>Внутрирегиональная</c:v>
                </c:pt>
              </c:strCache>
            </c:strRef>
          </c:tx>
          <c:spPr>
            <a:solidFill>
              <a:schemeClr val="accent2">
                <a:lumMod val="75000"/>
              </a:schemeClr>
            </a:solidFill>
            <a:ln>
              <a:noFill/>
            </a:ln>
            <a:effectLst/>
          </c:spPr>
          <c:invertIfNegative val="0"/>
          <c:cat>
            <c:strRef>
              <c:f>Лист6!$A$215:$A$231</c:f>
              <c:strCache>
                <c:ptCount val="17"/>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c:v>
                </c:pt>
              </c:strCache>
            </c:strRef>
          </c:cat>
          <c:val>
            <c:numRef>
              <c:f>Лист6!$B$215:$B$231</c:f>
              <c:numCache>
                <c:formatCode>General</c:formatCode>
                <c:ptCount val="17"/>
                <c:pt idx="0">
                  <c:v>-210</c:v>
                </c:pt>
                <c:pt idx="1">
                  <c:v>512</c:v>
                </c:pt>
                <c:pt idx="2">
                  <c:v>264</c:v>
                </c:pt>
                <c:pt idx="3">
                  <c:v>4636</c:v>
                </c:pt>
                <c:pt idx="4">
                  <c:v>-1567</c:v>
                </c:pt>
                <c:pt idx="5">
                  <c:v>2830</c:v>
                </c:pt>
                <c:pt idx="6">
                  <c:v>1436</c:v>
                </c:pt>
                <c:pt idx="7">
                  <c:v>814</c:v>
                </c:pt>
                <c:pt idx="8">
                  <c:v>537</c:v>
                </c:pt>
                <c:pt idx="9">
                  <c:v>310</c:v>
                </c:pt>
                <c:pt idx="10">
                  <c:v>327</c:v>
                </c:pt>
                <c:pt idx="11">
                  <c:v>471</c:v>
                </c:pt>
                <c:pt idx="12">
                  <c:v>676</c:v>
                </c:pt>
                <c:pt idx="13">
                  <c:v>544</c:v>
                </c:pt>
                <c:pt idx="14">
                  <c:v>418</c:v>
                </c:pt>
                <c:pt idx="15">
                  <c:v>311</c:v>
                </c:pt>
                <c:pt idx="16">
                  <c:v>432</c:v>
                </c:pt>
              </c:numCache>
            </c:numRef>
          </c:val>
        </c:ser>
        <c:ser>
          <c:idx val="1"/>
          <c:order val="1"/>
          <c:tx>
            <c:strRef>
              <c:f>Лист6!$C$214</c:f>
              <c:strCache>
                <c:ptCount val="1"/>
                <c:pt idx="0">
                  <c:v>Межрегиональная</c:v>
                </c:pt>
              </c:strCache>
            </c:strRef>
          </c:tx>
          <c:spPr>
            <a:solidFill>
              <a:schemeClr val="accent2">
                <a:lumMod val="60000"/>
                <a:lumOff val="40000"/>
              </a:schemeClr>
            </a:solidFill>
            <a:ln>
              <a:noFill/>
            </a:ln>
            <a:effectLst/>
          </c:spPr>
          <c:invertIfNegative val="0"/>
          <c:cat>
            <c:strRef>
              <c:f>Лист6!$A$215:$A$231</c:f>
              <c:strCache>
                <c:ptCount val="17"/>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c:v>
                </c:pt>
              </c:strCache>
            </c:strRef>
          </c:cat>
          <c:val>
            <c:numRef>
              <c:f>Лист6!$C$215:$C$231</c:f>
              <c:numCache>
                <c:formatCode>General</c:formatCode>
                <c:ptCount val="17"/>
                <c:pt idx="0">
                  <c:v>-802</c:v>
                </c:pt>
                <c:pt idx="1">
                  <c:v>-731</c:v>
                </c:pt>
                <c:pt idx="2">
                  <c:v>-637</c:v>
                </c:pt>
                <c:pt idx="3">
                  <c:v>-511</c:v>
                </c:pt>
                <c:pt idx="4">
                  <c:v>-1122</c:v>
                </c:pt>
                <c:pt idx="5">
                  <c:v>-1858</c:v>
                </c:pt>
                <c:pt idx="6">
                  <c:v>-1852</c:v>
                </c:pt>
                <c:pt idx="7">
                  <c:v>-1484</c:v>
                </c:pt>
                <c:pt idx="8">
                  <c:v>-1016</c:v>
                </c:pt>
                <c:pt idx="9">
                  <c:v>-795</c:v>
                </c:pt>
                <c:pt idx="10">
                  <c:v>-646</c:v>
                </c:pt>
                <c:pt idx="11">
                  <c:v>-521</c:v>
                </c:pt>
                <c:pt idx="12">
                  <c:v>-455</c:v>
                </c:pt>
                <c:pt idx="13">
                  <c:v>-311</c:v>
                </c:pt>
                <c:pt idx="14">
                  <c:v>-207</c:v>
                </c:pt>
                <c:pt idx="15">
                  <c:v>-147</c:v>
                </c:pt>
                <c:pt idx="16">
                  <c:v>-215</c:v>
                </c:pt>
              </c:numCache>
            </c:numRef>
          </c:val>
        </c:ser>
        <c:ser>
          <c:idx val="2"/>
          <c:order val="2"/>
          <c:tx>
            <c:strRef>
              <c:f>Лист6!$D$214</c:f>
              <c:strCache>
                <c:ptCount val="1"/>
                <c:pt idx="0">
                  <c:v>Международная</c:v>
                </c:pt>
              </c:strCache>
            </c:strRef>
          </c:tx>
          <c:spPr>
            <a:solidFill>
              <a:schemeClr val="accent2">
                <a:lumMod val="20000"/>
                <a:lumOff val="80000"/>
              </a:schemeClr>
            </a:solidFill>
            <a:ln>
              <a:solidFill>
                <a:schemeClr val="accent2"/>
              </a:solidFill>
            </a:ln>
            <a:effectLst/>
          </c:spPr>
          <c:invertIfNegative val="0"/>
          <c:cat>
            <c:strRef>
              <c:f>Лист6!$A$215:$A$231</c:f>
              <c:strCache>
                <c:ptCount val="17"/>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c:v>
                </c:pt>
              </c:strCache>
            </c:strRef>
          </c:cat>
          <c:val>
            <c:numRef>
              <c:f>Лист6!$D$215:$D$231</c:f>
              <c:numCache>
                <c:formatCode>General</c:formatCode>
                <c:ptCount val="17"/>
                <c:pt idx="0">
                  <c:v>294</c:v>
                </c:pt>
                <c:pt idx="1">
                  <c:v>342</c:v>
                </c:pt>
                <c:pt idx="2">
                  <c:v>297</c:v>
                </c:pt>
                <c:pt idx="3">
                  <c:v>599</c:v>
                </c:pt>
                <c:pt idx="4">
                  <c:v>247</c:v>
                </c:pt>
                <c:pt idx="5">
                  <c:v>312</c:v>
                </c:pt>
                <c:pt idx="6">
                  <c:v>329</c:v>
                </c:pt>
                <c:pt idx="7">
                  <c:v>362</c:v>
                </c:pt>
                <c:pt idx="8">
                  <c:v>267</c:v>
                </c:pt>
                <c:pt idx="9">
                  <c:v>200</c:v>
                </c:pt>
                <c:pt idx="10">
                  <c:v>265</c:v>
                </c:pt>
                <c:pt idx="11">
                  <c:v>205</c:v>
                </c:pt>
                <c:pt idx="12">
                  <c:v>249</c:v>
                </c:pt>
                <c:pt idx="13">
                  <c:v>123</c:v>
                </c:pt>
                <c:pt idx="14">
                  <c:v>69</c:v>
                </c:pt>
                <c:pt idx="15">
                  <c:v>26</c:v>
                </c:pt>
                <c:pt idx="16">
                  <c:v>-21</c:v>
                </c:pt>
              </c:numCache>
            </c:numRef>
          </c:val>
        </c:ser>
        <c:dLbls>
          <c:showLegendKey val="0"/>
          <c:showVal val="0"/>
          <c:showCatName val="0"/>
          <c:showSerName val="0"/>
          <c:showPercent val="0"/>
          <c:showBubbleSize val="0"/>
        </c:dLbls>
        <c:gapWidth val="35"/>
        <c:overlap val="100"/>
        <c:axId val="504626528"/>
        <c:axId val="504626920"/>
      </c:barChart>
      <c:catAx>
        <c:axId val="504626528"/>
        <c:scaling>
          <c:orientation val="minMax"/>
        </c:scaling>
        <c:delete val="0"/>
        <c:axPos val="b"/>
        <c:numFmt formatCode="General" sourceLinked="1"/>
        <c:majorTickMark val="none"/>
        <c:minorTickMark val="none"/>
        <c:tickLblPos val="nextTo"/>
        <c:spPr>
          <a:noFill/>
          <a:ln w="9518"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899" b="0" i="0" u="none" strike="noStrike" baseline="0">
                <a:solidFill>
                  <a:schemeClr val="tx1"/>
                </a:solidFill>
                <a:latin typeface="Times New Roman"/>
                <a:ea typeface="+mn-ea"/>
                <a:cs typeface="Times New Roman"/>
              </a:defRPr>
            </a:pPr>
            <a:endParaRPr lang="ru-RU"/>
          </a:p>
        </c:txPr>
        <c:crossAx val="504626920"/>
        <c:crosses val="autoZero"/>
        <c:auto val="1"/>
        <c:lblAlgn val="ctr"/>
        <c:lblOffset val="100"/>
        <c:noMultiLvlLbl val="0"/>
      </c:catAx>
      <c:valAx>
        <c:axId val="504626920"/>
        <c:scaling>
          <c:orientation val="minMax"/>
        </c:scaling>
        <c:delete val="0"/>
        <c:axPos val="l"/>
        <c:majorGridlines>
          <c:spPr>
            <a:ln w="9518"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799" b="0" i="0" u="none" strike="noStrike" baseline="0">
                <a:solidFill>
                  <a:schemeClr val="tx1"/>
                </a:solidFill>
                <a:latin typeface="Times New Roman"/>
                <a:ea typeface="+mn-ea"/>
                <a:cs typeface="Times New Roman"/>
              </a:defRPr>
            </a:pPr>
            <a:endParaRPr lang="ru-RU"/>
          </a:p>
        </c:txPr>
        <c:crossAx val="504626528"/>
        <c:crosses val="autoZero"/>
        <c:crossBetween val="between"/>
      </c:valAx>
      <c:spPr>
        <a:noFill/>
        <a:ln w="25381">
          <a:noFill/>
        </a:ln>
      </c:spPr>
    </c:plotArea>
    <c:legend>
      <c:legendPos val="b"/>
      <c:overlay val="0"/>
      <c:spPr>
        <a:noFill/>
        <a:ln>
          <a:noFill/>
        </a:ln>
        <a:effectLst/>
      </c:spPr>
      <c:txPr>
        <a:bodyPr rot="0" spcFirstLastPara="1" vertOverflow="ellipsis" vert="horz" wrap="square" anchor="ctr" anchorCtr="1"/>
        <a:lstStyle/>
        <a:p>
          <a:pPr>
            <a:defRPr lang="ru-RU" sz="799" b="0" i="0" u="none" strike="noStrike" baseline="0">
              <a:solidFill>
                <a:schemeClr val="tx1"/>
              </a:solidFill>
              <a:latin typeface="Times New Roman"/>
              <a:ea typeface="+mn-ea"/>
              <a:cs typeface="Times New Roman"/>
            </a:defRPr>
          </a:pPr>
          <a:endParaRPr lang="ru-RU"/>
        </a:p>
      </c:txPr>
    </c:legend>
    <c:plotVisOnly val="1"/>
    <c:dispBlanksAs val="gap"/>
    <c:showDLblsOverMax val="0"/>
  </c:chart>
  <c:spPr>
    <a:solidFill>
      <a:schemeClr val="bg1"/>
    </a:solidFill>
    <a:ln>
      <a:noFill/>
    </a:ln>
    <a:effectLst/>
  </c:spPr>
  <c:txPr>
    <a:bodyPr/>
    <a:lstStyle/>
    <a:p>
      <a:pPr>
        <a:defRPr lang="ru-RU" sz="799" b="0" i="0" u="none" strike="noStrike">
          <a:solidFill>
            <a:schemeClr val="tx1"/>
          </a:solidFill>
          <a:latin typeface="Times New Roman"/>
          <a:ea typeface="+mn-ea"/>
          <a:cs typeface="Times New Roman"/>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percentStacked"/>
        <c:varyColors val="0"/>
        <c:ser>
          <c:idx val="0"/>
          <c:order val="0"/>
          <c:tx>
            <c:strRef>
              <c:f>Лист1!$V$4</c:f>
              <c:strCache>
                <c:ptCount val="1"/>
                <c:pt idx="0">
                  <c:v>Обрабатывающие производства</c:v>
                </c:pt>
              </c:strCache>
            </c:strRef>
          </c:tx>
          <c:spPr>
            <a:solidFill>
              <a:srgbClr val="00206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a:solidFill>
                      <a:schemeClr val="bg1"/>
                    </a:solidFill>
                    <a:latin typeface="Times New Roman"/>
                    <a:ea typeface="+mn-ea"/>
                    <a:cs typeface="Times New Roman"/>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0"/>
              </c:ext>
            </c:extLst>
          </c:dLbls>
          <c:cat>
            <c:numRef>
              <c:f>Лист1!$W$3:$Y$3</c:f>
              <c:numCache>
                <c:formatCode>General</c:formatCode>
                <c:ptCount val="3"/>
                <c:pt idx="0">
                  <c:v>2017</c:v>
                </c:pt>
                <c:pt idx="1">
                  <c:v>2021</c:v>
                </c:pt>
                <c:pt idx="2">
                  <c:v>2024</c:v>
                </c:pt>
              </c:numCache>
            </c:numRef>
          </c:cat>
          <c:val>
            <c:numRef>
              <c:f>Лист1!$W$4:$Y$4</c:f>
              <c:numCache>
                <c:formatCode>0%</c:formatCode>
                <c:ptCount val="3"/>
                <c:pt idx="0">
                  <c:v>0.14602575944170773</c:v>
                </c:pt>
                <c:pt idx="1">
                  <c:v>0.1617638578302909</c:v>
                </c:pt>
                <c:pt idx="2">
                  <c:v>0.17895615232893342</c:v>
                </c:pt>
              </c:numCache>
            </c:numRef>
          </c:val>
          <c:extLst xmlns:c16r2="http://schemas.microsoft.com/office/drawing/2015/06/chart">
            <c:ext xmlns:c16="http://schemas.microsoft.com/office/drawing/2014/chart" uri="{C3380CC4-5D6E-409C-BE32-E72D297353CC}">
              <c16:uniqueId val="{00000000-52A6-47F9-B79E-11C5C86BE4FD}"/>
            </c:ext>
          </c:extLst>
        </c:ser>
        <c:ser>
          <c:idx val="1"/>
          <c:order val="1"/>
          <c:tx>
            <c:strRef>
              <c:f>Лист1!$V$5</c:f>
              <c:strCache>
                <c:ptCount val="1"/>
                <c:pt idx="0">
                  <c:v>Энергетика</c:v>
                </c:pt>
              </c:strCache>
            </c:strRef>
          </c:tx>
          <c:spPr>
            <a:solidFill>
              <a:srgbClr val="E36729"/>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a:solidFill>
                      <a:schemeClr val="tx1">
                        <a:lumMod val="75000"/>
                        <a:lumOff val="25000"/>
                      </a:schemeClr>
                    </a:solidFill>
                    <a:latin typeface="Times New Roman"/>
                    <a:ea typeface="+mn-ea"/>
                    <a:cs typeface="Times New Roman"/>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0"/>
              </c:ext>
            </c:extLst>
          </c:dLbls>
          <c:cat>
            <c:numRef>
              <c:f>Лист1!$W$3:$Y$3</c:f>
              <c:numCache>
                <c:formatCode>General</c:formatCode>
                <c:ptCount val="3"/>
                <c:pt idx="0">
                  <c:v>2017</c:v>
                </c:pt>
                <c:pt idx="1">
                  <c:v>2021</c:v>
                </c:pt>
                <c:pt idx="2">
                  <c:v>2024</c:v>
                </c:pt>
              </c:numCache>
            </c:numRef>
          </c:cat>
          <c:val>
            <c:numRef>
              <c:f>Лист1!$W$5:$Y$5</c:f>
              <c:numCache>
                <c:formatCode>0%</c:formatCode>
                <c:ptCount val="3"/>
                <c:pt idx="0">
                  <c:v>3.4963823891625619E-2</c:v>
                </c:pt>
                <c:pt idx="1">
                  <c:v>3.4850416808165731E-2</c:v>
                </c:pt>
                <c:pt idx="2">
                  <c:v>3.2923683811257778E-2</c:v>
                </c:pt>
              </c:numCache>
            </c:numRef>
          </c:val>
          <c:extLst xmlns:c16r2="http://schemas.microsoft.com/office/drawing/2015/06/chart">
            <c:ext xmlns:c16="http://schemas.microsoft.com/office/drawing/2014/chart" uri="{C3380CC4-5D6E-409C-BE32-E72D297353CC}">
              <c16:uniqueId val="{00000001-52A6-47F9-B79E-11C5C86BE4FD}"/>
            </c:ext>
          </c:extLst>
        </c:ser>
        <c:ser>
          <c:idx val="2"/>
          <c:order val="2"/>
          <c:tx>
            <c:strRef>
              <c:f>Лист1!$V$6</c:f>
              <c:strCache>
                <c:ptCount val="1"/>
                <c:pt idx="0">
                  <c:v>Торговля</c:v>
                </c:pt>
              </c:strCache>
            </c:strRef>
          </c:tx>
          <c:spPr>
            <a:solidFill>
              <a:srgbClr val="ACB695"/>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a:solidFill>
                      <a:schemeClr val="tx1">
                        <a:lumMod val="75000"/>
                        <a:lumOff val="25000"/>
                      </a:schemeClr>
                    </a:solidFill>
                    <a:latin typeface="Times New Roman"/>
                    <a:ea typeface="+mn-ea"/>
                    <a:cs typeface="Times New Roman"/>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0"/>
              </c:ext>
            </c:extLst>
          </c:dLbls>
          <c:cat>
            <c:numRef>
              <c:f>Лист1!$W$3:$Y$3</c:f>
              <c:numCache>
                <c:formatCode>General</c:formatCode>
                <c:ptCount val="3"/>
                <c:pt idx="0">
                  <c:v>2017</c:v>
                </c:pt>
                <c:pt idx="1">
                  <c:v>2021</c:v>
                </c:pt>
                <c:pt idx="2">
                  <c:v>2024</c:v>
                </c:pt>
              </c:numCache>
            </c:numRef>
          </c:cat>
          <c:val>
            <c:numRef>
              <c:f>Лист1!$W$6:$Y$6</c:f>
              <c:numCache>
                <c:formatCode>0%</c:formatCode>
                <c:ptCount val="3"/>
                <c:pt idx="0">
                  <c:v>9.5186781609195373E-2</c:v>
                </c:pt>
                <c:pt idx="1">
                  <c:v>0.10162942838652632</c:v>
                </c:pt>
                <c:pt idx="2">
                  <c:v>0.11194558235978354</c:v>
                </c:pt>
              </c:numCache>
            </c:numRef>
          </c:val>
          <c:extLst xmlns:c16r2="http://schemas.microsoft.com/office/drawing/2015/06/chart">
            <c:ext xmlns:c16="http://schemas.microsoft.com/office/drawing/2014/chart" uri="{C3380CC4-5D6E-409C-BE32-E72D297353CC}">
              <c16:uniqueId val="{00000002-52A6-47F9-B79E-11C5C86BE4FD}"/>
            </c:ext>
          </c:extLst>
        </c:ser>
        <c:ser>
          <c:idx val="3"/>
          <c:order val="3"/>
          <c:tx>
            <c:strRef>
              <c:f>Лист1!$V$7</c:f>
              <c:strCache>
                <c:ptCount val="1"/>
                <c:pt idx="0">
                  <c:v>Транспортировка и хранение</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a:solidFill>
                      <a:schemeClr val="tx1">
                        <a:lumMod val="75000"/>
                        <a:lumOff val="25000"/>
                      </a:schemeClr>
                    </a:solidFill>
                    <a:latin typeface="Times New Roman"/>
                    <a:ea typeface="+mn-ea"/>
                    <a:cs typeface="Times New Roman"/>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0"/>
              </c:ext>
            </c:extLst>
          </c:dLbls>
          <c:cat>
            <c:numRef>
              <c:f>Лист1!$W$3:$Y$3</c:f>
              <c:numCache>
                <c:formatCode>General</c:formatCode>
                <c:ptCount val="3"/>
                <c:pt idx="0">
                  <c:v>2017</c:v>
                </c:pt>
                <c:pt idx="1">
                  <c:v>2021</c:v>
                </c:pt>
                <c:pt idx="2">
                  <c:v>2024</c:v>
                </c:pt>
              </c:numCache>
            </c:numRef>
          </c:cat>
          <c:val>
            <c:numRef>
              <c:f>Лист1!$W$7:$Y$7</c:f>
              <c:numCache>
                <c:formatCode>0%</c:formatCode>
                <c:ptCount val="3"/>
                <c:pt idx="0">
                  <c:v>6.7195197044334992E-2</c:v>
                </c:pt>
                <c:pt idx="1">
                  <c:v>6.4952872804628803E-2</c:v>
                </c:pt>
                <c:pt idx="2">
                  <c:v>5.9961816618621364E-2</c:v>
                </c:pt>
              </c:numCache>
            </c:numRef>
          </c:val>
          <c:extLst xmlns:c16r2="http://schemas.microsoft.com/office/drawing/2015/06/chart">
            <c:ext xmlns:c16="http://schemas.microsoft.com/office/drawing/2014/chart" uri="{C3380CC4-5D6E-409C-BE32-E72D297353CC}">
              <c16:uniqueId val="{00000003-52A6-47F9-B79E-11C5C86BE4FD}"/>
            </c:ext>
          </c:extLst>
        </c:ser>
        <c:ser>
          <c:idx val="4"/>
          <c:order val="4"/>
          <c:tx>
            <c:strRef>
              <c:f>Лист1!$V$8</c:f>
              <c:strCache>
                <c:ptCount val="1"/>
                <c:pt idx="0">
                  <c:v>Информация и связь</c:v>
                </c:pt>
              </c:strCache>
            </c:strRef>
          </c:tx>
          <c:spPr>
            <a:solidFill>
              <a:srgbClr val="6F94C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a:solidFill>
                      <a:schemeClr val="tx1">
                        <a:lumMod val="75000"/>
                        <a:lumOff val="25000"/>
                      </a:schemeClr>
                    </a:solidFill>
                    <a:latin typeface="Times New Roman"/>
                    <a:ea typeface="+mn-ea"/>
                    <a:cs typeface="Times New Roman"/>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0"/>
              </c:ext>
            </c:extLst>
          </c:dLbls>
          <c:cat>
            <c:numRef>
              <c:f>Лист1!$W$3:$Y$3</c:f>
              <c:numCache>
                <c:formatCode>General</c:formatCode>
                <c:ptCount val="3"/>
                <c:pt idx="0">
                  <c:v>2017</c:v>
                </c:pt>
                <c:pt idx="1">
                  <c:v>2021</c:v>
                </c:pt>
                <c:pt idx="2">
                  <c:v>2024</c:v>
                </c:pt>
              </c:numCache>
            </c:numRef>
          </c:cat>
          <c:val>
            <c:numRef>
              <c:f>Лист1!$W$8:$Y$8</c:f>
              <c:numCache>
                <c:formatCode>0%</c:formatCode>
                <c:ptCount val="3"/>
                <c:pt idx="0">
                  <c:v>4.0140086206896554E-2</c:v>
                </c:pt>
                <c:pt idx="1">
                  <c:v>3.0185753554563113E-2</c:v>
                </c:pt>
                <c:pt idx="2">
                  <c:v>2.9800738380620043E-2</c:v>
                </c:pt>
              </c:numCache>
            </c:numRef>
          </c:val>
          <c:extLst xmlns:c16r2="http://schemas.microsoft.com/office/drawing/2015/06/chart">
            <c:ext xmlns:c16="http://schemas.microsoft.com/office/drawing/2014/chart" uri="{C3380CC4-5D6E-409C-BE32-E72D297353CC}">
              <c16:uniqueId val="{00000004-52A6-47F9-B79E-11C5C86BE4FD}"/>
            </c:ext>
          </c:extLst>
        </c:ser>
        <c:ser>
          <c:idx val="5"/>
          <c:order val="5"/>
          <c:tx>
            <c:strRef>
              <c:f>Лист1!$V$9</c:f>
              <c:strCache>
                <c:ptCount val="1"/>
                <c:pt idx="0">
                  <c:v>Финансы и страхование</c:v>
                </c:pt>
              </c:strCache>
            </c:strRef>
          </c:tx>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a:solidFill>
                      <a:schemeClr val="tx1">
                        <a:lumMod val="75000"/>
                        <a:lumOff val="25000"/>
                      </a:schemeClr>
                    </a:solidFill>
                    <a:latin typeface="Times New Roman"/>
                    <a:ea typeface="+mn-ea"/>
                    <a:cs typeface="Times New Roman"/>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0"/>
              </c:ext>
            </c:extLst>
          </c:dLbls>
          <c:cat>
            <c:numRef>
              <c:f>Лист1!$W$3:$Y$3</c:f>
              <c:numCache>
                <c:formatCode>General</c:formatCode>
                <c:ptCount val="3"/>
                <c:pt idx="0">
                  <c:v>2017</c:v>
                </c:pt>
                <c:pt idx="1">
                  <c:v>2021</c:v>
                </c:pt>
                <c:pt idx="2">
                  <c:v>2024</c:v>
                </c:pt>
              </c:numCache>
            </c:numRef>
          </c:cat>
          <c:val>
            <c:numRef>
              <c:f>Лист1!$W$9:$Y$9</c:f>
              <c:numCache>
                <c:formatCode>0%</c:formatCode>
                <c:ptCount val="3"/>
                <c:pt idx="0">
                  <c:v>4.5425389983579631E-2</c:v>
                </c:pt>
                <c:pt idx="1">
                  <c:v>4.7172047902503421E-2</c:v>
                </c:pt>
                <c:pt idx="2">
                  <c:v>4.8456228189955992E-2</c:v>
                </c:pt>
              </c:numCache>
            </c:numRef>
          </c:val>
          <c:extLst xmlns:c16r2="http://schemas.microsoft.com/office/drawing/2015/06/chart">
            <c:ext xmlns:c16="http://schemas.microsoft.com/office/drawing/2014/chart" uri="{C3380CC4-5D6E-409C-BE32-E72D297353CC}">
              <c16:uniqueId val="{00000005-52A6-47F9-B79E-11C5C86BE4FD}"/>
            </c:ext>
          </c:extLst>
        </c:ser>
        <c:ser>
          <c:idx val="6"/>
          <c:order val="6"/>
          <c:tx>
            <c:strRef>
              <c:f>Лист1!$V$10</c:f>
              <c:strCache>
                <c:ptCount val="1"/>
                <c:pt idx="0">
                  <c:v>Профессиональная деятельность</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a:solidFill>
                      <a:schemeClr val="bg1"/>
                    </a:solidFill>
                    <a:latin typeface="Times New Roman"/>
                    <a:ea typeface="+mn-ea"/>
                    <a:cs typeface="Times New Roman"/>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0"/>
              </c:ext>
            </c:extLst>
          </c:dLbls>
          <c:cat>
            <c:numRef>
              <c:f>Лист1!$W$3:$Y$3</c:f>
              <c:numCache>
                <c:formatCode>General</c:formatCode>
                <c:ptCount val="3"/>
                <c:pt idx="0">
                  <c:v>2017</c:v>
                </c:pt>
                <c:pt idx="1">
                  <c:v>2021</c:v>
                </c:pt>
                <c:pt idx="2">
                  <c:v>2024</c:v>
                </c:pt>
              </c:numCache>
            </c:numRef>
          </c:cat>
          <c:val>
            <c:numRef>
              <c:f>Лист1!$W$10:$Y$10</c:f>
              <c:numCache>
                <c:formatCode>0%</c:formatCode>
                <c:ptCount val="3"/>
                <c:pt idx="0">
                  <c:v>2.0512623152709363E-2</c:v>
                </c:pt>
                <c:pt idx="1">
                  <c:v>2.5911948073583789E-2</c:v>
                </c:pt>
                <c:pt idx="2">
                  <c:v>3.0078895463510856E-2</c:v>
                </c:pt>
              </c:numCache>
            </c:numRef>
          </c:val>
          <c:extLst xmlns:c16r2="http://schemas.microsoft.com/office/drawing/2015/06/chart">
            <c:ext xmlns:c16="http://schemas.microsoft.com/office/drawing/2014/chart" uri="{C3380CC4-5D6E-409C-BE32-E72D297353CC}">
              <c16:uniqueId val="{00000006-52A6-47F9-B79E-11C5C86BE4FD}"/>
            </c:ext>
          </c:extLst>
        </c:ser>
        <c:ser>
          <c:idx val="7"/>
          <c:order val="7"/>
          <c:tx>
            <c:strRef>
              <c:f>Лист1!$V$11</c:f>
              <c:strCache>
                <c:ptCount val="1"/>
                <c:pt idx="0">
                  <c:v>Госуправление и безопасность</c:v>
                </c:pt>
              </c:strCache>
            </c:strRef>
          </c:tx>
          <c:spPr>
            <a:solidFill>
              <a:schemeClr val="accent2">
                <a:lumMod val="6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a:solidFill>
                      <a:schemeClr val="bg1"/>
                    </a:solidFill>
                    <a:latin typeface="Times New Roman"/>
                    <a:ea typeface="+mn-ea"/>
                    <a:cs typeface="Times New Roman"/>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0"/>
              </c:ext>
            </c:extLst>
          </c:dLbls>
          <c:cat>
            <c:numRef>
              <c:f>Лист1!$W$3:$Y$3</c:f>
              <c:numCache>
                <c:formatCode>General</c:formatCode>
                <c:ptCount val="3"/>
                <c:pt idx="0">
                  <c:v>2017</c:v>
                </c:pt>
                <c:pt idx="1">
                  <c:v>2021</c:v>
                </c:pt>
                <c:pt idx="2">
                  <c:v>2024</c:v>
                </c:pt>
              </c:numCache>
            </c:numRef>
          </c:cat>
          <c:val>
            <c:numRef>
              <c:f>Лист1!$W$11:$Y$11</c:f>
              <c:numCache>
                <c:formatCode>0%</c:formatCode>
                <c:ptCount val="3"/>
                <c:pt idx="0">
                  <c:v>0.14232476395730706</c:v>
                </c:pt>
                <c:pt idx="1">
                  <c:v>0.1384020965354624</c:v>
                </c:pt>
                <c:pt idx="2">
                  <c:v>0.13146715217721142</c:v>
                </c:pt>
              </c:numCache>
            </c:numRef>
          </c:val>
          <c:extLst xmlns:c16r2="http://schemas.microsoft.com/office/drawing/2015/06/chart">
            <c:ext xmlns:c16="http://schemas.microsoft.com/office/drawing/2014/chart" uri="{C3380CC4-5D6E-409C-BE32-E72D297353CC}">
              <c16:uniqueId val="{00000007-52A6-47F9-B79E-11C5C86BE4FD}"/>
            </c:ext>
          </c:extLst>
        </c:ser>
        <c:ser>
          <c:idx val="8"/>
          <c:order val="8"/>
          <c:tx>
            <c:strRef>
              <c:f>Лист1!$V$12</c:f>
              <c:strCache>
                <c:ptCount val="1"/>
                <c:pt idx="0">
                  <c:v>Образование</c:v>
                </c:pt>
              </c:strCache>
            </c:strRef>
          </c:tx>
          <c:spPr>
            <a:solidFill>
              <a:schemeClr val="accent3">
                <a:lumMod val="6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a:solidFill>
                      <a:schemeClr val="tx1">
                        <a:lumMod val="75000"/>
                        <a:lumOff val="25000"/>
                      </a:schemeClr>
                    </a:solidFill>
                    <a:latin typeface="Times New Roman"/>
                    <a:ea typeface="+mn-ea"/>
                    <a:cs typeface="Times New Roman"/>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0"/>
              </c:ext>
            </c:extLst>
          </c:dLbls>
          <c:cat>
            <c:numRef>
              <c:f>Лист1!$W$3:$Y$3</c:f>
              <c:numCache>
                <c:formatCode>General</c:formatCode>
                <c:ptCount val="3"/>
                <c:pt idx="0">
                  <c:v>2017</c:v>
                </c:pt>
                <c:pt idx="1">
                  <c:v>2021</c:v>
                </c:pt>
                <c:pt idx="2">
                  <c:v>2024</c:v>
                </c:pt>
              </c:numCache>
            </c:numRef>
          </c:cat>
          <c:val>
            <c:numRef>
              <c:f>Лист1!$W$12:$Y$12</c:f>
              <c:numCache>
                <c:formatCode>0%</c:formatCode>
                <c:ptCount val="3"/>
                <c:pt idx="0">
                  <c:v>0.15777016625615764</c:v>
                </c:pt>
                <c:pt idx="1">
                  <c:v>0.14937815169126084</c:v>
                </c:pt>
                <c:pt idx="2">
                  <c:v>0.15036286855813485</c:v>
                </c:pt>
              </c:numCache>
            </c:numRef>
          </c:val>
          <c:extLst xmlns:c16r2="http://schemas.microsoft.com/office/drawing/2015/06/chart">
            <c:ext xmlns:c16="http://schemas.microsoft.com/office/drawing/2014/chart" uri="{C3380CC4-5D6E-409C-BE32-E72D297353CC}">
              <c16:uniqueId val="{00000008-52A6-47F9-B79E-11C5C86BE4FD}"/>
            </c:ext>
          </c:extLst>
        </c:ser>
        <c:ser>
          <c:idx val="9"/>
          <c:order val="9"/>
          <c:tx>
            <c:strRef>
              <c:f>Лист1!$V$13</c:f>
              <c:strCache>
                <c:ptCount val="1"/>
                <c:pt idx="0">
                  <c:v>Здравоохранение и соц. услуги</c:v>
                </c:pt>
              </c:strCache>
            </c:strRef>
          </c:tx>
          <c:spPr>
            <a:solidFill>
              <a:schemeClr val="accent5">
                <a:lumMod val="40000"/>
                <a:lumOff val="6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a:solidFill>
                      <a:schemeClr val="tx1">
                        <a:lumMod val="50000"/>
                        <a:lumOff val="50000"/>
                      </a:schemeClr>
                    </a:solidFill>
                    <a:latin typeface="Times New Roman"/>
                    <a:ea typeface="+mn-ea"/>
                    <a:cs typeface="Times New Roman"/>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0"/>
              </c:ext>
            </c:extLst>
          </c:dLbls>
          <c:cat>
            <c:numRef>
              <c:f>Лист1!$W$3:$Y$3</c:f>
              <c:numCache>
                <c:formatCode>General</c:formatCode>
                <c:ptCount val="3"/>
                <c:pt idx="0">
                  <c:v>2017</c:v>
                </c:pt>
                <c:pt idx="1">
                  <c:v>2021</c:v>
                </c:pt>
                <c:pt idx="2">
                  <c:v>2024</c:v>
                </c:pt>
              </c:numCache>
            </c:numRef>
          </c:cat>
          <c:val>
            <c:numRef>
              <c:f>Лист1!$W$13:$Y$13</c:f>
              <c:numCache>
                <c:formatCode>0%</c:formatCode>
                <c:ptCount val="3"/>
                <c:pt idx="0">
                  <c:v>0.16528761288998359</c:v>
                </c:pt>
                <c:pt idx="1">
                  <c:v>0.16636444603920114</c:v>
                </c:pt>
                <c:pt idx="2">
                  <c:v>0.15853057199211046</c:v>
                </c:pt>
              </c:numCache>
            </c:numRef>
          </c:val>
          <c:extLst xmlns:c16r2="http://schemas.microsoft.com/office/drawing/2015/06/chart">
            <c:ext xmlns:c16="http://schemas.microsoft.com/office/drawing/2014/chart" uri="{C3380CC4-5D6E-409C-BE32-E72D297353CC}">
              <c16:uniqueId val="{00000009-52A6-47F9-B79E-11C5C86BE4FD}"/>
            </c:ext>
          </c:extLst>
        </c:ser>
        <c:ser>
          <c:idx val="10"/>
          <c:order val="10"/>
          <c:tx>
            <c:strRef>
              <c:f>Лист1!$V$14</c:f>
              <c:strCache>
                <c:ptCount val="1"/>
                <c:pt idx="0">
                  <c:v>Культура, спорт, досуг</c:v>
                </c:pt>
              </c:strCache>
            </c:strRef>
          </c:tx>
          <c:spPr>
            <a:solidFill>
              <a:schemeClr val="accent5">
                <a:lumMod val="6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a:solidFill>
                      <a:schemeClr val="bg1"/>
                    </a:solidFill>
                    <a:latin typeface="Times New Roman"/>
                    <a:ea typeface="+mn-ea"/>
                    <a:cs typeface="Times New Roman"/>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0"/>
              </c:ext>
            </c:extLst>
          </c:dLbls>
          <c:cat>
            <c:numRef>
              <c:f>Лист1!$W$3:$Y$3</c:f>
              <c:numCache>
                <c:formatCode>General</c:formatCode>
                <c:ptCount val="3"/>
                <c:pt idx="0">
                  <c:v>2017</c:v>
                </c:pt>
                <c:pt idx="1">
                  <c:v>2021</c:v>
                </c:pt>
                <c:pt idx="2">
                  <c:v>2024</c:v>
                </c:pt>
              </c:numCache>
            </c:numRef>
          </c:cat>
          <c:val>
            <c:numRef>
              <c:f>Лист1!$W$14:$Y$14</c:f>
              <c:numCache>
                <c:formatCode>0%</c:formatCode>
                <c:ptCount val="3"/>
                <c:pt idx="0">
                  <c:v>1.6574302134646959E-2</c:v>
                </c:pt>
                <c:pt idx="1">
                  <c:v>2.1272914837858099E-2</c:v>
                </c:pt>
                <c:pt idx="2">
                  <c:v>1.6348050371719013E-2</c:v>
                </c:pt>
              </c:numCache>
            </c:numRef>
          </c:val>
          <c:extLst xmlns:c16r2="http://schemas.microsoft.com/office/drawing/2015/06/chart">
            <c:ext xmlns:c16="http://schemas.microsoft.com/office/drawing/2014/chart" uri="{C3380CC4-5D6E-409C-BE32-E72D297353CC}">
              <c16:uniqueId val="{0000000A-52A6-47F9-B79E-11C5C86BE4FD}"/>
            </c:ext>
          </c:extLst>
        </c:ser>
        <c:ser>
          <c:idx val="11"/>
          <c:order val="11"/>
          <c:tx>
            <c:strRef>
              <c:f>Лист1!$V$15</c:f>
              <c:strCache>
                <c:ptCount val="1"/>
                <c:pt idx="0">
                  <c:v>Прочие виды деятельности</c:v>
                </c:pt>
              </c:strCache>
            </c:strRef>
          </c:tx>
          <c:spPr>
            <a:solidFill>
              <a:schemeClr val="accent6">
                <a:lumMod val="6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a:solidFill>
                      <a:schemeClr val="tx1">
                        <a:lumMod val="75000"/>
                        <a:lumOff val="25000"/>
                      </a:schemeClr>
                    </a:solidFill>
                    <a:latin typeface="Times New Roman"/>
                    <a:ea typeface="+mn-ea"/>
                    <a:cs typeface="Times New Roman"/>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0"/>
              </c:ext>
            </c:extLst>
          </c:dLbls>
          <c:cat>
            <c:numRef>
              <c:f>Лист1!$W$3:$Y$3</c:f>
              <c:numCache>
                <c:formatCode>General</c:formatCode>
                <c:ptCount val="3"/>
                <c:pt idx="0">
                  <c:v>2017</c:v>
                </c:pt>
                <c:pt idx="1">
                  <c:v>2021</c:v>
                </c:pt>
                <c:pt idx="2">
                  <c:v>2024</c:v>
                </c:pt>
              </c:numCache>
            </c:numRef>
          </c:cat>
          <c:val>
            <c:numRef>
              <c:f>Лист1!$W$15:$Y$15</c:f>
              <c:numCache>
                <c:formatCode>0%</c:formatCode>
                <c:ptCount val="3"/>
                <c:pt idx="0">
                  <c:v>6.8593493431855515E-2</c:v>
                </c:pt>
                <c:pt idx="1">
                  <c:v>5.811606553595583E-2</c:v>
                </c:pt>
                <c:pt idx="2">
                  <c:v>5.1168259748141327E-2</c:v>
                </c:pt>
              </c:numCache>
            </c:numRef>
          </c:val>
          <c:extLst xmlns:c16r2="http://schemas.microsoft.com/office/drawing/2015/06/chart">
            <c:ext xmlns:c16="http://schemas.microsoft.com/office/drawing/2014/chart" uri="{C3380CC4-5D6E-409C-BE32-E72D297353CC}">
              <c16:uniqueId val="{0000000B-52A6-47F9-B79E-11C5C86BE4FD}"/>
            </c:ext>
          </c:extLst>
        </c:ser>
        <c:dLbls>
          <c:showLegendKey val="0"/>
          <c:showVal val="1"/>
          <c:showCatName val="0"/>
          <c:showSerName val="0"/>
          <c:showPercent val="0"/>
          <c:showBubbleSize val="0"/>
        </c:dLbls>
        <c:gapWidth val="48"/>
        <c:overlap val="100"/>
        <c:axId val="508127168"/>
        <c:axId val="508127560"/>
      </c:barChart>
      <c:catAx>
        <c:axId val="508127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a:solidFill>
                  <a:schemeClr val="tx1">
                    <a:lumMod val="65000"/>
                    <a:lumOff val="35000"/>
                  </a:schemeClr>
                </a:solidFill>
                <a:latin typeface="Times New Roman"/>
                <a:ea typeface="+mn-ea"/>
                <a:cs typeface="Times New Roman"/>
              </a:defRPr>
            </a:pPr>
            <a:endParaRPr lang="ru-RU"/>
          </a:p>
        </c:txPr>
        <c:crossAx val="508127560"/>
        <c:crosses val="autoZero"/>
        <c:auto val="1"/>
        <c:lblAlgn val="ctr"/>
        <c:lblOffset val="100"/>
        <c:noMultiLvlLbl val="0"/>
      </c:catAx>
      <c:valAx>
        <c:axId val="5081275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a:solidFill>
                  <a:schemeClr val="tx1">
                    <a:lumMod val="65000"/>
                    <a:lumOff val="35000"/>
                  </a:schemeClr>
                </a:solidFill>
                <a:latin typeface="Times New Roman"/>
                <a:ea typeface="+mn-ea"/>
                <a:cs typeface="Times New Roman"/>
              </a:defRPr>
            </a:pPr>
            <a:endParaRPr lang="ru-RU"/>
          </a:p>
        </c:txPr>
        <c:crossAx val="50812716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a:solidFill>
                <a:schemeClr val="tx1">
                  <a:lumMod val="65000"/>
                  <a:lumOff val="35000"/>
                </a:schemeClr>
              </a:solidFill>
              <a:latin typeface="Times New Roman"/>
              <a:ea typeface="+mn-ea"/>
              <a:cs typeface="Times New Roman"/>
            </a:defRPr>
          </a:pPr>
          <a:endParaRPr lang="ru-RU"/>
        </a:p>
      </c:txPr>
    </c:legend>
    <c:plotVisOnly val="1"/>
    <c:dispBlanksAs val="gap"/>
    <c:showDLblsOverMax val="0"/>
  </c:chart>
  <c:spPr>
    <a:solidFill>
      <a:schemeClr val="bg1"/>
    </a:solidFill>
    <a:ln w="9525" cap="flat" cmpd="sng" algn="ctr">
      <a:noFill/>
      <a:round/>
    </a:ln>
    <a:effectLst/>
  </c:spPr>
  <c:txPr>
    <a:bodyPr/>
    <a:lstStyle/>
    <a:p>
      <a:pPr>
        <a:defRPr>
          <a:latin typeface="Times New Roman"/>
          <a:cs typeface="Times New Roman"/>
        </a:defRPr>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1"/>
          <c:order val="0"/>
          <c:tx>
            <c:strRef>
              <c:f>'Уровень жизни'!$A$6</c:f>
              <c:strCache>
                <c:ptCount val="1"/>
                <c:pt idx="0">
                  <c:v>Российская Федерация</c:v>
                </c:pt>
              </c:strCache>
            </c:strRef>
          </c:tx>
          <c:spPr>
            <a:ln w="25515" cap="rnd">
              <a:solidFill>
                <a:srgbClr val="002060"/>
              </a:solidFill>
              <a:prstDash val="solid"/>
              <a:round/>
            </a:ln>
            <a:effectLst/>
          </c:spPr>
          <c:marker>
            <c:symbol val="none"/>
          </c:marker>
          <c:cat>
            <c:strRef>
              <c:f>'Уровень жизни'!$B$4:$N$4</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'Уровень жизни'!$B$6:$N$6</c:f>
              <c:numCache>
                <c:formatCode>0</c:formatCode>
                <c:ptCount val="13"/>
                <c:pt idx="0">
                  <c:v>29.568999999999996</c:v>
                </c:pt>
                <c:pt idx="1">
                  <c:v>33.556000000000004</c:v>
                </c:pt>
                <c:pt idx="2">
                  <c:v>36.799000000000014</c:v>
                </c:pt>
                <c:pt idx="3">
                  <c:v>38.405100000000004</c:v>
                </c:pt>
                <c:pt idx="4">
                  <c:v>41.608400000000003</c:v>
                </c:pt>
                <c:pt idx="5">
                  <c:v>44.907125784640002</c:v>
                </c:pt>
                <c:pt idx="6">
                  <c:v>49.894550930234722</c:v>
                </c:pt>
                <c:pt idx="7">
                  <c:v>53.918400000000005</c:v>
                </c:pt>
                <c:pt idx="8">
                  <c:v>57.981499999999997</c:v>
                </c:pt>
                <c:pt idx="9">
                  <c:v>64.270200000000003</c:v>
                </c:pt>
                <c:pt idx="10">
                  <c:v>72.884999999999991</c:v>
                </c:pt>
                <c:pt idx="11">
                  <c:v>83.280699999999996</c:v>
                </c:pt>
                <c:pt idx="12">
                  <c:v>98.980600000000024</c:v>
                </c:pt>
              </c:numCache>
            </c:numRef>
          </c:val>
          <c:smooth val="0"/>
        </c:ser>
        <c:ser>
          <c:idx val="2"/>
          <c:order val="1"/>
          <c:tx>
            <c:strRef>
              <c:f>'Уровень жизни'!$A$7</c:f>
              <c:strCache>
                <c:ptCount val="1"/>
                <c:pt idx="0">
                  <c:v>Алтайский край</c:v>
                </c:pt>
              </c:strCache>
            </c:strRef>
          </c:tx>
          <c:spPr>
            <a:ln w="25515" cap="rnd">
              <a:solidFill>
                <a:srgbClr val="E36729"/>
              </a:solidFill>
              <a:prstDash val="solid"/>
              <a:round/>
            </a:ln>
            <a:effectLst/>
          </c:spPr>
          <c:marker>
            <c:symbol val="none"/>
          </c:marker>
          <c:cat>
            <c:strRef>
              <c:f>'Уровень жизни'!$B$4:$N$4</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'Уровень жизни'!$B$7:$N$7</c:f>
              <c:numCache>
                <c:formatCode>0</c:formatCode>
                <c:ptCount val="13"/>
                <c:pt idx="0">
                  <c:v>17.739999999999995</c:v>
                </c:pt>
                <c:pt idx="1">
                  <c:v>20.02</c:v>
                </c:pt>
                <c:pt idx="2">
                  <c:v>21.815999999999999</c:v>
                </c:pt>
                <c:pt idx="3">
                  <c:v>22.6221</c:v>
                </c:pt>
                <c:pt idx="4">
                  <c:v>24.0701</c:v>
                </c:pt>
                <c:pt idx="5">
                  <c:v>25.861582840062603</c:v>
                </c:pt>
                <c:pt idx="6">
                  <c:v>29.258475080423029</c:v>
                </c:pt>
                <c:pt idx="7">
                  <c:v>32.106300000000005</c:v>
                </c:pt>
                <c:pt idx="8">
                  <c:v>34.427800000000005</c:v>
                </c:pt>
                <c:pt idx="9">
                  <c:v>38.046900000000001</c:v>
                </c:pt>
                <c:pt idx="10">
                  <c:v>43.368000000000002</c:v>
                </c:pt>
                <c:pt idx="11">
                  <c:v>50.567700000000002</c:v>
                </c:pt>
                <c:pt idx="12">
                  <c:v>60.361399999999996</c:v>
                </c:pt>
              </c:numCache>
            </c:numRef>
          </c:val>
          <c:smooth val="0"/>
        </c:ser>
        <c:ser>
          <c:idx val="0"/>
          <c:order val="2"/>
          <c:tx>
            <c:strRef>
              <c:f>'Уровень жизни'!$A$5</c:f>
              <c:strCache>
                <c:ptCount val="1"/>
                <c:pt idx="0">
                  <c:v>Барнаул</c:v>
                </c:pt>
              </c:strCache>
            </c:strRef>
          </c:tx>
          <c:spPr>
            <a:ln w="25515" cap="rnd">
              <a:solidFill>
                <a:srgbClr val="6F94C0"/>
              </a:solidFill>
              <a:prstDash val="solid"/>
              <a:round/>
            </a:ln>
            <a:effectLst/>
          </c:spPr>
          <c:marker>
            <c:symbol val="none"/>
          </c:marker>
          <c:cat>
            <c:strRef>
              <c:f>'Уровень жизни'!$B$4:$N$4</c:f>
              <c:strCache>
                <c:ptCount val="13"/>
                <c:pt idx="0">
                  <c:v>2012 г.</c:v>
                </c:pt>
                <c:pt idx="1">
                  <c:v>2013 г.</c:v>
                </c:pt>
                <c:pt idx="2">
                  <c:v>2014 г.</c:v>
                </c:pt>
                <c:pt idx="3">
                  <c:v>2015 г.</c:v>
                </c:pt>
                <c:pt idx="4">
                  <c:v>2016 г.</c:v>
                </c:pt>
                <c:pt idx="5">
                  <c:v>2017 г.</c:v>
                </c:pt>
                <c:pt idx="6">
                  <c:v>2018 г.</c:v>
                </c:pt>
                <c:pt idx="7">
                  <c:v>2019 г.</c:v>
                </c:pt>
                <c:pt idx="8">
                  <c:v>2020 г.</c:v>
                </c:pt>
                <c:pt idx="9">
                  <c:v>2021 г.</c:v>
                </c:pt>
                <c:pt idx="10">
                  <c:v>2022 г.</c:v>
                </c:pt>
                <c:pt idx="11">
                  <c:v>2023 г.</c:v>
                </c:pt>
                <c:pt idx="12">
                  <c:v>2024 г.</c:v>
                </c:pt>
              </c:strCache>
            </c:strRef>
          </c:cat>
          <c:val>
            <c:numRef>
              <c:f>'Уровень жизни'!$B$5:$N$5</c:f>
              <c:numCache>
                <c:formatCode>0</c:formatCode>
                <c:ptCount val="13"/>
                <c:pt idx="0">
                  <c:v>21.75259999999999</c:v>
                </c:pt>
                <c:pt idx="1">
                  <c:v>24.451700000000002</c:v>
                </c:pt>
                <c:pt idx="2">
                  <c:v>26.521699999999996</c:v>
                </c:pt>
                <c:pt idx="3">
                  <c:v>27.433700000000002</c:v>
                </c:pt>
                <c:pt idx="4">
                  <c:v>28.937000000000001</c:v>
                </c:pt>
                <c:pt idx="5">
                  <c:v>31.136900000000004</c:v>
                </c:pt>
                <c:pt idx="6">
                  <c:v>34.761100000000006</c:v>
                </c:pt>
                <c:pt idx="7">
                  <c:v>37.9895</c:v>
                </c:pt>
                <c:pt idx="8">
                  <c:v>40.713900000000002</c:v>
                </c:pt>
                <c:pt idx="9">
                  <c:v>44.886699999999998</c:v>
                </c:pt>
                <c:pt idx="10">
                  <c:v>50.582900000000002</c:v>
                </c:pt>
                <c:pt idx="11">
                  <c:v>58.747800000000005</c:v>
                </c:pt>
                <c:pt idx="12">
                  <c:v>69.580500000000001</c:v>
                </c:pt>
              </c:numCache>
            </c:numRef>
          </c:val>
          <c:smooth val="0"/>
        </c:ser>
        <c:dLbls>
          <c:showLegendKey val="0"/>
          <c:showVal val="0"/>
          <c:showCatName val="0"/>
          <c:showSerName val="0"/>
          <c:showPercent val="0"/>
          <c:showBubbleSize val="0"/>
        </c:dLbls>
        <c:smooth val="0"/>
        <c:axId val="508128344"/>
        <c:axId val="508128736"/>
      </c:lineChart>
      <c:catAx>
        <c:axId val="508128344"/>
        <c:scaling>
          <c:orientation val="minMax"/>
        </c:scaling>
        <c:delete val="0"/>
        <c:axPos val="b"/>
        <c:numFmt formatCode="General" sourceLinked="1"/>
        <c:majorTickMark val="none"/>
        <c:minorTickMark val="none"/>
        <c:tickLblPos val="nextTo"/>
        <c:spPr>
          <a:noFill/>
          <a:ln w="8505" cap="flat" cmpd="sng" algn="ctr">
            <a:solidFill>
              <a:schemeClr val="tx1">
                <a:lumMod val="15000"/>
                <a:lumOff val="85000"/>
              </a:schemeClr>
            </a:solidFill>
            <a:round/>
          </a:ln>
          <a:effectLst/>
        </c:spPr>
        <c:txPr>
          <a:bodyPr rot="-60000000" spcFirstLastPara="1" vertOverflow="ellipsis" vert="horz" wrap="square" anchor="ctr" anchorCtr="1"/>
          <a:lstStyle/>
          <a:p>
            <a:pPr>
              <a:defRPr sz="804" b="0" i="0" u="none" strike="noStrike" baseline="0">
                <a:solidFill>
                  <a:schemeClr val="tx1">
                    <a:lumMod val="65000"/>
                    <a:lumOff val="35000"/>
                  </a:schemeClr>
                </a:solidFill>
                <a:latin typeface="PT Astra Serif" pitchFamily="18" charset="-52"/>
                <a:ea typeface="PT Astra Serif" pitchFamily="18" charset="-52"/>
                <a:cs typeface="Times New Roman"/>
              </a:defRPr>
            </a:pPr>
            <a:endParaRPr lang="ru-RU"/>
          </a:p>
        </c:txPr>
        <c:crossAx val="508128736"/>
        <c:crosses val="autoZero"/>
        <c:auto val="1"/>
        <c:lblAlgn val="ctr"/>
        <c:lblOffset val="100"/>
        <c:noMultiLvlLbl val="0"/>
      </c:catAx>
      <c:valAx>
        <c:axId val="508128736"/>
        <c:scaling>
          <c:orientation val="minMax"/>
        </c:scaling>
        <c:delete val="0"/>
        <c:axPos val="l"/>
        <c:majorGridlines>
          <c:spPr>
            <a:ln w="8505" cap="flat" cmpd="sng" algn="ctr">
              <a:solidFill>
                <a:schemeClr val="tx1">
                  <a:lumMod val="15000"/>
                  <a:lumOff val="85000"/>
                </a:schemeClr>
              </a:solidFill>
              <a:round/>
            </a:ln>
            <a:effectLst/>
          </c:spPr>
        </c:majorGridlines>
        <c:numFmt formatCode="0" sourceLinked="1"/>
        <c:majorTickMark val="none"/>
        <c:minorTickMark val="none"/>
        <c:tickLblPos val="nextTo"/>
        <c:spPr>
          <a:ln w="11340">
            <a:noFill/>
          </a:ln>
        </c:spPr>
        <c:txPr>
          <a:bodyPr rot="-60000000" spcFirstLastPara="1" vertOverflow="ellipsis" vert="horz" wrap="square" anchor="ctr" anchorCtr="1"/>
          <a:lstStyle/>
          <a:p>
            <a:pPr>
              <a:defRPr sz="804" b="0" i="0" u="none" strike="noStrike" baseline="0">
                <a:solidFill>
                  <a:schemeClr val="tx1">
                    <a:lumMod val="65000"/>
                    <a:lumOff val="35000"/>
                  </a:schemeClr>
                </a:solidFill>
                <a:latin typeface="PT Astra Serif" pitchFamily="18" charset="-52"/>
                <a:ea typeface="PT Astra Serif" pitchFamily="18" charset="-52"/>
                <a:cs typeface="Times New Roman"/>
              </a:defRPr>
            </a:pPr>
            <a:endParaRPr lang="ru-RU"/>
          </a:p>
        </c:txPr>
        <c:crossAx val="508128344"/>
        <c:crosses val="autoZero"/>
        <c:crossBetween val="between"/>
      </c:valAx>
      <c:spPr>
        <a:noFill/>
        <a:ln w="22680">
          <a:noFill/>
        </a:ln>
      </c:spPr>
    </c:plotArea>
    <c:legend>
      <c:legendPos val="b"/>
      <c:overlay val="0"/>
      <c:spPr>
        <a:noFill/>
        <a:ln w="22680">
          <a:noFill/>
        </a:ln>
      </c:spPr>
      <c:txPr>
        <a:bodyPr rot="0" spcFirstLastPara="1" vertOverflow="ellipsis" vert="horz" wrap="square" anchor="ctr" anchorCtr="1"/>
        <a:lstStyle/>
        <a:p>
          <a:pPr>
            <a:defRPr sz="804" b="0" i="0" u="none" strike="noStrike" baseline="0">
              <a:solidFill>
                <a:schemeClr val="tx1">
                  <a:lumMod val="65000"/>
                  <a:lumOff val="35000"/>
                </a:schemeClr>
              </a:solidFill>
              <a:latin typeface="PT Astra Serif" pitchFamily="18" charset="-52"/>
              <a:ea typeface="PT Astra Serif" pitchFamily="18" charset="-52"/>
              <a:cs typeface="Times New Roman"/>
            </a:defRPr>
          </a:pPr>
          <a:endParaRPr lang="ru-RU"/>
        </a:p>
      </c:txPr>
    </c:legend>
    <c:plotVisOnly val="1"/>
    <c:dispBlanksAs val="gap"/>
    <c:showDLblsOverMax val="0"/>
  </c:chart>
  <c:spPr>
    <a:solidFill>
      <a:schemeClr val="bg1"/>
    </a:solidFill>
    <a:ln>
      <a:noFill/>
    </a:ln>
    <a:effectLst/>
  </c:spPr>
  <c:txPr>
    <a:bodyPr/>
    <a:lstStyle/>
    <a:p>
      <a:pPr>
        <a:defRPr>
          <a:latin typeface="Times New Roman"/>
          <a:cs typeface="Times New Roman"/>
        </a:defRPr>
      </a:pPr>
      <a:endParaRPr lang="ru-RU"/>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cs:axisTitle>
  <cs:categoryAxis>
    <cs:lnRef idx="0"/>
    <cs:fillRef idx="0"/>
    <cs:effectRef idx="0"/>
    <cs:fontRef idx="minor">
      <a:schemeClr val="tx1">
        <a:lumMod val="65000"/>
        <a:lumOff val="35000"/>
      </a:schemeClr>
    </cs:fontRef>
    <cs:spPr bwMode="auto">
      <a:prstGeom prst="rect">
        <a:avLst/>
      </a:prstGeom>
      <a:ln w="9525" cap="flat" cmpd="sng" algn="ctr">
        <a:solidFill>
          <a:schemeClr val="tx1">
            <a:lumMod val="15000"/>
            <a:lumOff val="85000"/>
          </a:schemeClr>
        </a:solidFill>
        <a:round/>
      </a:ln>
    </cs:spPr>
    <cs:defRPr sz="900"/>
  </cs:categoryAxis>
  <cs:chartArea>
    <cs:lnRef idx="0"/>
    <cs:fillRef idx="0"/>
    <cs:effectRef idx="0"/>
    <cs:fontRef idx="minor">
      <a:schemeClr val="tx1"/>
    </cs:fontRef>
    <cs:spPr bwMode="auto">
      <a:prstGeom prst="rect">
        <a:avLst/>
      </a:prstGeom>
      <a:solidFill>
        <a:schemeClr val="bg1"/>
      </a:solidFill>
      <a:ln w="9525" cap="flat" cmpd="sng" algn="ctr">
        <a:solidFill>
          <a:schemeClr val="tx1">
            <a:lumMod val="15000"/>
            <a:lumOff val="85000"/>
          </a:schemeClr>
        </a:solidFill>
        <a:round/>
      </a:ln>
    </cs:spPr>
    <cs:defRPr sz="900"/>
  </cs:chartArea>
  <cs:dataLabel>
    <cs:lnRef idx="0"/>
    <cs:fillRef idx="0"/>
    <cs:effectRef idx="0"/>
    <cs:fontRef idx="minor">
      <a:schemeClr val="tx1">
        <a:lumMod val="75000"/>
        <a:lumOff val="25000"/>
      </a:schemeClr>
    </cs:fontRef>
    <cs:defRPr sz="900"/>
  </cs:dataLabel>
  <cs:dataLabelCallout>
    <cs:lnRef idx="0"/>
    <cs:fillRef idx="0"/>
    <cs:effectRef idx="0"/>
    <cs:fontRef idx="minor">
      <a:schemeClr val="tx1">
        <a:lumMod val="75000"/>
        <a:lumOff val="25000"/>
      </a:schemeClr>
    </cs:fontRef>
    <cs:defRPr sz="900"/>
  </cs:dataLabelCallout>
  <cs:dataPoint>
    <cs:lnRef idx="0"/>
    <cs:fillRef idx="1">
      <cs:styleClr val="auto"/>
    </cs:fillRef>
    <cs:effectRef idx="0"/>
    <cs:fontRef idx="minor">
      <a:schemeClr val="tx1"/>
    </cs:fontRef>
    <cs:spPr bwMode="auto">
      <a:prstGeom prst="rect">
        <a:avLst/>
      </a:prstGeom>
      <a:ln w="19050">
        <a:solidFill>
          <a:schemeClr val="lt1"/>
        </a:solidFill>
      </a:ln>
    </cs:spPr>
  </cs:dataPoint>
  <cs:dataPoint3D>
    <cs:lnRef idx="0"/>
    <cs:fillRef idx="1">
      <cs:styleClr val="auto"/>
    </cs:fillRef>
    <cs:effectRef idx="0"/>
    <cs:fontRef idx="minor">
      <a:schemeClr val="tx1"/>
    </cs:fontRef>
    <cs:spPr bwMode="auto">
      <a:prstGeom prst="rect">
        <a:avLst/>
      </a:prstGeom>
      <a:ln w="25400">
        <a:solidFill>
          <a:schemeClr val="lt1"/>
        </a:solidFill>
      </a:ln>
    </cs:spPr>
  </cs:dataPoint3D>
  <cs:dataPointLine>
    <cs:lnRef idx="0">
      <cs:styleClr val="auto"/>
    </cs:lnRef>
    <cs:fillRef idx="0"/>
    <cs:effectRef idx="0"/>
    <cs:fontRef idx="minor">
      <a:schemeClr val="tx1"/>
    </cs:fontRef>
    <cs:spPr bwMode="auto">
      <a:prstGeom prst="rect">
        <a:avLst/>
      </a:prstGeom>
      <a:ln w="28575" cap="rnd">
        <a:solidFill>
          <a:schemeClr val="phClr"/>
        </a:solidFill>
        <a:round/>
      </a:ln>
    </cs:spPr>
  </cs:dataPointLine>
  <cs:dataPointMarker>
    <cs:lnRef idx="0">
      <cs:styleClr val="auto"/>
    </cs:lnRef>
    <cs:fillRef idx="1">
      <cs:styleClr val="auto"/>
    </cs:fillRef>
    <cs:effectRef idx="0"/>
    <cs:fontRef idx="minor">
      <a:schemeClr val="tx1"/>
    </cs:fontRef>
    <cs:spPr bwMode="auto">
      <a:prstGeom prst="rect">
        <a:avLst/>
      </a:prstGeom>
      <a:ln w="9525">
        <a:solidFill>
          <a:schemeClr val="phClr"/>
        </a:solidFill>
      </a:ln>
    </cs:spPr>
  </cs:dataPointMarker>
  <cs:dataPointMarkerLayout/>
  <cs:dataPointWireframe>
    <cs:lnRef idx="0">
      <cs:styleClr val="auto"/>
    </cs:lnRef>
    <cs:fillRef idx="0"/>
    <cs:effectRef idx="0"/>
    <cs:fontRef idx="minor">
      <a:schemeClr val="tx1"/>
    </cs:fontRef>
    <cs:spPr bwMode="auto">
      <a:prstGeom prst="rect">
        <a:avLst/>
      </a:prstGeom>
      <a:ln w="9525" cap="rnd">
        <a:solidFill>
          <a:schemeClr val="phClr"/>
        </a:solidFill>
        <a:round/>
      </a:ln>
    </cs:spPr>
  </cs:dataPointWireframe>
  <cs:dataTable>
    <cs:lnRef idx="0"/>
    <cs:fillRef idx="0"/>
    <cs:effectRef idx="0"/>
    <cs:fontRef idx="minor">
      <a:schemeClr val="tx1">
        <a:lumMod val="65000"/>
        <a:lumOff val="35000"/>
      </a:schemeClr>
    </cs:fontRef>
    <cs:spPr bwMode="auto">
      <a:prstGeom prst="rect">
        <a:avLst/>
      </a:prstGeom>
      <a:noFill/>
      <a:ln w="9525" cap="flat" cmpd="sng" algn="ctr">
        <a:solidFill>
          <a:schemeClr val="tx1">
            <a:lumMod val="15000"/>
            <a:lumOff val="85000"/>
          </a:schemeClr>
        </a:solidFill>
        <a:round/>
      </a:ln>
    </cs:spPr>
    <cs:defRPr sz="900"/>
  </cs:dataTable>
  <cs:downBar>
    <cs:lnRef idx="0"/>
    <cs:fillRef idx="0"/>
    <cs:effectRef idx="0"/>
    <cs:fontRef idx="minor">
      <a:schemeClr val="tx1"/>
    </cs:fontRef>
    <cs:spPr bwMode="auto">
      <a:prstGeom prst="rect">
        <a:avLst/>
      </a:prstGeom>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bwMode="auto">
      <a:prstGeom prst="rect">
        <a:avLst/>
      </a:prstGeom>
      <a:ln w="9525" cap="flat" cmpd="sng" algn="ctr">
        <a:solidFill>
          <a:schemeClr val="tx1">
            <a:lumMod val="35000"/>
            <a:lumOff val="65000"/>
          </a:schemeClr>
        </a:solidFill>
        <a:round/>
      </a:ln>
    </cs:spPr>
  </cs:dropLine>
  <cs:errorBar>
    <cs:lnRef idx="0"/>
    <cs:fillRef idx="0"/>
    <cs:effectRef idx="0"/>
    <cs:fontRef idx="minor">
      <a:schemeClr val="tx1"/>
    </cs:fontRef>
    <cs:spPr bwMode="auto">
      <a:prstGeom prst="rect">
        <a:avLst/>
      </a:prstGeom>
      <a:ln w="9525" cap="flat" cmpd="sng" algn="ctr">
        <a:solidFill>
          <a:schemeClr val="tx1">
            <a:lumMod val="65000"/>
            <a:lumOff val="35000"/>
          </a:schemeClr>
        </a:solidFill>
        <a:round/>
      </a:ln>
    </cs:spPr>
  </cs:errorBar>
  <cs:floor>
    <cs:lnRef idx="0"/>
    <cs:fillRef idx="0"/>
    <cs:effectRef idx="0"/>
    <cs:fontRef idx="minor">
      <a:schemeClr val="tx1"/>
    </cs:fontRef>
    <cs:spPr bwMode="auto">
      <a:prstGeom prst="rect">
        <a:avLst/>
      </a:prstGeom>
      <a:noFill/>
      <a:ln>
        <a:noFill/>
      </a:ln>
    </cs:spPr>
  </cs:floor>
  <cs:gridlineMajor>
    <cs:lnRef idx="0"/>
    <cs:fillRef idx="0"/>
    <cs:effectRef idx="0"/>
    <cs:fontRef idx="minor">
      <a:schemeClr val="tx1"/>
    </cs:fontRef>
    <cs:spPr bwMode="auto">
      <a:prstGeom prst="rect">
        <a:avLst/>
      </a:prstGeom>
      <a:ln w="9525" cap="flat" cmpd="sng" algn="ctr">
        <a:solidFill>
          <a:schemeClr val="tx1">
            <a:lumMod val="15000"/>
            <a:lumOff val="85000"/>
          </a:schemeClr>
        </a:solidFill>
        <a:round/>
      </a:ln>
    </cs:spPr>
  </cs:gridlineMajor>
  <cs:gridlineMinor>
    <cs:lnRef idx="0"/>
    <cs:fillRef idx="0"/>
    <cs:effectRef idx="0"/>
    <cs:fontRef idx="minor">
      <a:schemeClr val="tx1"/>
    </cs:fontRef>
    <cs:spPr bwMode="auto">
      <a:prstGeom prst="rect">
        <a:avLst/>
      </a:prstGeom>
      <a:ln w="9525" cap="flat" cmpd="sng" algn="ctr">
        <a:solidFill>
          <a:schemeClr val="tx1">
            <a:lumMod val="5000"/>
            <a:lumOff val="95000"/>
          </a:schemeClr>
        </a:solidFill>
        <a:round/>
      </a:ln>
    </cs:spPr>
  </cs:gridlineMinor>
  <cs:hiLoLine>
    <cs:lnRef idx="0"/>
    <cs:fillRef idx="0"/>
    <cs:effectRef idx="0"/>
    <cs:fontRef idx="minor">
      <a:schemeClr val="tx1"/>
    </cs:fontRef>
    <cs:spPr bwMode="auto">
      <a:prstGeom prst="rect">
        <a:avLst/>
      </a:prstGeom>
      <a:ln w="9525" cap="flat" cmpd="sng" algn="ctr">
        <a:solidFill>
          <a:schemeClr val="tx1">
            <a:lumMod val="50000"/>
            <a:lumOff val="50000"/>
          </a:schemeClr>
        </a:solidFill>
        <a:round/>
      </a:ln>
    </cs:spPr>
  </cs:hiLoLine>
  <cs:leaderLine>
    <cs:lnRef idx="0"/>
    <cs:fillRef idx="0"/>
    <cs:effectRef idx="0"/>
    <cs:fontRef idx="minor">
      <a:schemeClr val="tx1"/>
    </cs:fontRef>
    <cs:spPr bwMode="auto">
      <a:prstGeom prst="rect">
        <a:avLst/>
      </a:prstGeom>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tx1">
        <a:lumMod val="65000"/>
        <a:lumOff val="35000"/>
      </a:schemeClr>
    </cs:fontRef>
    <cs:defRPr sz="900"/>
  </cs:seriesAxis>
  <cs:seriesLine>
    <cs:lnRef idx="0"/>
    <cs:fillRef idx="0"/>
    <cs:effectRef idx="0"/>
    <cs:fontRef idx="minor">
      <a:schemeClr val="tx1"/>
    </cs:fontRef>
    <cs:spPr bwMode="auto">
      <a:prstGeom prst="rect">
        <a:avLst/>
      </a:prstGeom>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spc="0"/>
  </cs:title>
  <cs:trendline>
    <cs:lnRef idx="0">
      <cs:styleClr val="auto"/>
    </cs:lnRef>
    <cs:fillRef idx="0"/>
    <cs:effectRef idx="0"/>
    <cs:fontRef idx="minor">
      <a:schemeClr val="tx1"/>
    </cs:fontRef>
    <cs:spPr bwMode="auto">
      <a:prstGeom prst="rect">
        <a:avLst/>
      </a:prstGeom>
      <a:ln w="19050" cap="rnd">
        <a:solidFill>
          <a:schemeClr val="phClr"/>
        </a:solidFill>
        <a:prstDash val="sysDot"/>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bwMode="auto">
      <a:prstGeom prst="rect">
        <a:avLst/>
      </a:prstGeom>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spPr bwMode="auto">
      <a:prstGeom prst="rect">
        <a:avLst/>
      </a:prstGeom>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Arial"/>
      <a:cs typeface="Arial"/>
    </a:majorFont>
    <a:minorFont>
      <a:latin typeface="Calibri"/>
      <a:ea typeface="Arial"/>
      <a:cs typeface="Arial"/>
    </a:minorFont>
  </a:fontScheme>
  <a:fmtScheme name="Стандартная">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45F82"/>
    </a:accent1>
    <a:accent2>
      <a:srgbClr val="E87331"/>
    </a:accent2>
    <a:accent3>
      <a:srgbClr val="186C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Arial"/>
      <a:cs typeface="Arial"/>
    </a:majorFont>
    <a:minorFont>
      <a:latin typeface="Aptos Narrow"/>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Arial"/>
      <a:cs typeface="Arial"/>
    </a:majorFont>
    <a:minorFont>
      <a:latin typeface="Calibri"/>
      <a:ea typeface="Arial"/>
      <a:cs typeface="Arial"/>
    </a:minorFont>
  </a:fontScheme>
  <a:fmtScheme name="Стандартная">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45F82"/>
    </a:accent1>
    <a:accent2>
      <a:srgbClr val="E87331"/>
    </a:accent2>
    <a:accent3>
      <a:srgbClr val="186C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Arial"/>
      <a:cs typeface="Arial"/>
    </a:majorFont>
    <a:minorFont>
      <a:latin typeface="Aptos Narrow"/>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45F82"/>
    </a:accent1>
    <a:accent2>
      <a:srgbClr val="E87331"/>
    </a:accent2>
    <a:accent3>
      <a:srgbClr val="186C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Arial"/>
      <a:cs typeface="Arial"/>
    </a:majorFont>
    <a:minorFont>
      <a:latin typeface="Aptos Narrow"/>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Arial"/>
      <a:cs typeface="Arial"/>
    </a:majorFont>
    <a:minorFont>
      <a:latin typeface="Calibri"/>
      <a:ea typeface="Arial"/>
      <a:cs typeface="Arial"/>
    </a:minorFont>
  </a:fontScheme>
  <a:fmtScheme name="Стандартная">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Arial"/>
      <a:cs typeface="Arial"/>
    </a:majorFont>
    <a:minorFont>
      <a:latin typeface="Calibri"/>
      <a:ea typeface="Arial"/>
      <a:cs typeface="Arial"/>
    </a:minorFont>
  </a:fontScheme>
  <a:fmtScheme name="Стандартная">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45F82"/>
    </a:accent1>
    <a:accent2>
      <a:srgbClr val="E87331"/>
    </a:accent2>
    <a:accent3>
      <a:srgbClr val="186C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Arial"/>
      <a:cs typeface="Arial"/>
    </a:majorFont>
    <a:minorFont>
      <a:latin typeface="Aptos Narrow"/>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Arial"/>
      <a:cs typeface="Arial"/>
    </a:majorFont>
    <a:minorFont>
      <a:latin typeface="Calibri"/>
      <a:ea typeface="Arial"/>
      <a:cs typeface="Arial"/>
    </a:minorFont>
  </a:fontScheme>
  <a:fmtScheme name="Стандартная">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45F82"/>
    </a:accent1>
    <a:accent2>
      <a:srgbClr val="E87331"/>
    </a:accent2>
    <a:accent3>
      <a:srgbClr val="186C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Arial"/>
      <a:cs typeface="Arial"/>
    </a:majorFont>
    <a:minorFont>
      <a:latin typeface="Aptos Narrow"/>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45F82"/>
    </a:accent1>
    <a:accent2>
      <a:srgbClr val="E87331"/>
    </a:accent2>
    <a:accent3>
      <a:srgbClr val="186C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Arial"/>
      <a:cs typeface="Arial"/>
    </a:majorFont>
    <a:minorFont>
      <a:latin typeface="Aptos Narrow"/>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45F82"/>
    </a:accent1>
    <a:accent2>
      <a:srgbClr val="E87331"/>
    </a:accent2>
    <a:accent3>
      <a:srgbClr val="186C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Arial"/>
      <a:cs typeface="Arial"/>
    </a:majorFont>
    <a:minorFont>
      <a:latin typeface="Aptos Narrow"/>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Arial"/>
      <a:cs typeface="Arial"/>
    </a:majorFont>
    <a:minorFont>
      <a:latin typeface="Calibri"/>
      <a:ea typeface="Arial"/>
      <a:cs typeface="Arial"/>
    </a:minorFont>
  </a:fontScheme>
  <a:fmtScheme name="Стандартная">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Override>
</file>

<file path=word/theme/themeOverride2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Arial"/>
      <a:cs typeface="Arial"/>
    </a:majorFont>
    <a:minorFont>
      <a:latin typeface="Calibri"/>
      <a:ea typeface="Arial"/>
      <a:cs typeface="Arial"/>
    </a:minorFont>
  </a:fontScheme>
  <a:fmtScheme name="Стандартная">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Arial"/>
      <a:cs typeface="Arial"/>
    </a:majorFont>
    <a:minorFont>
      <a:latin typeface="Calibri"/>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45F82"/>
    </a:accent1>
    <a:accent2>
      <a:srgbClr val="E87331"/>
    </a:accent2>
    <a:accent3>
      <a:srgbClr val="186C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Arial"/>
      <a:cs typeface="Arial"/>
    </a:majorFont>
    <a:minorFont>
      <a:latin typeface="Aptos Narrow"/>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45F82"/>
    </a:accent1>
    <a:accent2>
      <a:srgbClr val="E87331"/>
    </a:accent2>
    <a:accent3>
      <a:srgbClr val="186C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Arial"/>
      <a:cs typeface="Arial"/>
    </a:majorFont>
    <a:minorFont>
      <a:latin typeface="Aptos Narrow"/>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Arial"/>
      <a:cs typeface="Arial"/>
    </a:majorFont>
    <a:minorFont>
      <a:latin typeface="Calibri"/>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45F82"/>
    </a:accent1>
    <a:accent2>
      <a:srgbClr val="E87331"/>
    </a:accent2>
    <a:accent3>
      <a:srgbClr val="186C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Arial"/>
      <a:cs typeface="Arial"/>
    </a:majorFont>
    <a:minorFont>
      <a:latin typeface="Aptos Narrow"/>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45F82"/>
    </a:accent1>
    <a:accent2>
      <a:srgbClr val="E87331"/>
    </a:accent2>
    <a:accent3>
      <a:srgbClr val="186C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Arial"/>
      <a:cs typeface="Arial"/>
    </a:majorFont>
    <a:minorFont>
      <a:latin typeface="Aptos Narrow"/>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45F82"/>
    </a:accent1>
    <a:accent2>
      <a:srgbClr val="E87331"/>
    </a:accent2>
    <a:accent3>
      <a:srgbClr val="186C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Arial"/>
      <a:cs typeface="Arial"/>
    </a:majorFont>
    <a:minorFont>
      <a:latin typeface="Aptos Narrow"/>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3.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45F82"/>
    </a:accent1>
    <a:accent2>
      <a:srgbClr val="E87331"/>
    </a:accent2>
    <a:accent3>
      <a:srgbClr val="186C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Arial"/>
      <a:cs typeface="Arial"/>
    </a:majorFont>
    <a:minorFont>
      <a:latin typeface="Aptos Narrow"/>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4.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45F82"/>
    </a:accent1>
    <a:accent2>
      <a:srgbClr val="E87331"/>
    </a:accent2>
    <a:accent3>
      <a:srgbClr val="186C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Arial"/>
      <a:cs typeface="Arial"/>
    </a:majorFont>
    <a:minorFont>
      <a:latin typeface="Aptos Narrow"/>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Arial"/>
      <a:cs typeface="Arial"/>
    </a:majorFont>
    <a:minorFont>
      <a:latin typeface="Calibri"/>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Arial"/>
      <a:cs typeface="Arial"/>
    </a:majorFont>
    <a:minorFont>
      <a:latin typeface="Calibri"/>
      <a:ea typeface="Arial"/>
      <a:cs typeface="Arial"/>
    </a:minorFont>
  </a:fontScheme>
  <a:fmtScheme name="Стандартная">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Arial"/>
      <a:cs typeface="Arial"/>
    </a:majorFont>
    <a:minorFont>
      <a:latin typeface="Calibri"/>
      <a:ea typeface="Arial"/>
      <a:cs typeface="Arial"/>
    </a:minorFont>
  </a:fontScheme>
  <a:fmtScheme name="Стандартная">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Arial"/>
      <a:cs typeface="Arial"/>
    </a:majorFont>
    <a:minorFont>
      <a:latin typeface="Calibri"/>
      <a:ea typeface="Arial"/>
      <a:cs typeface="Arial"/>
    </a:minorFont>
  </a:fontScheme>
  <a:fmtScheme name="Стандартная">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45F82"/>
    </a:accent1>
    <a:accent2>
      <a:srgbClr val="E87331"/>
    </a:accent2>
    <a:accent3>
      <a:srgbClr val="186C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Arial"/>
      <a:cs typeface="Arial"/>
    </a:majorFont>
    <a:minorFont>
      <a:latin typeface="Aptos Narrow"/>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04D1A977-B919-4F02-B13A-5ABAF27237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662</TotalTime>
  <Pages>179</Pages>
  <Words>52625</Words>
  <Characters>299969</Characters>
  <Application>Microsoft Office Word</Application>
  <DocSecurity>0</DocSecurity>
  <Lines>2499</Lines>
  <Paragraphs>703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351891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Попова Яна Игоревна</dc:creator>
  <cp:keywords/>
  <cp:lastModifiedBy>А .В. Баранов</cp:lastModifiedBy>
  <cp:revision>29</cp:revision>
  <cp:lastPrinted>2025-12-12T07:00:00Z</cp:lastPrinted>
  <dcterms:created xsi:type="dcterms:W3CDTF">2025-12-09T11:04:00Z</dcterms:created>
  <dcterms:modified xsi:type="dcterms:W3CDTF">2025-12-12T07:03:00Z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0x010100FC8BE9AD7AB71A4AB44CF7074A662980</vt:lpwstr>
  </property>
  <property fmtid="{D5CDD505-2E9C-101B-9397-08002B2CF9AE}" pid="3" name="MediaServiceImageTags">
    <vt:lpwstr/>
  </property>
  <property fmtid="{D5CDD505-2E9C-101B-9397-08002B2CF9AE}" pid="4" name="lcf76f155ced4ddcb4097134ff3c332f">
    <vt:lpwstr/>
  </property>
  <property fmtid="{D5CDD505-2E9C-101B-9397-08002B2CF9AE}" pid="5" name="TaxCatchAll">
    <vt:lpwstr/>
  </property>
</Properties>
</file>