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-142"/>
        </w:tabs>
        <w:spacing w:after="0" w:line="240" w:lineRule="auto"/>
        <w:ind w:right="-2" w:firstLine="567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-142"/>
        </w:tabs>
        <w:spacing w:after="0" w:line="240" w:lineRule="auto"/>
        <w:ind w:right="-2" w:firstLine="567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7088"/>
        </w:tabs>
        <w:spacing w:after="0" w:line="240" w:lineRule="auto"/>
        <w:ind w:firstLine="567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11.03.2025 № 118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правоприменительной практике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за 20</w:t>
      </w:r>
      <w:r>
        <w:rPr>
          <w:rFonts w:ascii="Times New Roman" w:hAnsi="Times New Roman" w:cs="Times New Roman"/>
          <w:sz w:val="28"/>
          <w:szCs w:val="28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 целью обеспечения единообразного подхода к применению администрацией Железнодорожного района города Ба</w:t>
      </w:r>
      <w:r>
        <w:rPr>
          <w:rFonts w:ascii="Times New Roman" w:hAnsi="Times New Roman" w:cs="Times New Roman"/>
          <w:sz w:val="28"/>
          <w:szCs w:val="28"/>
        </w:rPr>
        <w:t xml:space="preserve">рнаула (далее – администрация района) обязательных требований, выявления типичных нарушений обязательных требований, причин, факторов и условий, способствующих возникновению нарушений, администрацией района проведено обобщение правоприменительной практики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частью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sz w:val="28"/>
          <w:szCs w:val="28"/>
        </w:rPr>
        <w:t xml:space="preserve">47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31.07.2020 №248-ФЗ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Федеральный закон от </w:t>
      </w:r>
      <w:r>
        <w:rPr>
          <w:rFonts w:ascii="Times New Roman" w:hAnsi="Times New Roman" w:cs="Times New Roman"/>
          <w:sz w:val="28"/>
          <w:szCs w:val="28"/>
        </w:rPr>
        <w:t xml:space="preserve">31.07.2020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№248-ФЗ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Положения </w:t>
      </w:r>
      <w:r>
        <w:rPr>
          <w:rFonts w:ascii="Times New Roman" w:hAnsi="Times New Roman" w:cs="Times New Roman"/>
          <w:sz w:val="28"/>
          <w:szCs w:val="28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решением Барнаульской</w:t>
      </w:r>
      <w:r>
        <w:rPr>
          <w:rFonts w:ascii="Times New Roman" w:hAnsi="Times New Roman" w:cs="Times New Roman"/>
          <w:sz w:val="28"/>
          <w:szCs w:val="28"/>
        </w:rPr>
        <w:t xml:space="preserve"> городской Думы </w:t>
      </w:r>
      <w:r>
        <w:rPr>
          <w:rFonts w:ascii="Times New Roman" w:hAnsi="Times New Roman" w:cs="Times New Roman"/>
          <w:sz w:val="28"/>
          <w:szCs w:val="28"/>
        </w:rPr>
        <w:t xml:space="preserve">от 30.11.2021</w:t>
      </w:r>
      <w:r>
        <w:rPr>
          <w:rFonts w:ascii="Times New Roman" w:hAnsi="Times New Roman" w:cs="Times New Roman"/>
          <w:sz w:val="28"/>
          <w:szCs w:val="28"/>
        </w:rPr>
        <w:t xml:space="preserve"> №797.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Общие положения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Уставом городского округа - города Барнаула Алтайского края и в рамках полномочий, определ</w:t>
      </w:r>
      <w:r>
        <w:rPr>
          <w:rFonts w:ascii="Times New Roman" w:hAnsi="Times New Roman" w:cs="Times New Roman"/>
          <w:sz w:val="28"/>
          <w:szCs w:val="28"/>
        </w:rPr>
        <w:t xml:space="preserve">енных Положением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Железнодорожном</w:t>
      </w:r>
      <w:r>
        <w:rPr>
          <w:rFonts w:ascii="Times New Roman" w:hAnsi="Times New Roman" w:cs="Times New Roman"/>
          <w:sz w:val="28"/>
          <w:szCs w:val="28"/>
        </w:rPr>
        <w:t xml:space="preserve"> районе города Барнаула 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Железнодорожного</w:t>
      </w:r>
      <w:r>
        <w:rPr>
          <w:rFonts w:ascii="Times New Roman" w:hAnsi="Times New Roman" w:cs="Times New Roman"/>
          <w:sz w:val="28"/>
          <w:szCs w:val="28"/>
        </w:rPr>
        <w:t xml:space="preserve"> района города Барнаула, утвержденного решением Барнаульской городской Думы от 29.10.2021 №775 </w:t>
      </w:r>
      <w:r>
        <w:rPr>
          <w:rFonts w:ascii="Times New Roman" w:hAnsi="Times New Roman" w:cs="Times New Roman"/>
          <w:sz w:val="28"/>
          <w:szCs w:val="28"/>
        </w:rPr>
        <w:t xml:space="preserve">(далее – Положение).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района в соответствии с Положением осуществляет муниципальный контроль на автомобильном транспорте, городском наземном электрическом транспорте и в дорожном хозя</w:t>
      </w:r>
      <w:r>
        <w:rPr>
          <w:rFonts w:ascii="Times New Roman" w:hAnsi="Times New Roman" w:cs="Times New Roman"/>
          <w:sz w:val="28"/>
          <w:szCs w:val="28"/>
        </w:rPr>
        <w:t xml:space="preserve">йстве.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города Барнаула Алтайского края являются: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Соблюдение контролируемыми лицами обязательных требований: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области автомобильных дорог и дорожной деятельности, установленных в отношении автомобильных дорог общего пользования местного значения городского округа - города Барнаула Алтайского края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автомобильные дороги):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осуществл</w:t>
      </w:r>
      <w:r>
        <w:rPr>
          <w:rFonts w:ascii="Times New Roman" w:hAnsi="Times New Roman" w:cs="Times New Roman"/>
          <w:sz w:val="28"/>
          <w:szCs w:val="28"/>
        </w:rPr>
        <w:t xml:space="preserve">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Исполнение контролируемыми лицами решений, принимаемых по результатам контрольных мероприятий.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на автомобильном транспорте, городском наземном электрическом транспорте и в дорожном хозяйстве осуществляется посредством проведения профилактических мероприятий, а также плановых и внеплановых контрольных мероприятий.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администрации района по муниципальному контролю на автомобильном транспорте, городском наземном электрическом транспорте и в дорожном хозяйстве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района контрольные мероприятия на автомобильном транспорте, городском наземном электрическом транспорте и в дорожном хозяйстве не проводились в связи с установлением постановлением Правител</w:t>
      </w:r>
      <w:r>
        <w:rPr>
          <w:rFonts w:ascii="Times New Roman" w:hAnsi="Times New Roman" w:cs="Times New Roman"/>
          <w:sz w:val="28"/>
          <w:szCs w:val="28"/>
        </w:rPr>
        <w:t xml:space="preserve">ьства Российской Федерации от 10.03.2022 №336 «Об особенностях организации и осуществления государственного контроля (надзора), муниципального контроля» ограничений на проведение контрольных мероприятий, проверок при осуществлении муниципального контроля.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Внеплановые проверки в </w:t>
      </w:r>
      <w:r>
        <w:rPr>
          <w:rFonts w:ascii="Times New Roman" w:hAnsi="Times New Roman" w:cs="Times New Roman"/>
          <w:sz w:val="28"/>
          <w:szCs w:val="28"/>
        </w:rPr>
        <w:t xml:space="preserve">2024</w:t>
      </w:r>
      <w:r>
        <w:rPr>
          <w:rFonts w:ascii="Times New Roman" w:hAnsi="Times New Roman" w:cs="Times New Roman"/>
          <w:sz w:val="28"/>
          <w:szCs w:val="28"/>
        </w:rPr>
        <w:t xml:space="preserve"> году не проводились в связи с отсутствием оснований, предусмотренных частью 2 статьи 10 Федерального закона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пунктами 1, 3 - 6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части 1, частью 3 статьи 57, частью 12 статьи 66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31.07.2020 №248-ФЗ.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контрольные мероприятия в </w:t>
      </w:r>
      <w:r>
        <w:rPr>
          <w:rFonts w:ascii="Times New Roman" w:hAnsi="Times New Roman" w:cs="Times New Roman"/>
          <w:sz w:val="28"/>
          <w:szCs w:val="28"/>
        </w:rPr>
        <w:t xml:space="preserve">2024</w:t>
      </w:r>
      <w:r>
        <w:rPr>
          <w:rFonts w:ascii="Times New Roman" w:hAnsi="Times New Roman" w:cs="Times New Roman"/>
          <w:sz w:val="28"/>
          <w:szCs w:val="28"/>
        </w:rPr>
        <w:t xml:space="preserve"> году не осуществлялись, выявить типичные нарушения обязательных требований, причины, факторы и условия, способствующие возникновению нарушений обязательных требова</w:t>
      </w:r>
      <w:r>
        <w:rPr>
          <w:rFonts w:ascii="Times New Roman" w:hAnsi="Times New Roman" w:cs="Times New Roman"/>
          <w:sz w:val="28"/>
          <w:szCs w:val="28"/>
        </w:rPr>
        <w:t xml:space="preserve">ний, не представилось возможным.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Профилактические визиты в </w:t>
      </w:r>
      <w:r>
        <w:rPr>
          <w:rFonts w:ascii="Times New Roman" w:hAnsi="Times New Roman" w:cs="Times New Roman"/>
          <w:sz w:val="28"/>
          <w:szCs w:val="28"/>
        </w:rPr>
        <w:t xml:space="preserve">2024</w:t>
      </w:r>
      <w:r>
        <w:rPr>
          <w:rFonts w:ascii="Times New Roman" w:hAnsi="Times New Roman" w:cs="Times New Roman"/>
          <w:sz w:val="28"/>
          <w:szCs w:val="28"/>
        </w:rPr>
        <w:t xml:space="preserve"> году не осуществлялись.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текущего состояния осуществления муниципального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</w:t>
      </w:r>
      <w:r>
        <w:rPr>
          <w:rFonts w:ascii="Times New Roman" w:hAnsi="Times New Roman" w:cs="Times New Roman"/>
          <w:sz w:val="28"/>
          <w:szCs w:val="28"/>
        </w:rPr>
        <w:t xml:space="preserve">электрическом транспорте и в дорожном хозяйстве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контролирующими органами администрации района в течение </w:t>
      </w:r>
      <w:r>
        <w:rPr>
          <w:rFonts w:ascii="Times New Roman" w:hAnsi="Times New Roman" w:cs="Times New Roman"/>
          <w:sz w:val="28"/>
          <w:szCs w:val="28"/>
        </w:rPr>
        <w:t xml:space="preserve">2024</w:t>
      </w:r>
      <w:r>
        <w:rPr>
          <w:rFonts w:ascii="Times New Roman" w:hAnsi="Times New Roman" w:cs="Times New Roman"/>
          <w:sz w:val="28"/>
          <w:szCs w:val="28"/>
        </w:rPr>
        <w:t xml:space="preserve"> года осуществлялась профилактическая деятельность, направленная на недопущение, устранение нарушений обязательных требований в указанной сфере. Контролируемые и иные заин</w:t>
      </w:r>
      <w:r>
        <w:rPr>
          <w:rFonts w:ascii="Times New Roman" w:hAnsi="Times New Roman" w:cs="Times New Roman"/>
          <w:sz w:val="28"/>
          <w:szCs w:val="28"/>
        </w:rPr>
        <w:t xml:space="preserve">тересованные лица систематически информировались по вопросам соблюдения обязательных требований, об изменениях законодательства, регламентирующего порядок осуществления муниципального контроля, привлечения лиц к административной ответственности за нарушени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сфере</w:t>
      </w:r>
      <w:r>
        <w:rPr>
          <w:rFonts w:ascii="Times New Roman" w:hAnsi="Times New Roman" w:cs="Times New Roman"/>
          <w:sz w:val="28"/>
          <w:szCs w:val="28"/>
        </w:rPr>
        <w:t xml:space="preserve"> автомобильно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транспорт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, городско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наземно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электрическо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транспорт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и дорожно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хозяйств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, посредством размещения публикаций в рубрике «Муниципальный контроль» на странице Железнодорожного района официально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Интернет-сайт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города Барнаула.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странице Железнодорожного района официально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Интернет</w:t>
      </w:r>
      <w:r>
        <w:rPr>
          <w:rFonts w:ascii="Times New Roman" w:hAnsi="Times New Roman" w:cs="Times New Roman"/>
          <w:sz w:val="28"/>
          <w:szCs w:val="28"/>
        </w:rPr>
        <w:t xml:space="preserve">-сайт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города Барнаула размещены </w:t>
      </w:r>
      <w:r>
        <w:rPr>
          <w:rFonts w:ascii="Times New Roman" w:hAnsi="Times New Roman" w:cs="Times New Roman"/>
          <w:sz w:val="28"/>
          <w:szCs w:val="28"/>
        </w:rPr>
        <w:t xml:space="preserve">тексты нормативных правовых акто</w:t>
      </w:r>
      <w:r>
        <w:rPr>
          <w:rFonts w:ascii="Times New Roman" w:hAnsi="Times New Roman" w:cs="Times New Roman"/>
          <w:sz w:val="28"/>
          <w:szCs w:val="28"/>
        </w:rPr>
        <w:t xml:space="preserve">в, регулирующих осуществление муниципального контроля, руководство по соблюдению обязательных требований, разработанные в соответствии с Федеральным законом №248-ФЗ, и программа профилактики рисков причинения вреда (ущерба) охраняемым законом ценностям на </w:t>
      </w:r>
      <w:r>
        <w:rPr>
          <w:rFonts w:ascii="Times New Roman" w:hAnsi="Times New Roman" w:cs="Times New Roman"/>
          <w:sz w:val="28"/>
          <w:szCs w:val="28"/>
        </w:rPr>
        <w:t xml:space="preserve">2024</w:t>
      </w:r>
      <w:r>
        <w:rPr>
          <w:rFonts w:ascii="Times New Roman" w:hAnsi="Times New Roman" w:cs="Times New Roman"/>
          <w:sz w:val="28"/>
          <w:szCs w:val="28"/>
        </w:rPr>
        <w:t xml:space="preserve"> год (далее – Программа).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профилактики рисков причинения вреда (ущерба), охраняемым законом ценностям на автомобильном транспорте, городском наземном электрическом транспорте и в дорожном хозяйстве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Железнодорожного</w:t>
      </w:r>
      <w:r>
        <w:rPr>
          <w:rFonts w:ascii="Times New Roman" w:hAnsi="Times New Roman" w:cs="Times New Roman"/>
          <w:sz w:val="28"/>
          <w:szCs w:val="28"/>
        </w:rPr>
        <w:t xml:space="preserve"> района города Барнаула в </w:t>
      </w:r>
      <w:r>
        <w:rPr>
          <w:rFonts w:ascii="Times New Roman" w:hAnsi="Times New Roman" w:cs="Times New Roman"/>
          <w:sz w:val="28"/>
          <w:szCs w:val="28"/>
        </w:rPr>
        <w:t xml:space="preserve">2024</w:t>
      </w:r>
      <w:r>
        <w:rPr>
          <w:rFonts w:ascii="Times New Roman" w:hAnsi="Times New Roman" w:cs="Times New Roman"/>
          <w:sz w:val="28"/>
          <w:szCs w:val="28"/>
        </w:rPr>
        <w:t xml:space="preserve"> году осуществлялось информирование контролируемых лиц и иных заинтересованных лиц о необходимости соблюдения обязательных требований, посредством размещения на официальном Интернет-сайте </w:t>
      </w:r>
      <w:r>
        <w:rPr>
          <w:rFonts w:ascii="Times New Roman" w:hAnsi="Times New Roman" w:cs="Times New Roman"/>
          <w:sz w:val="28"/>
          <w:szCs w:val="28"/>
        </w:rPr>
        <w:t xml:space="preserve">города Барнаула </w:t>
      </w:r>
      <w:r>
        <w:rPr>
          <w:rFonts w:ascii="Times New Roman" w:hAnsi="Times New Roman" w:cs="Times New Roman"/>
          <w:sz w:val="28"/>
          <w:szCs w:val="28"/>
        </w:rPr>
        <w:t xml:space="preserve">информации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статьей 46 </w:t>
      </w:r>
      <w:r>
        <w:rPr>
          <w:rFonts w:ascii="Times New Roman" w:hAnsi="Times New Roman" w:cs="Times New Roman"/>
          <w:sz w:val="28"/>
          <w:szCs w:val="28"/>
        </w:rPr>
        <w:t xml:space="preserve"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31.07.2020 №248-ФЗ.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района </w:t>
      </w:r>
      <w:r>
        <w:rPr>
          <w:rFonts w:ascii="Times New Roman" w:hAnsi="Times New Roman" w:cs="Times New Roman"/>
          <w:sz w:val="28"/>
          <w:szCs w:val="28"/>
        </w:rPr>
        <w:t xml:space="preserve">приняты следующие муниципальные нормативные правовые акты: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района </w:t>
      </w:r>
      <w:r>
        <w:rPr>
          <w:rFonts w:ascii="Times New Roman" w:hAnsi="Times New Roman" w:cs="Times New Roman"/>
          <w:sz w:val="28"/>
          <w:szCs w:val="28"/>
        </w:rPr>
        <w:t xml:space="preserve">от 28.02.2022 №102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формы проверочного листа (списка контрольных вопросов, ответы</w:t>
      </w:r>
      <w:r>
        <w:rPr>
          <w:rFonts w:ascii="Times New Roman" w:hAnsi="Times New Roman" w:cs="Times New Roman"/>
          <w:sz w:val="28"/>
          <w:szCs w:val="28"/>
        </w:rPr>
        <w:t xml:space="preserve">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района от 01.03.2022 №106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порядка оформления задания на проведение контрольных (надзорных) мероприятий без взаимодействия с контролируемым лицом и заключения по результатам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мероприятий без взаимодействия с контролируемым лицом при осуществлении муниципального контроля в сфере благоустройства на территории Железнодорожного района города Барнаула, муниципального контроля на автомобильном транспорте,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городском наземном электрическом транспорте и в дорожном хозяйстве на территории Железнодорожного района города Барнаула».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района от 30.10.2023 №629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«Об организации муниципального контроля в сфере благоустройства, муниципального контроля на автомобильном транспорте, городском наземном электрическом транспорте и в дорожном хозяйстве на территории Железнодорожного района горо</w:t>
      </w:r>
      <w:r>
        <w:rPr>
          <w:rFonts w:ascii="Times New Roman" w:hAnsi="Times New Roman" w:cs="Times New Roman"/>
          <w:bCs/>
          <w:sz w:val="28"/>
          <w:szCs w:val="28"/>
        </w:rPr>
        <w:t xml:space="preserve">да Барнаула» определены ответственные лица за формирование планов проведения плановых контрольных (надзорных) мероприятий, за передачу сведений в информационные системы, созданные в целях обеспечения организации и осуществления муниципального контроля, а 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акже «Единый реестр видов федерального государственного контроля (надзора), регионального государственного контроля (надзора), муниципального контроля», «Единый реестр контрольных (надзорных) мероприятий», за соблюдением порядка и сроков их предоставления.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Bdr/>
        <w:spacing w:after="0" w:line="240" w:lineRule="auto"/>
        <w:ind w:firstLine="709" w:lef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по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контролю 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 w:cs="Times New Roman"/>
          <w:sz w:val="28"/>
          <w:szCs w:val="28"/>
        </w:rPr>
        <w:t xml:space="preserve">, внесены в должностные инструкции муниципальных служащих управления коммунального хозяйства админис</w:t>
      </w:r>
      <w:r>
        <w:rPr>
          <w:rFonts w:ascii="Times New Roman" w:hAnsi="Times New Roman" w:cs="Times New Roman"/>
          <w:sz w:val="28"/>
          <w:szCs w:val="28"/>
        </w:rPr>
        <w:t xml:space="preserve">трации района.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" w:name="_Hlk81468340"/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Железнодорожного района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06.12.2024 №680</w:t>
      </w:r>
      <w:r>
        <w:rPr>
          <w:rFonts w:ascii="Times New Roman" w:hAnsi="Times New Roman" w:cs="Times New Roman"/>
          <w:sz w:val="28"/>
          <w:szCs w:val="28"/>
        </w:rPr>
        <w:t xml:space="preserve"> утверждена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</w:t>
      </w:r>
      <w:r>
        <w:rPr>
          <w:rFonts w:ascii="Times New Roman" w:hAnsi="Times New Roman" w:cs="Times New Roman"/>
          <w:sz w:val="28"/>
          <w:szCs w:val="28"/>
        </w:rPr>
        <w:t xml:space="preserve">на 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год.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нормативно-правовой базы с целью реализации положений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31.07.2020 №248-ФЗ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Федерации» выполнена в полном объеме.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и результативности осуществления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контроля на автомобильном транспорте, городском наземном электрическом транспорте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дорожном хозяйстве,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организовать регулярные обучающие семинары для инспекторов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района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контрольных мероприятий.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анализа нормативных правовых актов, содержащих обязательные требования, проведенного администрацией района, предложения об актуализации обязательных требований отсутствуют.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о внесении изменений в законодательство Российской Федерации о государственном контроле (надзоре), муниципальном контроле отсутствуют.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h="16838" w:orient="portrait" w:w="11905"/>
      <w:pgMar w:top="1134" w:right="851" w:bottom="1134" w:left="1985" w:header="0" w:footer="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88298088"/>
      <w:docPartObj>
        <w:docPartGallery w:val="Page Numbers (Top of Page)"/>
        <w:docPartUnique w:val="true"/>
      </w:docPartObj>
      <w:rPr/>
    </w:sdtPr>
    <w:sdtContent>
      <w:p>
        <w:pPr>
          <w:pStyle w:val="702"/>
          <w:pBdr/>
          <w:spacing/>
          <w:ind/>
          <w:jc w:val="right"/>
          <w:rPr/>
        </w:pPr>
        <w:r/>
        <w:r/>
      </w:p>
      <w:p>
        <w:pPr>
          <w:pStyle w:val="702"/>
          <w:pBdr/>
          <w:spacing/>
          <w:ind/>
          <w:jc w:val="right"/>
          <w:rPr/>
        </w:pPr>
        <w:r/>
        <w:r/>
      </w:p>
      <w:p>
        <w:pPr>
          <w:pStyle w:val="702"/>
          <w:pBdr/>
          <w:spacing/>
          <w:ind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</w:p>
    </w:sdtContent>
  </w:sdt>
  <w:p>
    <w:pPr>
      <w:pStyle w:val="702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97"/>
    <w:next w:val="69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97"/>
    <w:next w:val="69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97"/>
    <w:next w:val="69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97"/>
    <w:next w:val="69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97"/>
    <w:next w:val="69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97"/>
    <w:next w:val="69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97"/>
    <w:next w:val="69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97"/>
    <w:next w:val="69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97"/>
    <w:next w:val="69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98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9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98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8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8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8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8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97"/>
    <w:next w:val="69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98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97"/>
    <w:next w:val="69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98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97"/>
    <w:next w:val="69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98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9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97"/>
    <w:next w:val="69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98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9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9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98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98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9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9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98"/>
    <w:link w:val="702"/>
    <w:uiPriority w:val="99"/>
    <w:pPr>
      <w:pBdr/>
      <w:spacing/>
      <w:ind/>
    </w:pPr>
  </w:style>
  <w:style w:type="character" w:styleId="178">
    <w:name w:val="Footer Char"/>
    <w:basedOn w:val="698"/>
    <w:link w:val="704"/>
    <w:uiPriority w:val="99"/>
    <w:pPr>
      <w:pBdr/>
      <w:spacing/>
      <w:ind/>
    </w:pPr>
  </w:style>
  <w:style w:type="paragraph" w:styleId="179">
    <w:name w:val="Caption"/>
    <w:basedOn w:val="697"/>
    <w:next w:val="69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9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98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98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9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98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9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9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97"/>
    <w:next w:val="697"/>
    <w:uiPriority w:val="99"/>
    <w:unhideWhenUsed/>
    <w:pPr>
      <w:pBdr/>
      <w:spacing w:after="0" w:afterAutospacing="0"/>
      <w:ind/>
    </w:pPr>
  </w:style>
  <w:style w:type="paragraph" w:styleId="697" w:default="1">
    <w:name w:val="Normal"/>
    <w:qFormat/>
    <w:pPr>
      <w:pBdr/>
      <w:spacing/>
      <w:ind/>
    </w:pPr>
  </w:style>
  <w:style w:type="character" w:styleId="698" w:default="1">
    <w:name w:val="Default Paragraph Font"/>
    <w:uiPriority w:val="1"/>
    <w:semiHidden/>
    <w:unhideWhenUsed/>
    <w:pPr>
      <w:pBdr/>
      <w:spacing/>
      <w:ind/>
    </w:pPr>
  </w:style>
  <w:style w:type="table" w:styleId="6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0" w:default="1">
    <w:name w:val="No List"/>
    <w:uiPriority w:val="99"/>
    <w:semiHidden/>
    <w:unhideWhenUsed/>
    <w:pPr>
      <w:pBdr/>
      <w:spacing/>
      <w:ind/>
    </w:pPr>
  </w:style>
  <w:style w:type="paragraph" w:styleId="701">
    <w:name w:val="List Paragraph"/>
    <w:basedOn w:val="697"/>
    <w:uiPriority w:val="34"/>
    <w:qFormat/>
    <w:pPr>
      <w:pBdr/>
      <w:spacing/>
      <w:ind w:left="720"/>
      <w:contextualSpacing w:val="true"/>
    </w:pPr>
  </w:style>
  <w:style w:type="paragraph" w:styleId="702">
    <w:name w:val="Header"/>
    <w:basedOn w:val="697"/>
    <w:link w:val="70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03" w:customStyle="1">
    <w:name w:val="Верхний колонтитул Знак"/>
    <w:basedOn w:val="698"/>
    <w:link w:val="702"/>
    <w:uiPriority w:val="99"/>
    <w:pPr>
      <w:pBdr/>
      <w:spacing/>
      <w:ind/>
    </w:pPr>
  </w:style>
  <w:style w:type="paragraph" w:styleId="704">
    <w:name w:val="Footer"/>
    <w:basedOn w:val="697"/>
    <w:link w:val="70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05" w:customStyle="1">
    <w:name w:val="Нижний колонтитул Знак"/>
    <w:basedOn w:val="698"/>
    <w:link w:val="704"/>
    <w:uiPriority w:val="99"/>
    <w:pPr>
      <w:pBdr/>
      <w:spacing/>
      <w:ind/>
    </w:pPr>
  </w:style>
  <w:style w:type="paragraph" w:styleId="706">
    <w:name w:val="Balloon Text"/>
    <w:basedOn w:val="697"/>
    <w:link w:val="707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707" w:customStyle="1">
    <w:name w:val="Текст выноски Знак"/>
    <w:basedOn w:val="698"/>
    <w:link w:val="706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08">
    <w:name w:val="Hyperlink"/>
    <w:basedOn w:val="698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09" w:customStyle="1">
    <w:name w:val="selector_content"/>
    <w:basedOn w:val="698"/>
    <w:pPr>
      <w:pBdr/>
      <w:spacing/>
      <w:ind/>
    </w:pPr>
  </w:style>
  <w:style w:type="paragraph" w:styleId="710">
    <w:name w:val="No Spacing"/>
    <w:uiPriority w:val="99"/>
    <w:qFormat/>
    <w:pPr>
      <w:pBdr/>
      <w:spacing w:after="0" w:line="240" w:lineRule="auto"/>
      <w:ind/>
    </w:pPr>
    <w:rPr>
      <w:rFonts w:ascii="Times New Roman" w:hAnsi="Times New Roman" w:eastAsia="Calibri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Татьяна</dc:creator>
  <cp:keywords/>
  <dc:description/>
  <cp:revision>22</cp:revision>
  <dcterms:created xsi:type="dcterms:W3CDTF">2023-02-10T00:22:00Z</dcterms:created>
  <dcterms:modified xsi:type="dcterms:W3CDTF">2025-03-14T03:11:10Z</dcterms:modified>
</cp:coreProperties>
</file>